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60" w:after="80"/>
      </w:pPr>
      <w:r>
        <w:rPr>
          <w:rFonts w:ascii="Microsoft YaHei" w:hAnsi="Microsoft YaHei" w:eastAsia="Microsoft YaHei"/>
          <w:b/>
          <w:i w:val="0"/>
          <w:color w:val="2E74B5"/>
          <w:sz w:val="20"/>
        </w:rPr>
        <w:t>客户交付手册</w:t>
      </w:r>
    </w:p>
    <w:p>
      <w:pPr>
        <w:spacing w:after="160"/>
      </w:pPr>
      <w:r>
        <w:rPr>
          <w:rFonts w:ascii="Microsoft YaHei" w:hAnsi="Microsoft YaHei" w:eastAsia="Microsoft YaHei"/>
          <w:b/>
          <w:i w:val="0"/>
          <w:color w:val="17365D"/>
          <w:sz w:val="56"/>
        </w:rPr>
        <w:t>法院立案/强执查询助手</w:t>
      </w:r>
    </w:p>
    <w:p>
      <w:pPr>
        <w:spacing w:after="360"/>
      </w:pPr>
      <w:r>
        <w:rPr>
          <w:rFonts w:ascii="Microsoft YaHei" w:hAnsi="Microsoft YaHei" w:eastAsia="Microsoft YaHei"/>
          <w:b/>
          <w:i w:val="0"/>
          <w:color w:val="2E74B5"/>
          <w:sz w:val="30"/>
        </w:rPr>
        <w:t>常见故障处理手册</w:t>
      </w:r>
    </w:p>
    <w:p>
      <w:pPr>
        <w:spacing w:after="60"/>
      </w:pPr>
      <w:r>
        <w:rPr>
          <w:rFonts w:ascii="Microsoft YaHei" w:hAnsi="Microsoft YaHei" w:eastAsia="Microsoft YaHei"/>
          <w:b w:val="0"/>
          <w:i w:val="0"/>
          <w:color w:val="667085"/>
          <w:sz w:val="19"/>
        </w:rPr>
        <w:t>版本：0.2.0</w:t>
      </w:r>
    </w:p>
    <w:p>
      <w:pPr>
        <w:spacing w:before="240" w:after="200"/>
        <w:pBdr>
          <w:bottom w:val="single" w:sz="12" w:color="2E74B5"/>
        </w:pBdr>
      </w:pPr>
    </w:p>
    <w:p>
      <w:pPr>
        <w:pStyle w:val="Heading1"/>
      </w:pPr>
      <w:r>
        <w:t>1. 快速分流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shd w:fill="E8EEF5"/>
            <w:vAlign w:val="center"/>
          </w:tcPr>
          <w:p>
            <w:pPr>
              <w:spacing w:after="40"/>
            </w:pPr>
            <w:r>
              <w:rPr>
                <w:b/>
                <w:color w:val="17365D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7365D"/>
                <w:sz w:val="17"/>
              </w:rPr>
              <w:t>现象</w:t>
            </w:r>
          </w:p>
        </w:tc>
        <w:tc>
          <w:tcPr>
            <w:tcW w:type="dxa" w:w="3120"/>
            <w:shd w:fill="E8EEF5"/>
            <w:vAlign w:val="center"/>
          </w:tcPr>
          <w:p>
            <w:pPr>
              <w:spacing w:after="40"/>
            </w:pPr>
            <w:r>
              <w:rPr>
                <w:b/>
                <w:color w:val="17365D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7365D"/>
                <w:sz w:val="17"/>
              </w:rPr>
              <w:t>首要检查</w:t>
            </w:r>
          </w:p>
        </w:tc>
        <w:tc>
          <w:tcPr>
            <w:tcW w:type="dxa" w:w="3120"/>
            <w:shd w:fill="E8EEF5"/>
            <w:vAlign w:val="center"/>
          </w:tcPr>
          <w:p>
            <w:pPr>
              <w:spacing w:after="40"/>
            </w:pPr>
            <w:r>
              <w:rPr>
                <w:b/>
                <w:color w:val="17365D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7365D"/>
                <w:sz w:val="17"/>
              </w:rPr>
              <w:t>安全处理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后台打不开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DNS、443、防火墙、证书、容器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 xml:space="preserve">运维检查 </w:t>
            </w:r>
            <w:r>
              <w:rPr>
                <w:rFonts w:ascii="Consolas" w:hAnsi="Consolas" w:eastAsia="Consolas"/>
                <w:b w:val="0"/>
                <w:i w:val="0"/>
                <w:color w:val="17365D"/>
                <w:sz w:val="19"/>
              </w:rPr>
              <w:t>/health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扩展只能打开 Setup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地址、设备授权、Token 是否过期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重新请求六码并由管理员批准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OCR 不可用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17365D"/>
                <w:sz w:val="19"/>
              </w:rPr>
              <w:t>health.ps1</w:t>
            </w: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、8765 端口、Python 环境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重启 OCR；仍失败则人工登录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登录失败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法院登录页、验证码、debugger 权限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只重试 1 次，随后人工接管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查询任务不动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后台健康、法院标签页、任务状态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保留任务与 outbox，不伪报成功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状态 UNKNOWN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页面文本/结构未知或证据冲突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人工核对，禁止猜测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Excel 上传失败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文件类型、大小、模板结构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使用原始模板重新导出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报表无截图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截图上传 ACK、浏览器权限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核对案件详情与失败状态</w:t>
            </w:r>
          </w:p>
        </w:tc>
      </w:tr>
    </w:tbl>
    <w:p>
      <w:pPr>
        <w:spacing w:after="0"/>
      </w:pPr>
    </w:p>
    <w:p>
      <w:pPr>
        <w:pStyle w:val="Heading1"/>
      </w:pPr>
      <w:r>
        <w:t>2. 后台不可访问</w:t>
      </w:r>
    </w:p>
    <w:p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运维执行：</w:t>
      </w:r>
    </w:p>
    <w:p>
      <w:pPr>
        <w:spacing w:after="160"/>
        <w:ind w:left="288" w:right="288"/>
        <w:shd w:fill="F2F4F7"/>
      </w:pPr>
      <w:r>
        <w:rPr>
          <w:rFonts w:ascii="Consolas" w:hAnsi="Consolas" w:eastAsia="Consolas"/>
          <w:b w:val="0"/>
          <w:i w:val="0"/>
          <w:color w:val="17365D"/>
          <w:sz w:val="17"/>
        </w:rPr>
        <w:t>Resolve-DnsName court.hyhbrand.xyz</w:t>
        <w:br/>
        <w:t>curl -I https://court.hyhbrand.xyz</w:t>
        <w:br/>
        <w:t>docker compose --profile tls ps</w:t>
        <w:br/>
        <w:t>docker compose logs --tail=100 app nginx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17365D"/>
          <w:sz w:val="19"/>
        </w:rPr>
        <w:t>/health</w:t>
      </w: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 xml:space="preserve"> 为 503：检查 PostgreSQL 和私有存储，不要继续采集。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证书错误：核对 SAN、完整证书链和系统时间。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只 HTTP 可达：检查 Nginx TLS 容器和 443 防火墙。</w:t>
      </w:r>
    </w:p>
    <w:p>
      <w:pPr>
        <w:pStyle w:val="Heading1"/>
      </w:pPr>
      <w:r>
        <w:t>3. 设备无法授权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 xml:space="preserve">确认 Setup 地址精确为 </w:t>
      </w:r>
      <w:r>
        <w:rPr>
          <w:rFonts w:ascii="Consolas" w:hAnsi="Consolas" w:eastAsia="Consolas"/>
          <w:b w:val="0"/>
          <w:i w:val="0"/>
          <w:color w:val="17365D"/>
          <w:sz w:val="19"/>
        </w:rPr>
        <w:t>https://court.hyhbrand.xyz</w:t>
      </w: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 xml:space="preserve">确认扩展 ID 与交付清单一致；不一致时移除并从正式 </w:t>
      </w:r>
      <w:r>
        <w:rPr>
          <w:rFonts w:ascii="Consolas" w:hAnsi="Consolas" w:eastAsia="Consolas"/>
          <w:b w:val="0"/>
          <w:i w:val="0"/>
          <w:color w:val="17365D"/>
          <w:sz w:val="19"/>
        </w:rPr>
        <w:t>extension</w:t>
      </w: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 xml:space="preserve"> 文件夹重装。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六码过期时重新点击请求授权；不要重复批准旧请求。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设备已撤销时，管理员删除旧设备后重新发起配对。</w:t>
      </w:r>
    </w:p>
    <w:p>
      <w:pPr>
        <w:pStyle w:val="Heading1"/>
      </w:pPr>
      <w:r>
        <w:t>4. OCR 或自动登录失败</w:t>
      </w:r>
    </w:p>
    <w:p>
      <w:pPr>
        <w:spacing w:after="160"/>
        <w:ind w:left="288" w:right="288"/>
        <w:shd w:fill="F2F4F7"/>
      </w:pPr>
      <w:r>
        <w:rPr>
          <w:rFonts w:ascii="Consolas" w:hAnsi="Consolas" w:eastAsia="Consolas"/>
          <w:b w:val="0"/>
          <w:i w:val="0"/>
          <w:color w:val="17365D"/>
          <w:sz w:val="17"/>
        </w:rPr>
        <w:t>powershell -ExecutionPolicy Bypass -File .\ocr-helper\health.ps1</w:t>
        <w:br/>
        <w:t>powershell -ExecutionPolicy Bypass -File .\ocr-helper\start.ps1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8765 被其他程序占用：停止未知进程，确认只保留本项目 OCR。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提示缺少 ddddocr：重新运行安装器。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验证码识别错误：系统最多刷新重试 1 次；随后人工输入，禁止循环。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Edge 显示调试附加失败：关闭其他调试工具，刷新法院标签页；仍失败则人工登录。</w:t>
      </w:r>
    </w:p>
    <w:p>
      <w:pPr>
        <w:pStyle w:val="Heading1"/>
      </w:pPr>
      <w:r>
        <w:t>5. 查询与状态异常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17365D"/>
          <w:sz w:val="19"/>
        </w:rPr>
        <w:t>SELECTOR_CHANGED</w:t>
      </w: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：法院页面可能改版，立即停止批量任务并联系维护人员。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17365D"/>
          <w:sz w:val="19"/>
        </w:rPr>
        <w:t>UNKNOWN_STATUS_CONFLICT</w:t>
      </w: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：API 与可见页面状态冲突，人工核对，不修改映射表。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17365D"/>
          <w:sz w:val="19"/>
        </w:rPr>
        <w:t>AUTH_REQUIRED</w:t>
      </w: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：后台或法院会话失效，重新登录后明确重试。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17365D"/>
          <w:sz w:val="19"/>
        </w:rPr>
        <w:t>DEPENDENCY_UNAVAILABLE</w:t>
      </w: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：后台依赖不可用，保留 outbox，恢复后人工重试。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单案失败不会阻塞整批；失败重试 1 次后应进入待人工。</w:t>
      </w:r>
    </w:p>
    <w:p>
      <w:pPr>
        <w:pStyle w:val="Heading1"/>
      </w:pPr>
      <w:r>
        <w:t>6. Excel 问题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 xml:space="preserve">仅上传 </w:t>
      </w:r>
      <w:r>
        <w:rPr>
          <w:rFonts w:ascii="Consolas" w:hAnsi="Consolas" w:eastAsia="Consolas"/>
          <w:b w:val="0"/>
          <w:i w:val="0"/>
          <w:color w:val="17365D"/>
          <w:sz w:val="19"/>
        </w:rPr>
        <w:t>.xlsx</w:t>
      </w: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，单文件不超过 20 MiB。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使用规定的双表模板，不要合并或改名关键列。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导出后用 Excel/WPS 打开，核对两表区域、日期、案号和图片锚点。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报表下载哈希不一致时停止分发，重新下载并联系运维。</w:t>
      </w:r>
    </w:p>
    <w:p>
      <w:pPr>
        <w:pStyle w:val="Heading1"/>
      </w:pPr>
      <w:r>
        <w:t>7. 提交支持信息</w:t>
      </w:r>
    </w:p>
    <w:p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可以提交：发生时间、操作步骤、页面名称、任务 ID、request ID、稳定错误码、浏览器/扩展版本、是否可复现。</w:t>
      </w:r>
    </w:p>
    <w:p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不得提交：完整 URL 查询参数、请求/响应体、真实业务字段、账号密码、Token、Cookie、证书或密钥。截图必须先确认不含业务明文并按客户制度传递。</w:t>
      </w:r>
    </w:p>
    <w:sectPr>
      <w:headerReference w:type="default" r:id="rId9"/>
      <w:footerReference w:type="default" r:id="rId10"/>
      <w:pgSz w:w="12240" w:h="15840"/>
      <w:pgMar w:top="1152" w:right="1224" w:bottom="1080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b w:val="0"/>
        <w:i w:val="0"/>
        <w:color w:val="667085"/>
        <w:sz w:val="17"/>
      </w:rPr>
      <w:t xml:space="preserve">第 </w:t>
    </w:r>
    <w:r>
      <w:rPr>
        <w:rFonts w:ascii="Microsoft YaHei" w:hAnsi="Microsoft YaHei" w:eastAsia="Microsoft YaHei"/>
        <w:b w:val="0"/>
        <w:i w:val="0"/>
        <w:color w:val="667085"/>
        <w:sz w:val="17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Microsoft YaHei" w:hAnsi="Microsoft YaHei" w:eastAsia="Microsoft YaHei"/>
        <w:b w:val="0"/>
        <w:i w:val="0"/>
        <w:color w:val="667085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Microsoft YaHei" w:hAnsi="Microsoft YaHei" w:eastAsia="Microsoft YaHei"/>
        <w:b/>
        <w:i w:val="0"/>
        <w:color w:val="667085"/>
        <w:sz w:val="17"/>
      </w:rPr>
      <w:t>court-helper  |  客户交付资料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Microsoft YaHei" w:hAnsi="Microsoft YaHe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Microsoft YaHei" w:hAnsi="Microsoft YaHei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常见故障处理手册</dc:title>
  <dc:subject>法院立案/强执查询助手客户交付文档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