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客户交付手册</w:t>
      </w:r>
    </w:p>
    <w:p>
      <w:pPr>
        <w:spacing w:after="160"/>
      </w:pPr>
      <w:r>
        <w:rPr>
          <w:rFonts w:ascii="Microsoft YaHei" w:hAnsi="Microsoft YaHei" w:eastAsia="Microsoft YaHei"/>
          <w:b/>
          <w:i w:val="0"/>
          <w:color w:val="17365D"/>
          <w:sz w:val="56"/>
        </w:rPr>
        <w:t>法院立案/强执查询助手</w:t>
      </w:r>
    </w:p>
    <w:p>
      <w:pPr>
        <w:spacing w:after="360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项目交付验收单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交付版本：0.2.0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生产地址：</w:t>
      </w:r>
      <w:r>
        <w:rPr>
          <w:rFonts w:ascii="Consolas" w:hAnsi="Consolas" w:eastAsia="Consolas"/>
          <w:b w:val="0"/>
          <w:i w:val="0"/>
          <w:color w:val="17365D"/>
          <w:sz w:val="19"/>
        </w:rPr>
        <w:t>https://court.hyhbrand.xyz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验收日期：____________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客户单位：____________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color w:val="667085"/>
          <w:sz w:val="19"/>
        </w:rPr>
        <w:t>交付方：____________</w:t>
      </w:r>
    </w:p>
    <w:p>
      <w:pPr>
        <w:spacing w:before="240" w:after="200"/>
        <w:pBdr>
          <w:bottom w:val="single" w:sz="12" w:color="2E74B5"/>
        </w:pBdr>
      </w:pPr>
    </w:p>
    <w:p>
      <w:pPr>
        <w:pStyle w:val="Heading1"/>
      </w:pPr>
      <w:r>
        <w:t>1. 交付物核对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☐ 收到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court-helper-0.2.0-delivery.zip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☐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checksums.sha256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校验通过。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包含 server、extension、ocr-helper、docs、VERSION.json 和第三方声明。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☐ 交付包不含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.env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、证书/扩展私钥、真实 Excel、截图、日志、测试或 node_modules。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Word 与 PDF 手册均可正常打开。</w:t>
      </w:r>
    </w:p>
    <w:p>
      <w:pPr>
        <w:pStyle w:val="Heading1"/>
      </w:pPr>
      <w:r>
        <w:t>2. 云端环境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☐ DNS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court.hyhbrand.xyz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指向正确公网 IP。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HTTPS 证书可信且覆盖正式域名。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公网只开放 80/443，SSH 限定运维 IP。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3000、5432、8765 未对公网开放。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☐ PostgreSQL 数据库名为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courthelper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，未连接其他项目数据库。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☐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/health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 返回成功，容器重启后自动恢复。</w:t>
      </w:r>
    </w:p>
    <w:p>
      <w:pPr>
        <w:pStyle w:val="Heading1"/>
      </w:pPr>
      <w:r>
        <w:t>3. 客户端安装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电脑编号</w:t>
            </w:r>
          </w:p>
        </w:tc>
        <w:tc>
          <w:tcPr>
            <w:tcW w:type="dxa" w:w="156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Edge 版本</w:t>
            </w:r>
          </w:p>
        </w:tc>
        <w:tc>
          <w:tcPr>
            <w:tcW w:type="dxa" w:w="156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固定扩展 ID 一致</w:t>
            </w:r>
          </w:p>
        </w:tc>
        <w:tc>
          <w:tcPr>
            <w:tcW w:type="dxa" w:w="156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OCR 健康</w:t>
            </w:r>
          </w:p>
        </w:tc>
        <w:tc>
          <w:tcPr>
            <w:tcW w:type="dxa" w:w="156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配对通过</w:t>
            </w:r>
          </w:p>
        </w:tc>
        <w:tc>
          <w:tcPr>
            <w:tcW w:type="dxa" w:w="1560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验收人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PC-01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[ ]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[ ]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[ ]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15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PC-02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[ ]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[ ]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[ ]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15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PC-03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[ ]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[ ]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[ ]</w:t>
            </w:r>
          </w:p>
        </w:tc>
        <w:tc>
          <w:tcPr>
            <w:tcW w:type="dxa" w:w="1560"/>
            <w:vAlign w:val="center"/>
          </w:tcPr>
          <w:p>
            <w:pPr>
              <w:spacing w:after="40"/>
            </w:pPr>
            <w:r/>
          </w:p>
        </w:tc>
      </w:tr>
    </w:tbl>
    <w:p>
      <w:pPr>
        <w:spacing w:after="0"/>
      </w:pPr>
    </w:p>
    <w:p>
      <w:pPr>
        <w:pStyle w:val="Heading1"/>
      </w:pPr>
      <w:r>
        <w:t>4. 脱敏业务流程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管理员登录并完成初始密码更换。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管理员创建普通用户和脱敏平台账号。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上传脱敏模板并显示正确行数摘要。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LOGIN 命令被固定扩展设备领取；OCR 失败时可人工接管。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QUERY_LI 和 QUERY_QZ 按 3–8 秒节流、单批不超过 50 条执行。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 xml:space="preserve">☐ 未知状态进入 </w:t>
      </w:r>
      <w:r>
        <w:rPr>
          <w:rFonts w:ascii="Consolas" w:hAnsi="Consolas" w:eastAsia="Consolas"/>
          <w:b w:val="0"/>
          <w:i w:val="0"/>
          <w:color w:val="17365D"/>
          <w:sz w:val="19"/>
        </w:rPr>
        <w:t>UNKNOWN/待人工</w:t>
      </w: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，没有猜测或自动改写。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截图经授权上传和查看，不暴露对象键。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EXPORT_REPORT 本地下载并上传，后台可再次下载且哈希一致。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设备撤销后立即失去后台命令权限，重新配对流程正常。</w:t>
      </w:r>
    </w:p>
    <w:p>
      <w:pPr>
        <w:pStyle w:val="Heading1"/>
      </w:pPr>
      <w:r>
        <w:t>5. 运维与恢复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每日加密备份已配置到客户私有 COS，生命周期不超过 30 天。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age 解密私钥由客户受控保管，服务器只保存公钥。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已完成一次隔离恢复演练，并核对健康状态和脱敏记录。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已演示版本升级、健康检查和回滚步骤。</w:t>
      </w:r>
    </w:p>
    <w:p>
      <w:pPr>
        <w:ind w:left="288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☐ 已记录证书续期负责人和到期提醒。</w:t>
      </w:r>
    </w:p>
    <w:p>
      <w:pPr>
        <w:pStyle w:val="Heading1"/>
      </w:pPr>
      <w:r>
        <w:t>6. 未决项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编号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脱敏问题描述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责任方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计划完成日期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40"/>
            </w:pPr>
            <w:r>
              <w:rPr>
                <w:b/>
                <w:color w:val="17365D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状态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1872"/>
            <w:vAlign w:val="center"/>
          </w:tcPr>
          <w:p>
            <w:pPr>
              <w:spacing w:after="40"/>
            </w:pPr>
            <w:r/>
          </w:p>
        </w:tc>
      </w:tr>
    </w:tbl>
    <w:p>
      <w:pPr>
        <w:spacing w:after="0"/>
      </w:pPr>
    </w:p>
    <w:p>
      <w:pPr>
        <w:pStyle w:val="Heading1"/>
      </w:pPr>
      <w:r>
        <w:t>7. 签字确认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客户确认：本次验收仅代表已列功能和环境通过，不包含多实例高可用、Edge 商店发布、COS/OSS 业务对象存储或法院平台未来改版的自动兼容。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客户代表签字：________________  日期：________________</w:t>
      </w:r>
    </w:p>
    <w:p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交付方代表签字：______________  日期：________________</w:t>
      </w:r>
    </w:p>
    <w:sectPr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第 </w:t>
    </w:r>
    <w:r>
      <w:rPr>
        <w:rFonts w:ascii="Microsoft YaHei" w:hAnsi="Microsoft YaHe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085"/>
        <w:sz w:val="17"/>
      </w:rPr>
      <w:t>court-helper  |  客户交付资料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项目交付验收单</dc:title>
  <dc:subject>法院立案/强执查询助手客户交付文档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