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B5F30">
      <w:pPr>
        <w:spacing w:before="600" w:after="120"/>
        <w:jc w:val="center"/>
        <w:rPr>
          <w:rFonts w:hint="eastAsia" w:ascii="微软雅黑" w:hAnsi="微软雅黑" w:eastAsia="微软雅黑" w:cs="微软雅黑"/>
          <w:b/>
          <w:bCs/>
          <w:color w:val="1F3864"/>
          <w:sz w:val="40"/>
          <w:szCs w:val="40"/>
          <w:lang w:eastAsia="zh-CN"/>
        </w:rPr>
      </w:pPr>
    </w:p>
    <w:p w14:paraId="039F0652">
      <w:pPr>
        <w:spacing w:before="600" w:after="120"/>
        <w:jc w:val="center"/>
        <w:rPr>
          <w:rFonts w:ascii="微软雅黑" w:hAnsi="微软雅黑" w:eastAsia="微软雅黑" w:cs="微软雅黑"/>
          <w:b/>
          <w:bCs/>
          <w:color w:val="auto"/>
          <w:sz w:val="44"/>
          <w:szCs w:val="44"/>
        </w:rPr>
      </w:pPr>
      <w:r>
        <w:rPr>
          <w:rFonts w:hint="eastAsia" w:ascii="微软雅黑" w:hAnsi="微软雅黑" w:eastAsia="微软雅黑" w:cs="微软雅黑"/>
          <w:b/>
          <w:bCs/>
          <w:color w:val="auto"/>
          <w:sz w:val="44"/>
          <w:szCs w:val="44"/>
          <w:lang w:eastAsia="zh-CN"/>
        </w:rPr>
        <w:t>“三客一危”</w:t>
      </w:r>
      <w:r>
        <w:rPr>
          <w:rFonts w:ascii="微软雅黑" w:hAnsi="微软雅黑" w:eastAsia="微软雅黑" w:cs="微软雅黑"/>
          <w:b/>
          <w:bCs/>
          <w:color w:val="auto"/>
          <w:sz w:val="44"/>
          <w:szCs w:val="44"/>
        </w:rPr>
        <w:t>智能监管平台AI 报警处置助手</w:t>
      </w:r>
    </w:p>
    <w:p w14:paraId="292BC275">
      <w:pPr>
        <w:keepNext w:val="0"/>
        <w:keepLines w:val="0"/>
        <w:pageBreakBefore w:val="0"/>
        <w:widowControl w:val="0"/>
        <w:kinsoku/>
        <w:wordWrap/>
        <w:overflowPunct/>
        <w:topLinePunct w:val="0"/>
        <w:autoSpaceDE/>
        <w:autoSpaceDN/>
        <w:bidi w:val="0"/>
        <w:adjustRightInd/>
        <w:snapToGrid/>
        <w:spacing w:before="120" w:after="120"/>
        <w:jc w:val="center"/>
        <w:textAlignment w:val="auto"/>
        <w:rPr>
          <w:rFonts w:ascii="微软雅黑" w:hAnsi="微软雅黑" w:eastAsia="微软雅黑" w:cs="微软雅黑"/>
          <w:b/>
          <w:bCs/>
          <w:color w:val="auto"/>
          <w:sz w:val="44"/>
          <w:szCs w:val="44"/>
        </w:rPr>
      </w:pPr>
      <w:r>
        <w:rPr>
          <w:rFonts w:ascii="微软雅黑" w:hAnsi="微软雅黑" w:eastAsia="微软雅黑" w:cs="微软雅黑"/>
          <w:b/>
          <w:bCs/>
          <w:color w:val="auto"/>
          <w:sz w:val="44"/>
          <w:szCs w:val="44"/>
        </w:rPr>
        <w:t>项目建设方案</w:t>
      </w:r>
    </w:p>
    <w:p w14:paraId="0BFBD8E9">
      <w:pPr>
        <w:spacing w:after="400"/>
        <w:jc w:val="center"/>
        <w:rPr>
          <w:rFonts w:hint="eastAsia" w:eastAsia="黑体"/>
          <w:lang w:val="en-US" w:eastAsia="zh-CN"/>
        </w:rPr>
      </w:pPr>
      <w:r>
        <w:rPr>
          <w:rFonts w:hint="eastAsia"/>
          <w:color w:val="595959"/>
          <w:sz w:val="26"/>
          <w:szCs w:val="26"/>
          <w:lang w:val="en-US" w:eastAsia="zh-CN"/>
        </w:rPr>
        <w:t>版本：</w:t>
      </w:r>
      <w:r>
        <w:rPr>
          <w:color w:val="595959"/>
          <w:sz w:val="26"/>
          <w:szCs w:val="26"/>
        </w:rPr>
        <w:t>V1.</w:t>
      </w:r>
      <w:r>
        <w:rPr>
          <w:rFonts w:hint="eastAsia"/>
          <w:color w:val="595959"/>
          <w:sz w:val="26"/>
          <w:szCs w:val="26"/>
          <w:lang w:val="en-US" w:eastAsia="zh-CN"/>
        </w:rPr>
        <w:t>0</w:t>
      </w:r>
    </w:p>
    <w:p w14:paraId="7A19545C">
      <w:pPr>
        <w:spacing w:after="400"/>
        <w:rPr>
          <w:color w:val="595959"/>
          <w:sz w:val="21"/>
          <w:szCs w:val="21"/>
        </w:rPr>
      </w:pPr>
    </w:p>
    <w:p w14:paraId="595C8760">
      <w:pPr>
        <w:spacing w:after="400"/>
        <w:rPr>
          <w:rFonts w:hint="eastAsia"/>
          <w:color w:val="595959"/>
          <w:sz w:val="21"/>
          <w:szCs w:val="21"/>
          <w:lang w:val="en-US" w:eastAsia="zh-CN"/>
        </w:rPr>
      </w:pPr>
    </w:p>
    <w:p w14:paraId="5A99361D">
      <w:pPr>
        <w:spacing w:after="400"/>
        <w:rPr>
          <w:rFonts w:hint="eastAsia"/>
          <w:color w:val="595959"/>
          <w:sz w:val="21"/>
          <w:szCs w:val="21"/>
          <w:lang w:val="en-US" w:eastAsia="zh-CN"/>
        </w:rPr>
      </w:pPr>
    </w:p>
    <w:p w14:paraId="6F2C6B89">
      <w:pPr>
        <w:spacing w:after="400"/>
        <w:rPr>
          <w:rFonts w:hint="eastAsia"/>
          <w:color w:val="595959"/>
          <w:sz w:val="21"/>
          <w:szCs w:val="21"/>
          <w:lang w:val="en-US" w:eastAsia="zh-CN"/>
        </w:rPr>
      </w:pPr>
    </w:p>
    <w:p w14:paraId="67CA2E3F">
      <w:pPr>
        <w:spacing w:after="400"/>
        <w:rPr>
          <w:rFonts w:hint="eastAsia"/>
          <w:color w:val="595959"/>
          <w:sz w:val="21"/>
          <w:szCs w:val="21"/>
          <w:lang w:val="en-US" w:eastAsia="zh-CN"/>
        </w:rPr>
      </w:pPr>
    </w:p>
    <w:p w14:paraId="63346486">
      <w:pPr>
        <w:spacing w:after="400"/>
        <w:rPr>
          <w:rFonts w:hint="eastAsia"/>
          <w:color w:val="595959"/>
          <w:sz w:val="21"/>
          <w:szCs w:val="21"/>
          <w:lang w:val="en-US" w:eastAsia="zh-CN"/>
        </w:rPr>
      </w:pPr>
    </w:p>
    <w:p w14:paraId="5C0156D9">
      <w:pPr>
        <w:spacing w:after="400"/>
        <w:jc w:val="center"/>
        <w:rPr>
          <w:rFonts w:hint="eastAsia"/>
          <w:color w:val="auto"/>
          <w:sz w:val="21"/>
          <w:szCs w:val="21"/>
          <w:lang w:val="en-US" w:eastAsia="zh-CN"/>
        </w:rPr>
      </w:pPr>
    </w:p>
    <w:p w14:paraId="58FF9B8C">
      <w:pPr>
        <w:spacing w:after="400"/>
        <w:jc w:val="center"/>
        <w:rPr>
          <w:rFonts w:hint="eastAsia"/>
          <w:color w:val="auto"/>
          <w:sz w:val="21"/>
          <w:szCs w:val="21"/>
          <w:lang w:val="en-US" w:eastAsia="zh-CN"/>
        </w:rPr>
      </w:pPr>
    </w:p>
    <w:p w14:paraId="3B3C1238">
      <w:pPr>
        <w:spacing w:after="400"/>
        <w:jc w:val="center"/>
        <w:rPr>
          <w:rFonts w:hint="eastAsia"/>
          <w:color w:val="auto"/>
          <w:sz w:val="21"/>
          <w:szCs w:val="21"/>
          <w:lang w:val="en-US" w:eastAsia="zh-CN"/>
        </w:rPr>
      </w:pPr>
    </w:p>
    <w:p w14:paraId="6F3A5479">
      <w:pPr>
        <w:spacing w:after="400"/>
        <w:jc w:val="center"/>
        <w:rPr>
          <w:rFonts w:hint="eastAsia"/>
          <w:color w:val="auto"/>
          <w:sz w:val="21"/>
          <w:szCs w:val="21"/>
          <w:lang w:val="en-US" w:eastAsia="zh-CN"/>
        </w:rPr>
      </w:pPr>
    </w:p>
    <w:p w14:paraId="6D511679">
      <w:pPr>
        <w:spacing w:after="400"/>
        <w:jc w:val="center"/>
        <w:rPr>
          <w:rFonts w:hint="eastAsia"/>
          <w:color w:val="auto"/>
          <w:sz w:val="21"/>
          <w:szCs w:val="21"/>
          <w:lang w:val="en-US" w:eastAsia="zh-CN"/>
        </w:rPr>
      </w:pPr>
    </w:p>
    <w:p w14:paraId="58D6243F">
      <w:pPr>
        <w:spacing w:after="400"/>
        <w:jc w:val="center"/>
        <w:rPr>
          <w:rFonts w:hint="eastAsia"/>
          <w:color w:val="auto"/>
          <w:sz w:val="21"/>
          <w:szCs w:val="21"/>
          <w:lang w:val="en-US" w:eastAsia="zh-CN"/>
        </w:rPr>
      </w:pPr>
    </w:p>
    <w:p w14:paraId="6035B6B7">
      <w:pPr>
        <w:spacing w:after="400"/>
        <w:jc w:val="center"/>
        <w:rPr>
          <w:rFonts w:hint="eastAsia"/>
          <w:color w:val="auto"/>
          <w:sz w:val="21"/>
          <w:szCs w:val="21"/>
          <w:lang w:val="en-US" w:eastAsia="zh-CN"/>
        </w:rPr>
      </w:pPr>
    </w:p>
    <w:p w14:paraId="36DD0463">
      <w:pPr>
        <w:spacing w:after="400"/>
        <w:jc w:val="center"/>
      </w:pPr>
      <w:r>
        <w:rPr>
          <w:rFonts w:hint="eastAsia"/>
          <w:color w:val="auto"/>
          <w:sz w:val="28"/>
          <w:szCs w:val="28"/>
          <w:lang w:val="en-US" w:eastAsia="zh-CN"/>
        </w:rPr>
        <w:t>编制</w:t>
      </w:r>
      <w:r>
        <w:rPr>
          <w:color w:val="auto"/>
          <w:sz w:val="28"/>
          <w:szCs w:val="28"/>
        </w:rPr>
        <w:t>日期：2026年6月21日</w:t>
      </w:r>
      <w:r>
        <w:br w:type="page"/>
      </w:r>
    </w:p>
    <w:p w14:paraId="72DD2976">
      <w:pPr>
        <w:spacing w:before="0" w:after="300"/>
        <w:jc w:val="center"/>
      </w:pPr>
      <w:r>
        <w:rPr>
          <w:rFonts w:ascii="微软雅黑" w:hAnsi="微软雅黑" w:eastAsia="微软雅黑" w:cs="微软雅黑"/>
          <w:b/>
          <w:bCs/>
          <w:color w:val="1F3864"/>
          <w:sz w:val="36"/>
          <w:szCs w:val="36"/>
        </w:rPr>
        <w:t>目</w:t>
      </w:r>
      <w:r>
        <w:rPr>
          <w:rFonts w:hint="eastAsia" w:ascii="微软雅黑" w:hAnsi="微软雅黑" w:eastAsia="微软雅黑" w:cs="微软雅黑"/>
          <w:b/>
          <w:bCs/>
          <w:color w:val="1F3864"/>
          <w:sz w:val="36"/>
          <w:szCs w:val="36"/>
          <w:lang w:val="en-US" w:eastAsia="zh-CN"/>
        </w:rPr>
        <w:t xml:space="preserve"> </w:t>
      </w:r>
      <w:r>
        <w:rPr>
          <w:rFonts w:ascii="微软雅黑" w:hAnsi="微软雅黑" w:eastAsia="微软雅黑" w:cs="微软雅黑"/>
          <w:b/>
          <w:bCs/>
          <w:color w:val="1F3864"/>
          <w:sz w:val="36"/>
          <w:szCs w:val="36"/>
        </w:rPr>
        <w:t>录</w:t>
      </w:r>
    </w:p>
    <w:sdt>
      <w:sdtPr>
        <w:alias w:val="目录"/>
        <w:id w:val="147465059"/>
      </w:sdtPr>
      <w:sdtContent>
        <w:sdt>
          <w:sdtPr>
            <w:rPr>
              <w:rFonts w:ascii="宋体" w:hAnsi="宋体" w:eastAsia="宋体" w:cs="黑体"/>
              <w:sz w:val="21"/>
              <w:szCs w:val="22"/>
            </w:rPr>
            <w:id w:val="147464968"/>
            <w15:color w:val="DBDBDB"/>
            <w:docPartObj>
              <w:docPartGallery w:val="Table of Contents"/>
              <w:docPartUnique/>
            </w:docPartObj>
          </w:sdtPr>
          <w:sdtContent>
            <w:p w14:paraId="7D46625C">
              <w:pPr>
                <w:tabs>
                  <w:tab w:val="right" w:leader="dot" w:pos="9025"/>
                </w:tabs>
                <w:spacing w:line="360" w:lineRule="auto"/>
              </w:pPr>
              <w:r>
                <w:fldChar w:fldCharType="begin"/>
              </w:r>
              <w:r>
                <w:instrText xml:space="preserve">TOC \o "1-3" \h \u </w:instrText>
              </w:r>
              <w:r>
                <w:fldChar w:fldCharType="separate"/>
              </w:r>
              <w:r>
                <w:fldChar w:fldCharType="begin"/>
              </w:r>
              <w:r>
                <w:instrText xml:space="preserve"> HYPERLINK \l _Toc22744 </w:instrText>
              </w:r>
              <w:r>
                <w:fldChar w:fldCharType="separate"/>
              </w:r>
              <w:r>
                <w:t>一、  项目背景与技术约束</w:t>
              </w:r>
              <w:r>
                <w:tab/>
              </w:r>
              <w:r>
                <w:fldChar w:fldCharType="begin"/>
              </w:r>
              <w:r>
                <w:instrText xml:space="preserve"> PAGEREF _Toc22744 \h </w:instrText>
              </w:r>
              <w:r>
                <w:fldChar w:fldCharType="separate"/>
              </w:r>
              <w:r>
                <w:t>1</w:t>
              </w:r>
              <w:r>
                <w:fldChar w:fldCharType="end"/>
              </w:r>
              <w:r>
                <w:fldChar w:fldCharType="end"/>
              </w:r>
            </w:p>
            <w:p w14:paraId="29845824">
              <w:pPr>
                <w:pStyle w:val="11"/>
                <w:tabs>
                  <w:tab w:val="right" w:leader="dot" w:pos="9026"/>
                </w:tabs>
                <w:spacing w:line="360" w:lineRule="auto"/>
              </w:pPr>
              <w:r>
                <w:fldChar w:fldCharType="begin"/>
              </w:r>
              <w:r>
                <w:instrText xml:space="preserve"> HYPERLINK \l _Toc28030 </w:instrText>
              </w:r>
              <w:r>
                <w:fldChar w:fldCharType="separate"/>
              </w:r>
              <w:r>
                <w:t>二、  项目定位</w:t>
              </w:r>
              <w:r>
                <w:tab/>
              </w:r>
              <w:r>
                <w:fldChar w:fldCharType="begin"/>
              </w:r>
              <w:r>
                <w:instrText xml:space="preserve"> PAGEREF _Toc28030 \h </w:instrText>
              </w:r>
              <w:r>
                <w:fldChar w:fldCharType="separate"/>
              </w:r>
              <w:r>
                <w:t>1</w:t>
              </w:r>
              <w:r>
                <w:fldChar w:fldCharType="end"/>
              </w:r>
              <w:r>
                <w:fldChar w:fldCharType="end"/>
              </w:r>
            </w:p>
            <w:p w14:paraId="15336287">
              <w:pPr>
                <w:pStyle w:val="11"/>
                <w:tabs>
                  <w:tab w:val="right" w:leader="dot" w:pos="9026"/>
                </w:tabs>
                <w:spacing w:line="360" w:lineRule="auto"/>
              </w:pPr>
              <w:r>
                <w:fldChar w:fldCharType="begin"/>
              </w:r>
              <w:r>
                <w:instrText xml:space="preserve"> HYPERLINK \l _Toc18955 </w:instrText>
              </w:r>
              <w:r>
                <w:fldChar w:fldCharType="separate"/>
              </w:r>
              <w:r>
                <w:t>三、  建设目标</w:t>
              </w:r>
              <w:r>
                <w:tab/>
              </w:r>
              <w:r>
                <w:fldChar w:fldCharType="begin"/>
              </w:r>
              <w:r>
                <w:instrText xml:space="preserve"> PAGEREF _Toc18955 \h </w:instrText>
              </w:r>
              <w:r>
                <w:fldChar w:fldCharType="separate"/>
              </w:r>
              <w:r>
                <w:t>1</w:t>
              </w:r>
              <w:r>
                <w:fldChar w:fldCharType="end"/>
              </w:r>
              <w:r>
                <w:fldChar w:fldCharType="end"/>
              </w:r>
            </w:p>
            <w:p w14:paraId="2E10F047">
              <w:pPr>
                <w:pStyle w:val="11"/>
                <w:tabs>
                  <w:tab w:val="right" w:leader="dot" w:pos="9026"/>
                </w:tabs>
                <w:spacing w:line="360" w:lineRule="auto"/>
              </w:pPr>
              <w:r>
                <w:fldChar w:fldCharType="begin"/>
              </w:r>
              <w:r>
                <w:instrText xml:space="preserve"> HYPERLINK \l _Toc8409 </w:instrText>
              </w:r>
              <w:r>
                <w:fldChar w:fldCharType="separate"/>
              </w:r>
              <w:r>
                <w:t>四、  总体架构</w:t>
              </w:r>
              <w:r>
                <w:tab/>
              </w:r>
              <w:r>
                <w:fldChar w:fldCharType="begin"/>
              </w:r>
              <w:r>
                <w:instrText xml:space="preserve"> PAGEREF _Toc8409 \h </w:instrText>
              </w:r>
              <w:r>
                <w:fldChar w:fldCharType="separate"/>
              </w:r>
              <w:r>
                <w:t>2</w:t>
              </w:r>
              <w:r>
                <w:fldChar w:fldCharType="end"/>
              </w:r>
              <w:r>
                <w:fldChar w:fldCharType="end"/>
              </w:r>
            </w:p>
            <w:p w14:paraId="0A7D0349">
              <w:pPr>
                <w:pStyle w:val="11"/>
                <w:tabs>
                  <w:tab w:val="right" w:leader="dot" w:pos="9026"/>
                </w:tabs>
                <w:spacing w:line="360" w:lineRule="auto"/>
              </w:pPr>
              <w:r>
                <w:fldChar w:fldCharType="begin"/>
              </w:r>
              <w:r>
                <w:instrText xml:space="preserve"> HYPERLINK \l _Toc25407 </w:instrText>
              </w:r>
              <w:r>
                <w:fldChar w:fldCharType="separate"/>
              </w:r>
              <w:r>
                <w:t>五、  核心功能设计</w:t>
              </w:r>
              <w:r>
                <w:tab/>
              </w:r>
              <w:r>
                <w:fldChar w:fldCharType="begin"/>
              </w:r>
              <w:r>
                <w:instrText xml:space="preserve"> PAGEREF _Toc25407 \h </w:instrText>
              </w:r>
              <w:r>
                <w:fldChar w:fldCharType="separate"/>
              </w:r>
              <w:r>
                <w:t>2</w:t>
              </w:r>
              <w:r>
                <w:fldChar w:fldCharType="end"/>
              </w:r>
              <w:r>
                <w:fldChar w:fldCharType="end"/>
              </w:r>
            </w:p>
            <w:p w14:paraId="618EB080">
              <w:pPr>
                <w:pStyle w:val="13"/>
                <w:tabs>
                  <w:tab w:val="right" w:leader="dot" w:pos="9026"/>
                </w:tabs>
                <w:spacing w:line="360" w:lineRule="auto"/>
              </w:pPr>
              <w:r>
                <w:fldChar w:fldCharType="begin"/>
              </w:r>
              <w:r>
                <w:instrText xml:space="preserve"> HYPERLINK \l _Toc25355 </w:instrText>
              </w:r>
              <w:r>
                <w:fldChar w:fldCharType="separate"/>
              </w:r>
              <w:r>
                <w:t>5.1 报警监听与信息读取</w:t>
              </w:r>
              <w:r>
                <w:tab/>
              </w:r>
              <w:r>
                <w:fldChar w:fldCharType="begin"/>
              </w:r>
              <w:r>
                <w:instrText xml:space="preserve"> PAGEREF _Toc25355 \h </w:instrText>
              </w:r>
              <w:r>
                <w:fldChar w:fldCharType="separate"/>
              </w:r>
              <w:r>
                <w:t>2</w:t>
              </w:r>
              <w:r>
                <w:fldChar w:fldCharType="end"/>
              </w:r>
              <w:r>
                <w:fldChar w:fldCharType="end"/>
              </w:r>
            </w:p>
            <w:p w14:paraId="3511CB93">
              <w:pPr>
                <w:pStyle w:val="13"/>
                <w:tabs>
                  <w:tab w:val="right" w:leader="dot" w:pos="9026"/>
                </w:tabs>
                <w:spacing w:line="360" w:lineRule="auto"/>
              </w:pPr>
              <w:r>
                <w:fldChar w:fldCharType="begin"/>
              </w:r>
              <w:r>
                <w:instrText xml:space="preserve"> HYPERLINK \l _Toc31832 </w:instrText>
              </w:r>
              <w:r>
                <w:fldChar w:fldCharType="separate"/>
              </w:r>
              <w:r>
                <w:t>5.2 官方规则与客户SOP匹配</w:t>
              </w:r>
              <w:r>
                <w:tab/>
              </w:r>
              <w:r>
                <w:fldChar w:fldCharType="begin"/>
              </w:r>
              <w:r>
                <w:instrText xml:space="preserve"> PAGEREF _Toc31832 \h </w:instrText>
              </w:r>
              <w:r>
                <w:fldChar w:fldCharType="separate"/>
              </w:r>
              <w:r>
                <w:t>3</w:t>
              </w:r>
              <w:r>
                <w:fldChar w:fldCharType="end"/>
              </w:r>
              <w:r>
                <w:fldChar w:fldCharType="end"/>
              </w:r>
            </w:p>
            <w:p w14:paraId="23703261">
              <w:pPr>
                <w:pStyle w:val="13"/>
                <w:tabs>
                  <w:tab w:val="right" w:leader="dot" w:pos="9026"/>
                </w:tabs>
                <w:spacing w:line="360" w:lineRule="auto"/>
              </w:pPr>
              <w:r>
                <w:fldChar w:fldCharType="begin"/>
              </w:r>
              <w:r>
                <w:instrText xml:space="preserve"> HYPERLINK \l _Toc23887 </w:instrText>
              </w:r>
              <w:r>
                <w:fldChar w:fldCharType="separate"/>
              </w:r>
              <w:r>
                <w:t>5.3 司机提醒与纠正检测</w:t>
              </w:r>
              <w:r>
                <w:tab/>
              </w:r>
              <w:r>
                <w:fldChar w:fldCharType="begin"/>
              </w:r>
              <w:r>
                <w:instrText xml:space="preserve"> PAGEREF _Toc23887 \h </w:instrText>
              </w:r>
              <w:r>
                <w:fldChar w:fldCharType="separate"/>
              </w:r>
              <w:r>
                <w:t>3</w:t>
              </w:r>
              <w:r>
                <w:fldChar w:fldCharType="end"/>
              </w:r>
              <w:r>
                <w:fldChar w:fldCharType="end"/>
              </w:r>
            </w:p>
            <w:p w14:paraId="65EE871E">
              <w:pPr>
                <w:pStyle w:val="13"/>
                <w:tabs>
                  <w:tab w:val="right" w:leader="dot" w:pos="9026"/>
                </w:tabs>
                <w:spacing w:line="360" w:lineRule="auto"/>
              </w:pPr>
              <w:r>
                <w:fldChar w:fldCharType="begin"/>
              </w:r>
              <w:r>
                <w:instrText xml:space="preserve"> HYPERLINK \l _Toc3843 </w:instrText>
              </w:r>
              <w:r>
                <w:fldChar w:fldCharType="separate"/>
              </w:r>
              <w:r>
                <w:t>5.4 值班业务人员短信通知与事件详情页</w:t>
              </w:r>
              <w:r>
                <w:tab/>
              </w:r>
              <w:r>
                <w:fldChar w:fldCharType="begin"/>
              </w:r>
              <w:r>
                <w:instrText xml:space="preserve"> PAGEREF _Toc3843 \h </w:instrText>
              </w:r>
              <w:r>
                <w:fldChar w:fldCharType="separate"/>
              </w:r>
              <w:r>
                <w:t>4</w:t>
              </w:r>
              <w:r>
                <w:fldChar w:fldCharType="end"/>
              </w:r>
              <w:r>
                <w:fldChar w:fldCharType="end"/>
              </w:r>
            </w:p>
            <w:p w14:paraId="7BB652D7">
              <w:pPr>
                <w:pStyle w:val="13"/>
                <w:tabs>
                  <w:tab w:val="right" w:leader="dot" w:pos="9026"/>
                </w:tabs>
                <w:spacing w:line="360" w:lineRule="auto"/>
              </w:pPr>
              <w:r>
                <w:fldChar w:fldCharType="begin"/>
              </w:r>
              <w:r>
                <w:instrText xml:space="preserve"> HYPERLINK \l _Toc10894 </w:instrText>
              </w:r>
              <w:r>
                <w:fldChar w:fldCharType="separate"/>
              </w:r>
              <w:r>
                <w:t>5.5 企业负责人沟通辅助</w:t>
              </w:r>
              <w:r>
                <w:tab/>
              </w:r>
              <w:r>
                <w:fldChar w:fldCharType="begin"/>
              </w:r>
              <w:r>
                <w:instrText xml:space="preserve"> PAGEREF _Toc10894 \h </w:instrText>
              </w:r>
              <w:r>
                <w:fldChar w:fldCharType="separate"/>
              </w:r>
              <w:r>
                <w:t>4</w:t>
              </w:r>
              <w:r>
                <w:fldChar w:fldCharType="end"/>
              </w:r>
              <w:r>
                <w:fldChar w:fldCharType="end"/>
              </w:r>
            </w:p>
            <w:p w14:paraId="39FE0831">
              <w:pPr>
                <w:pStyle w:val="13"/>
                <w:tabs>
                  <w:tab w:val="right" w:leader="dot" w:pos="9026"/>
                </w:tabs>
                <w:spacing w:line="360" w:lineRule="auto"/>
              </w:pPr>
              <w:r>
                <w:fldChar w:fldCharType="begin"/>
              </w:r>
              <w:r>
                <w:instrText xml:space="preserve"> HYPERLINK \l _Toc31403 </w:instrText>
              </w:r>
              <w:r>
                <w:fldChar w:fldCharType="separate"/>
              </w:r>
              <w:r>
                <w:t>5.6 AI处理记录台账</w:t>
              </w:r>
              <w:r>
                <w:tab/>
              </w:r>
              <w:r>
                <w:fldChar w:fldCharType="begin"/>
              </w:r>
              <w:r>
                <w:instrText xml:space="preserve"> PAGEREF _Toc31403 \h </w:instrText>
              </w:r>
              <w:r>
                <w:fldChar w:fldCharType="separate"/>
              </w:r>
              <w:r>
                <w:t>4</w:t>
              </w:r>
              <w:r>
                <w:fldChar w:fldCharType="end"/>
              </w:r>
              <w:r>
                <w:fldChar w:fldCharType="end"/>
              </w:r>
            </w:p>
            <w:p w14:paraId="3510D02A">
              <w:pPr>
                <w:pStyle w:val="11"/>
                <w:tabs>
                  <w:tab w:val="right" w:leader="dot" w:pos="9026"/>
                </w:tabs>
                <w:spacing w:line="360" w:lineRule="auto"/>
              </w:pPr>
              <w:r>
                <w:fldChar w:fldCharType="begin"/>
              </w:r>
              <w:r>
                <w:instrText xml:space="preserve"> HYPERLINK \l _Toc17415 </w:instrText>
              </w:r>
              <w:r>
                <w:fldChar w:fldCharType="separate"/>
              </w:r>
              <w:r>
                <w:t>六、  留痕颗粒度分层设计</w:t>
              </w:r>
              <w:r>
                <w:tab/>
              </w:r>
              <w:r>
                <w:fldChar w:fldCharType="begin"/>
              </w:r>
              <w:r>
                <w:instrText xml:space="preserve"> PAGEREF _Toc17415 \h </w:instrText>
              </w:r>
              <w:r>
                <w:fldChar w:fldCharType="separate"/>
              </w:r>
              <w:r>
                <w:t>4</w:t>
              </w:r>
              <w:r>
                <w:fldChar w:fldCharType="end"/>
              </w:r>
              <w:r>
                <w:fldChar w:fldCharType="end"/>
              </w:r>
            </w:p>
            <w:p w14:paraId="4BAB4508">
              <w:pPr>
                <w:pStyle w:val="11"/>
                <w:tabs>
                  <w:tab w:val="right" w:leader="dot" w:pos="9026"/>
                </w:tabs>
                <w:spacing w:line="360" w:lineRule="auto"/>
              </w:pPr>
              <w:r>
                <w:fldChar w:fldCharType="begin"/>
              </w:r>
              <w:r>
                <w:instrText xml:space="preserve"> HYPERLINK \l _Toc5392 </w:instrText>
              </w:r>
              <w:r>
                <w:fldChar w:fldCharType="separate"/>
              </w:r>
              <w:r>
                <w:t>七、  首版建设范围</w:t>
              </w:r>
              <w:r>
                <w:tab/>
              </w:r>
              <w:r>
                <w:fldChar w:fldCharType="begin"/>
              </w:r>
              <w:r>
                <w:instrText xml:space="preserve"> PAGEREF _Toc5392 \h </w:instrText>
              </w:r>
              <w:r>
                <w:fldChar w:fldCharType="separate"/>
              </w:r>
              <w:r>
                <w:t>5</w:t>
              </w:r>
              <w:r>
                <w:fldChar w:fldCharType="end"/>
              </w:r>
              <w:r>
                <w:fldChar w:fldCharType="end"/>
              </w:r>
            </w:p>
            <w:p w14:paraId="4A8F47F9">
              <w:pPr>
                <w:pStyle w:val="11"/>
                <w:tabs>
                  <w:tab w:val="right" w:leader="dot" w:pos="9026"/>
                </w:tabs>
                <w:spacing w:line="360" w:lineRule="auto"/>
              </w:pPr>
              <w:r>
                <w:fldChar w:fldCharType="begin"/>
              </w:r>
              <w:r>
                <w:instrText xml:space="preserve"> HYPERLINK \l _Toc19467 </w:instrText>
              </w:r>
              <w:r>
                <w:fldChar w:fldCharType="separate"/>
              </w:r>
              <w:r>
                <w:t>八、  不纳入首版主验收的能力</w:t>
              </w:r>
              <w:r>
                <w:tab/>
              </w:r>
              <w:r>
                <w:fldChar w:fldCharType="begin"/>
              </w:r>
              <w:r>
                <w:instrText xml:space="preserve"> PAGEREF _Toc19467 \h </w:instrText>
              </w:r>
              <w:r>
                <w:fldChar w:fldCharType="separate"/>
              </w:r>
              <w:r>
                <w:t>5</w:t>
              </w:r>
              <w:r>
                <w:fldChar w:fldCharType="end"/>
              </w:r>
              <w:r>
                <w:fldChar w:fldCharType="end"/>
              </w:r>
            </w:p>
            <w:p w14:paraId="306F7520">
              <w:pPr>
                <w:pStyle w:val="11"/>
                <w:tabs>
                  <w:tab w:val="right" w:leader="dot" w:pos="9026"/>
                </w:tabs>
                <w:spacing w:line="360" w:lineRule="auto"/>
              </w:pPr>
              <w:r>
                <w:fldChar w:fldCharType="begin"/>
              </w:r>
              <w:r>
                <w:instrText xml:space="preserve"> HYPERLINK \l _Toc21637 </w:instrText>
              </w:r>
              <w:r>
                <w:fldChar w:fldCharType="separate"/>
              </w:r>
              <w:r>
                <w:t>九、  重难点、风险边界与应对策略</w:t>
              </w:r>
              <w:r>
                <w:tab/>
              </w:r>
              <w:r>
                <w:fldChar w:fldCharType="begin"/>
              </w:r>
              <w:r>
                <w:instrText xml:space="preserve"> PAGEREF _Toc21637 \h </w:instrText>
              </w:r>
              <w:r>
                <w:fldChar w:fldCharType="separate"/>
              </w:r>
              <w:r>
                <w:t>6</w:t>
              </w:r>
              <w:r>
                <w:fldChar w:fldCharType="end"/>
              </w:r>
              <w:r>
                <w:fldChar w:fldCharType="end"/>
              </w:r>
            </w:p>
            <w:p w14:paraId="568EBADD">
              <w:pPr>
                <w:pStyle w:val="11"/>
                <w:tabs>
                  <w:tab w:val="right" w:leader="dot" w:pos="9026"/>
                </w:tabs>
                <w:spacing w:line="360" w:lineRule="auto"/>
              </w:pPr>
              <w:r>
                <w:fldChar w:fldCharType="begin"/>
              </w:r>
              <w:r>
                <w:instrText xml:space="preserve"> HYPERLINK \l _Toc28617 </w:instrText>
              </w:r>
              <w:r>
                <w:fldChar w:fldCharType="separate"/>
              </w:r>
              <w:r>
                <w:t>十、  实施路径</w:t>
              </w:r>
              <w:r>
                <w:tab/>
              </w:r>
              <w:r>
                <w:fldChar w:fldCharType="begin"/>
              </w:r>
              <w:r>
                <w:instrText xml:space="preserve"> PAGEREF _Toc28617 \h </w:instrText>
              </w:r>
              <w:r>
                <w:fldChar w:fldCharType="separate"/>
              </w:r>
              <w:r>
                <w:t>6</w:t>
              </w:r>
              <w:r>
                <w:fldChar w:fldCharType="end"/>
              </w:r>
              <w:r>
                <w:fldChar w:fldCharType="end"/>
              </w:r>
            </w:p>
            <w:p w14:paraId="468DFB61">
              <w:pPr>
                <w:pStyle w:val="11"/>
                <w:tabs>
                  <w:tab w:val="right" w:leader="dot" w:pos="9026"/>
                </w:tabs>
                <w:spacing w:line="360" w:lineRule="auto"/>
              </w:pPr>
              <w:r>
                <w:fldChar w:fldCharType="begin"/>
              </w:r>
              <w:r>
                <w:instrText xml:space="preserve"> HYPERLINK \l _Toc2331 </w:instrText>
              </w:r>
              <w:r>
                <w:fldChar w:fldCharType="separate"/>
              </w:r>
              <w:r>
                <w:t>十一、  客户配合事项</w:t>
              </w:r>
              <w:r>
                <w:tab/>
              </w:r>
              <w:r>
                <w:fldChar w:fldCharType="begin"/>
              </w:r>
              <w:r>
                <w:instrText xml:space="preserve"> PAGEREF _Toc2331 \h </w:instrText>
              </w:r>
              <w:r>
                <w:fldChar w:fldCharType="separate"/>
              </w:r>
              <w:r>
                <w:t>7</w:t>
              </w:r>
              <w:r>
                <w:fldChar w:fldCharType="end"/>
              </w:r>
              <w:r>
                <w:fldChar w:fldCharType="end"/>
              </w:r>
            </w:p>
            <w:p w14:paraId="364CD4A3">
              <w:pPr>
                <w:pStyle w:val="11"/>
                <w:tabs>
                  <w:tab w:val="right" w:leader="dot" w:pos="9026"/>
                </w:tabs>
                <w:spacing w:line="360" w:lineRule="auto"/>
              </w:pPr>
              <w:r>
                <w:fldChar w:fldCharType="begin"/>
              </w:r>
              <w:r>
                <w:instrText xml:space="preserve"> HYPERLINK \l _Toc8249 </w:instrText>
              </w:r>
              <w:r>
                <w:fldChar w:fldCharType="separate"/>
              </w:r>
              <w:r>
                <w:t>十二、  验收建议</w:t>
              </w:r>
              <w:r>
                <w:tab/>
              </w:r>
              <w:r>
                <w:fldChar w:fldCharType="begin"/>
              </w:r>
              <w:r>
                <w:instrText xml:space="preserve"> PAGEREF _Toc8249 \h </w:instrText>
              </w:r>
              <w:r>
                <w:fldChar w:fldCharType="separate"/>
              </w:r>
              <w:r>
                <w:t>7</w:t>
              </w:r>
              <w:r>
                <w:fldChar w:fldCharType="end"/>
              </w:r>
              <w:r>
                <w:fldChar w:fldCharType="end"/>
              </w:r>
            </w:p>
            <w:p w14:paraId="6D9589BF">
              <w:pPr>
                <w:pStyle w:val="13"/>
                <w:tabs>
                  <w:tab w:val="right" w:leader="dot" w:pos="9026"/>
                </w:tabs>
                <w:spacing w:line="360" w:lineRule="auto"/>
              </w:pPr>
              <w:r>
                <w:fldChar w:fldCharType="begin"/>
              </w:r>
              <w:r>
                <w:instrText xml:space="preserve"> HYPERLINK \l _Toc1102 </w:instrText>
              </w:r>
              <w:r>
                <w:fldChar w:fldCharType="separate"/>
              </w:r>
              <w:r>
                <w:t>12.1 功能与数据验收</w:t>
              </w:r>
              <w:r>
                <w:tab/>
              </w:r>
              <w:r>
                <w:fldChar w:fldCharType="begin"/>
              </w:r>
              <w:r>
                <w:instrText xml:space="preserve"> PAGEREF _Toc1102 \h </w:instrText>
              </w:r>
              <w:r>
                <w:fldChar w:fldCharType="separate"/>
              </w:r>
              <w:r>
                <w:t>7</w:t>
              </w:r>
              <w:r>
                <w:fldChar w:fldCharType="end"/>
              </w:r>
              <w:r>
                <w:fldChar w:fldCharType="end"/>
              </w:r>
            </w:p>
            <w:p w14:paraId="411E625A">
              <w:pPr>
                <w:pStyle w:val="13"/>
                <w:tabs>
                  <w:tab w:val="right" w:leader="dot" w:pos="9026"/>
                </w:tabs>
                <w:spacing w:line="360" w:lineRule="auto"/>
              </w:pPr>
              <w:r>
                <w:fldChar w:fldCharType="begin"/>
              </w:r>
              <w:r>
                <w:instrText xml:space="preserve"> HYPERLINK \l _Toc9132 </w:instrText>
              </w:r>
              <w:r>
                <w:fldChar w:fldCharType="separate"/>
              </w:r>
              <w:r>
                <w:t>12.2 AI能力验收指标（建议试运行后确定具体数值）</w:t>
              </w:r>
              <w:r>
                <w:tab/>
              </w:r>
              <w:r>
                <w:fldChar w:fldCharType="begin"/>
              </w:r>
              <w:r>
                <w:instrText xml:space="preserve"> PAGEREF _Toc9132 \h </w:instrText>
              </w:r>
              <w:r>
                <w:fldChar w:fldCharType="separate"/>
              </w:r>
              <w:r>
                <w:t>8</w:t>
              </w:r>
              <w:r>
                <w:fldChar w:fldCharType="end"/>
              </w:r>
              <w:r>
                <w:fldChar w:fldCharType="end"/>
              </w:r>
            </w:p>
            <w:p w14:paraId="1174E31D">
              <w:pPr>
                <w:pStyle w:val="11"/>
                <w:tabs>
                  <w:tab w:val="right" w:leader="dot" w:pos="9026"/>
                </w:tabs>
                <w:spacing w:line="360" w:lineRule="auto"/>
              </w:pPr>
              <w:r>
                <w:fldChar w:fldCharType="begin"/>
              </w:r>
              <w:r>
                <w:instrText xml:space="preserve"> HYPERLINK \l _Toc19181 </w:instrText>
              </w:r>
              <w:r>
                <w:fldChar w:fldCharType="separate"/>
              </w:r>
              <w:r>
                <w:t>十三、  待确认事项</w:t>
              </w:r>
              <w:r>
                <w:tab/>
              </w:r>
              <w:r>
                <w:fldChar w:fldCharType="begin"/>
              </w:r>
              <w:r>
                <w:instrText xml:space="preserve"> PAGEREF _Toc19181 \h </w:instrText>
              </w:r>
              <w:r>
                <w:fldChar w:fldCharType="separate"/>
              </w:r>
              <w:r>
                <w:t>8</w:t>
              </w:r>
              <w:r>
                <w:fldChar w:fldCharType="end"/>
              </w:r>
              <w:r>
                <w:fldChar w:fldCharType="end"/>
              </w:r>
            </w:p>
            <w:p w14:paraId="3A9302D4">
              <w:pPr>
                <w:pStyle w:val="11"/>
                <w:tabs>
                  <w:tab w:val="right" w:leader="dot" w:pos="9026"/>
                </w:tabs>
                <w:spacing w:line="360" w:lineRule="auto"/>
              </w:pPr>
              <w:r>
                <w:fldChar w:fldCharType="begin"/>
              </w:r>
              <w:r>
                <w:instrText xml:space="preserve"> HYPERLINK \l _Toc19593 </w:instrText>
              </w:r>
              <w:r>
                <w:fldChar w:fldCharType="separate"/>
              </w:r>
              <w:r>
                <w:t>十四、  后续演进</w:t>
              </w:r>
              <w:r>
                <w:tab/>
              </w:r>
              <w:r>
                <w:fldChar w:fldCharType="begin"/>
              </w:r>
              <w:r>
                <w:instrText xml:space="preserve"> PAGEREF _Toc19593 \h </w:instrText>
              </w:r>
              <w:r>
                <w:fldChar w:fldCharType="separate"/>
              </w:r>
              <w:r>
                <w:t>8</w:t>
              </w:r>
              <w:r>
                <w:fldChar w:fldCharType="end"/>
              </w:r>
              <w:r>
                <w:fldChar w:fldCharType="end"/>
              </w:r>
            </w:p>
            <w:p w14:paraId="7D7EB080">
              <w:pPr>
                <w:spacing w:line="360" w:lineRule="auto"/>
              </w:pPr>
              <w:r>
                <w:fldChar w:fldCharType="end"/>
              </w:r>
            </w:p>
          </w:sdtContent>
        </w:sdt>
        <w:p w14:paraId="6AAF6528">
          <w:pPr>
            <w:tabs>
              <w:tab w:val="right" w:leader="dot" w:pos="9025"/>
            </w:tabs>
          </w:pPr>
        </w:p>
      </w:sdtContent>
    </w:sdt>
    <w:p w14:paraId="20C845DF">
      <w:r>
        <w:br w:type="page"/>
      </w:r>
    </w:p>
    <w:p w14:paraId="4E17B239">
      <w:pPr>
        <w:sectPr>
          <w:pgSz w:w="11906" w:h="16838"/>
          <w:pgMar w:top="1440" w:right="1440" w:bottom="1440" w:left="1440" w:header="708" w:footer="708" w:gutter="0"/>
          <w:cols w:space="720" w:num="1"/>
          <w:docGrid w:linePitch="360" w:charSpace="0"/>
        </w:sectPr>
      </w:pPr>
    </w:p>
    <w:p w14:paraId="1AB11DC8">
      <w:pPr>
        <w:pStyle w:val="2"/>
        <w:keepNext/>
      </w:pPr>
      <w:bookmarkStart w:id="0" w:name="_Toc22744"/>
      <w:r>
        <w:t>一、  项目背景</w:t>
      </w:r>
      <w:bookmarkEnd w:id="0"/>
    </w:p>
    <w:p w14:paraId="0177AD89">
      <w:pPr>
        <w:spacing w:after="160" w:line="360" w:lineRule="auto"/>
        <w:ind w:firstLine="440"/>
      </w:pPr>
      <w:r>
        <w:rPr>
          <w:b w:val="0"/>
          <w:bCs w:val="0"/>
          <w:i w:val="0"/>
          <w:iCs w:val="0"/>
          <w:sz w:val="22"/>
          <w:szCs w:val="22"/>
        </w:rPr>
        <w:t>湖南省“</w:t>
      </w:r>
      <w:r>
        <w:rPr>
          <w:rFonts w:hint="eastAsia"/>
          <w:b w:val="0"/>
          <w:bCs w:val="0"/>
          <w:i w:val="0"/>
          <w:iCs w:val="0"/>
          <w:sz w:val="22"/>
          <w:szCs w:val="22"/>
          <w:lang w:eastAsia="zh-CN"/>
        </w:rPr>
        <w:t>三客一危</w:t>
      </w:r>
      <w:r>
        <w:rPr>
          <w:b w:val="0"/>
          <w:bCs w:val="0"/>
          <w:i w:val="0"/>
          <w:iCs w:val="0"/>
          <w:sz w:val="22"/>
          <w:szCs w:val="22"/>
        </w:rPr>
        <w:t>”车辆智能监管平台（以下简称“省平台”）已具备报警生成、报警详情查看、视频查看、文本下发、语音对讲、报警查询、证据导出和申诉处理等基础页面能力。客户当前面临的核心问题，不是缺少一个新的监管平台，也不是缺少报警识别能力，而是报警产生后的第一处置链路仍高度依赖人工值守：监控人员需要持续盯屏、快速打开报警、判断类型、查看视频、选择提醒方式、对司机干预，并在司机未纠正、风险持续或无法判断时及时通知值班业务人员和企业负责人。该过程高频、重复、责任压力大，且处置记录若不能完整留痕，后续复盘、检查和责任说明都会变得困难。</w:t>
      </w:r>
    </w:p>
    <w:p w14:paraId="22E85A28">
      <w:pPr>
        <w:spacing w:after="160" w:line="360" w:lineRule="auto"/>
        <w:ind w:firstLine="440"/>
      </w:pPr>
      <w:r>
        <w:rPr>
          <w:b w:val="0"/>
          <w:bCs w:val="0"/>
          <w:i w:val="0"/>
          <w:iCs w:val="0"/>
          <w:sz w:val="22"/>
          <w:szCs w:val="22"/>
        </w:rPr>
        <w:t>关键技术约束：经核实，省平台未开放API。这意味着本项目首版只能通过浏览器插件监听省平台页面内容，并在页面上辅助触发对应按钮，而不能通过接口直接读取或写入数据。该约束用于限定首版技术形态，不代表重建省平台接口或绕过省平台业务规则——插件只读取和触发省平台已经具备的页面能力。</w:t>
      </w:r>
    </w:p>
    <w:p w14:paraId="7DA4DDB3">
      <w:pPr>
        <w:pStyle w:val="2"/>
        <w:keepNext/>
      </w:pPr>
      <w:bookmarkStart w:id="1" w:name="_Toc28030"/>
      <w:r>
        <w:t>二、  项目定位</w:t>
      </w:r>
      <w:bookmarkEnd w:id="1"/>
    </w:p>
    <w:p w14:paraId="0904BA82">
      <w:pPr>
        <w:spacing w:after="160" w:line="360" w:lineRule="auto"/>
        <w:ind w:firstLine="440"/>
      </w:pPr>
      <w:r>
        <w:rPr>
          <w:b w:val="0"/>
          <w:bCs w:val="0"/>
          <w:i w:val="0"/>
          <w:iCs w:val="0"/>
          <w:sz w:val="22"/>
          <w:szCs w:val="22"/>
        </w:rPr>
        <w:t>本项目不是单纯的报警查询工具，也不是一个替代省平台的监管系统，而是面向“</w:t>
      </w:r>
      <w:r>
        <w:rPr>
          <w:rFonts w:hint="eastAsia"/>
          <w:b w:val="0"/>
          <w:bCs w:val="0"/>
          <w:i w:val="0"/>
          <w:iCs w:val="0"/>
          <w:sz w:val="22"/>
          <w:szCs w:val="22"/>
          <w:lang w:eastAsia="zh-CN"/>
        </w:rPr>
        <w:t>三客一危</w:t>
      </w:r>
      <w:r>
        <w:rPr>
          <w:b w:val="0"/>
          <w:bCs w:val="0"/>
          <w:i w:val="0"/>
          <w:iCs w:val="0"/>
          <w:sz w:val="22"/>
          <w:szCs w:val="22"/>
        </w:rPr>
        <w:t>”车辆动态监管场景的“省平台报警第一处置辅助系统”。系统以浏览器插件方式运行在现有省平台页面之上，在报警出现后辅助监控人员完成“看见报警、读取信息、匹配规则、提醒司机、观察纠正、通知人工、生成记录”的过程。它的核心价值不是发现报警，而是把报警产生后的高压、重复、强责任处置流程，转化为标准化、可追踪、可复核的工作闭环。</w:t>
      </w:r>
    </w:p>
    <w:p w14:paraId="498FAD4C">
      <w:pPr>
        <w:pStyle w:val="2"/>
        <w:keepNext/>
      </w:pPr>
      <w:bookmarkStart w:id="2" w:name="_Toc18955"/>
      <w:r>
        <w:t>三、  建设目标</w:t>
      </w:r>
      <w:bookmarkEnd w:id="2"/>
    </w:p>
    <w:p w14:paraId="22C38BA0">
      <w:pPr>
        <w:pStyle w:val="20"/>
        <w:numPr>
          <w:ilvl w:val="0"/>
          <w:numId w:val="1"/>
        </w:numPr>
        <w:spacing w:after="100" w:line="340" w:lineRule="auto"/>
      </w:pPr>
      <w:r>
        <w:rPr>
          <w:b w:val="0"/>
          <w:bCs w:val="0"/>
          <w:sz w:val="22"/>
          <w:szCs w:val="22"/>
        </w:rPr>
        <w:t>建立省平台报警弹窗、报警列表和报警详情的稳定监听与字段读取能力；</w:t>
      </w:r>
    </w:p>
    <w:p w14:paraId="2BA7BC80">
      <w:pPr>
        <w:pStyle w:val="20"/>
        <w:numPr>
          <w:ilvl w:val="0"/>
          <w:numId w:val="1"/>
        </w:numPr>
        <w:spacing w:after="100" w:line="340" w:lineRule="auto"/>
      </w:pPr>
      <w:r>
        <w:rPr>
          <w:b w:val="0"/>
          <w:bCs w:val="0"/>
          <w:sz w:val="22"/>
          <w:szCs w:val="22"/>
        </w:rPr>
        <w:t>建立官方报警规则与客户处置SOP的结构化匹配能力；</w:t>
      </w:r>
    </w:p>
    <w:p>
      <w:pPr>
        <w:pStyle w:val="20"/>
      </w:pPr>
      <w:r>
        <w:t>建立按车辆类型识别差异化规则的能力，至少区分危货车、城乡公交、农村客运/客运班线等经营属性，避免用一套通用规则覆盖所有车辆；</w:t>
      </w:r>
    </w:p>
    <w:p w14:paraId="470D6593">
      <w:pPr>
        <w:pStyle w:val="20"/>
        <w:numPr>
          <w:ilvl w:val="0"/>
          <w:numId w:val="1"/>
        </w:numPr>
        <w:spacing w:after="100" w:line="340" w:lineRule="auto"/>
      </w:pPr>
      <w:r>
        <w:rPr>
          <w:b w:val="0"/>
          <w:bCs w:val="0"/>
          <w:sz w:val="22"/>
          <w:szCs w:val="22"/>
        </w:rPr>
        <w:t>建立按报警类型选择文本下发、语音对讲、内部确认或暂不处理的处置规则；</w:t>
      </w:r>
    </w:p>
    <w:p w14:paraId="05842D37">
      <w:pPr>
        <w:pStyle w:val="20"/>
        <w:numPr>
          <w:ilvl w:val="0"/>
          <w:numId w:val="1"/>
        </w:numPr>
        <w:spacing w:after="100" w:line="340" w:lineRule="auto"/>
      </w:pPr>
      <w:r>
        <w:rPr>
          <w:b w:val="0"/>
          <w:bCs w:val="0"/>
          <w:sz w:val="22"/>
          <w:szCs w:val="22"/>
        </w:rPr>
        <w:t>建立基于固定审核话术的司机提醒机制，避免AI自由发挥造成责任边界不清；</w:t>
      </w:r>
    </w:p>
    <w:p w14:paraId="1A7585A3">
      <w:pPr>
        <w:pStyle w:val="20"/>
        <w:numPr>
          <w:ilvl w:val="0"/>
          <w:numId w:val="1"/>
        </w:numPr>
        <w:spacing w:after="100" w:line="340" w:lineRule="auto"/>
      </w:pPr>
      <w:r>
        <w:rPr>
          <w:b w:val="0"/>
          <w:bCs w:val="0"/>
          <w:sz w:val="22"/>
          <w:szCs w:val="22"/>
        </w:rPr>
        <w:t>建立提醒后的纠正检测机制，对已纠正、未纠正、无法判断和高风险报警进行分类；</w:t>
      </w:r>
    </w:p>
    <w:p w14:paraId="550B0675">
      <w:pPr>
        <w:pStyle w:val="20"/>
        <w:numPr>
          <w:ilvl w:val="0"/>
          <w:numId w:val="1"/>
        </w:numPr>
        <w:spacing w:after="100" w:line="340" w:lineRule="auto"/>
      </w:pPr>
      <w:r>
        <w:rPr>
          <w:b w:val="0"/>
          <w:bCs w:val="0"/>
          <w:sz w:val="22"/>
          <w:szCs w:val="22"/>
        </w:rPr>
        <w:t>建立值班业务人员短信通知和事件详情页，确保异常报警及时被人工接收；</w:t>
      </w:r>
    </w:p>
    <w:p w14:paraId="6DFF5297">
      <w:pPr>
        <w:pStyle w:val="20"/>
        <w:numPr>
          <w:ilvl w:val="0"/>
          <w:numId w:val="1"/>
        </w:numPr>
        <w:spacing w:after="100" w:line="340" w:lineRule="auto"/>
      </w:pPr>
      <w:r>
        <w:rPr>
          <w:b w:val="0"/>
          <w:bCs w:val="0"/>
          <w:sz w:val="22"/>
          <w:szCs w:val="22"/>
        </w:rPr>
        <w:t>建立企业负责人沟通话术生成、一键复制和人工拨打电话入口；</w:t>
      </w:r>
    </w:p>
    <w:p>
      <w:pPr>
        <w:pStyle w:val="20"/>
      </w:pPr>
      <w:r>
        <w:t>建立企业要求的分类落地能力，将即时处置、升级时限、企业通知、台账留痕、设备异常、巡检和周期报表拆分管理；</w:t>
      </w:r>
    </w:p>
    <w:p w14:paraId="3A961F1D">
      <w:pPr>
        <w:pStyle w:val="20"/>
        <w:numPr>
          <w:ilvl w:val="0"/>
          <w:numId w:val="1"/>
        </w:numPr>
        <w:spacing w:after="100" w:line="340" w:lineRule="auto"/>
      </w:pPr>
      <w:r>
        <w:rPr>
          <w:b w:val="0"/>
          <w:bCs w:val="0"/>
          <w:sz w:val="22"/>
          <w:szCs w:val="22"/>
        </w:rPr>
        <w:t>建立AI处理记录台账，完整记录识别、提醒、检测、短信、查看、复制、拨打和人工确认过程。</w:t>
      </w:r>
    </w:p>
    <w:p w14:paraId="54231B79">
      <w:pPr>
        <w:pStyle w:val="2"/>
        <w:keepNext/>
      </w:pPr>
      <w:bookmarkStart w:id="3" w:name="_Toc8409"/>
      <w:r>
        <w:t>四、  总体架构</w:t>
      </w:r>
      <w:bookmarkEnd w:id="3"/>
    </w:p>
    <w:p w14:paraId="5A9C186A">
      <w:pPr>
        <w:spacing w:after="160" w:line="360" w:lineRule="auto"/>
        <w:ind w:firstLine="440"/>
      </w:pPr>
      <w:r>
        <w:rPr>
          <w:b w:val="0"/>
          <w:bCs w:val="0"/>
          <w:i w:val="0"/>
          <w:iCs w:val="0"/>
          <w:sz w:val="22"/>
          <w:szCs w:val="22"/>
        </w:rPr>
        <w:t>系统采用五层架构：底层依托省平台页面能力，中间通过浏览器插件完成页面读取和按钮触发，通过规则引擎与AI辅助判断形成处置建议，再通过短信和事件详情页交给值班业务人员，最终沉淀到AI处理记录台账。</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F63A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4C316FCF">
            <w:pPr>
              <w:jc w:val="center"/>
            </w:pPr>
            <w:r>
              <w:rPr>
                <w:b/>
                <w:bCs/>
                <w:color w:val="FFFFFF"/>
                <w:sz w:val="20"/>
                <w:szCs w:val="20"/>
              </w:rPr>
              <w:t>层级</w:t>
            </w:r>
          </w:p>
        </w:tc>
        <w:tc>
          <w:tcPr>
            <w:tcW w:w="676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64B2D613">
            <w:pPr>
              <w:jc w:val="center"/>
            </w:pPr>
            <w:r>
              <w:rPr>
                <w:b/>
                <w:bCs/>
                <w:color w:val="FFFFFF"/>
                <w:sz w:val="20"/>
                <w:szCs w:val="20"/>
              </w:rPr>
              <w:t>说明</w:t>
            </w:r>
          </w:p>
        </w:tc>
      </w:tr>
      <w:tr w14:paraId="156EC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0A255C05">
            <w:pPr>
              <w:jc w:val="left"/>
            </w:pPr>
            <w:r>
              <w:rPr>
                <w:b w:val="0"/>
                <w:bCs w:val="0"/>
                <w:color w:val="000000"/>
                <w:sz w:val="20"/>
                <w:szCs w:val="20"/>
              </w:rPr>
              <w:t>① 省平台页面与车辆监管数据层</w:t>
            </w:r>
          </w:p>
        </w:tc>
        <w:tc>
          <w:tcPr>
            <w:tcW w:w="67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4CCB0AF8">
            <w:pPr>
              <w:jc w:val="left"/>
            </w:pPr>
            <w:r>
              <w:rPr>
                <w:b w:val="0"/>
                <w:bCs w:val="0"/>
                <w:color w:val="000000"/>
                <w:sz w:val="20"/>
                <w:szCs w:val="20"/>
              </w:rPr>
              <w:t>报警弹窗、报警列表、报警详情、视频画面、文本下发、语音对讲、证据导出、车辆与驾驶员档案等现有页面能力；插件只读取和触发，不绕过省平台业务规则。</w:t>
            </w:r>
          </w:p>
        </w:tc>
      </w:tr>
      <w:tr w14:paraId="785A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139C786B">
            <w:pPr>
              <w:jc w:val="left"/>
            </w:pPr>
            <w:r>
              <w:rPr>
                <w:b w:val="0"/>
                <w:bCs w:val="0"/>
                <w:color w:val="000000"/>
                <w:sz w:val="20"/>
                <w:szCs w:val="20"/>
              </w:rPr>
              <w:t>② 浏览器插件采集与执行层</w:t>
            </w:r>
          </w:p>
        </w:tc>
        <w:tc>
          <w:tcPr>
            <w:tcW w:w="67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4CA07FF0">
            <w:pPr>
              <w:jc w:val="left"/>
            </w:pPr>
            <w:r>
              <w:rPr>
                <w:b w:val="0"/>
                <w:bCs w:val="0"/>
                <w:color w:val="000000"/>
                <w:sz w:val="20"/>
                <w:szCs w:val="20"/>
              </w:rPr>
              <w:t>监听报警弹窗、读取DOM字段、打开报警详情、识别按钮状态、触发文本下发/语音对讲；读取或触发失败必须显式提示人工接管。</w:t>
            </w:r>
          </w:p>
        </w:tc>
      </w:tr>
      <w:tr w14:paraId="725A6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526D9578">
            <w:pPr>
              <w:jc w:val="left"/>
            </w:pPr>
            <w:r>
              <w:rPr>
                <w:b w:val="0"/>
                <w:bCs w:val="0"/>
                <w:color w:val="000000"/>
                <w:sz w:val="20"/>
                <w:szCs w:val="20"/>
              </w:rPr>
              <w:t>③ 规则引擎与AI辅助判断层</w:t>
            </w:r>
          </w:p>
        </w:tc>
        <w:tc>
          <w:tcPr>
            <w:tcW w:w="67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49E6FA62">
            <w:pPr>
              <w:jc w:val="left"/>
            </w:pPr>
            <w:r>
              <w:rPr>
                <w:b w:val="0"/>
                <w:bCs w:val="0"/>
                <w:color w:val="000000"/>
                <w:sz w:val="20"/>
                <w:szCs w:val="20"/>
              </w:rPr>
              <w:t>匹配官方报警规则、客户SOP、风险等级；VLM辅助判断驾驶员状态与是否纠正；LLM仅生成审核模板内的摘要与沟通话术，不做未经审核的自由处置。</w:t>
            </w:r>
          </w:p>
        </w:tc>
      </w:tr>
      <w:tr w14:paraId="529C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61EA29C8">
            <w:pPr>
              <w:jc w:val="left"/>
            </w:pPr>
            <w:r>
              <w:rPr>
                <w:b w:val="0"/>
                <w:bCs w:val="0"/>
                <w:color w:val="000000"/>
                <w:sz w:val="20"/>
                <w:szCs w:val="20"/>
              </w:rPr>
              <w:t>④ 事件通知与人工协同层</w:t>
            </w:r>
          </w:p>
        </w:tc>
        <w:tc>
          <w:tcPr>
            <w:tcW w:w="67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496A693E">
            <w:pPr>
              <w:jc w:val="left"/>
            </w:pPr>
            <w:r>
              <w:rPr>
                <w:b w:val="0"/>
                <w:bCs w:val="0"/>
                <w:color w:val="000000"/>
                <w:sz w:val="20"/>
                <w:szCs w:val="20"/>
              </w:rPr>
              <w:t>对未纠正、无法判断或高风险报警生成事件记录，短信通知值班业务人员；值班人员可查看详情、复制话术、人工拨打企业负责人电话。</w:t>
            </w:r>
          </w:p>
        </w:tc>
      </w:tr>
      <w:tr w14:paraId="04BB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7563D3FF">
            <w:pPr>
              <w:jc w:val="left"/>
            </w:pPr>
            <w:r>
              <w:rPr>
                <w:b w:val="0"/>
                <w:bCs w:val="0"/>
                <w:color w:val="000000"/>
                <w:sz w:val="20"/>
                <w:szCs w:val="20"/>
              </w:rPr>
              <w:t>⑤ AI处理记录台账层</w:t>
            </w:r>
          </w:p>
        </w:tc>
        <w:tc>
          <w:tcPr>
            <w:tcW w:w="67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0E31F38E">
            <w:pPr>
              <w:jc w:val="left"/>
            </w:pPr>
            <w:r>
              <w:rPr>
                <w:b w:val="0"/>
                <w:bCs w:val="0"/>
                <w:color w:val="000000"/>
                <w:sz w:val="20"/>
                <w:szCs w:val="20"/>
              </w:rPr>
              <w:t>保存识别、规则匹配、提醒、检测、通知、查看、复制、拨打和人工备注等全过程记录，支持按分层颗粒度查询（见第六章）。</w:t>
            </w:r>
          </w:p>
        </w:tc>
      </w:tr>
    </w:tbl>
    <w:p w14:paraId="3B35FA8C">
      <w:pPr>
        <w:pStyle w:val="2"/>
        <w:keepNext/>
      </w:pPr>
      <w:bookmarkStart w:id="4" w:name="_Toc25407"/>
      <w:r>
        <w:t>五、  核心功能设计</w:t>
      </w:r>
      <w:bookmarkEnd w:id="4"/>
    </w:p>
    <w:p w14:paraId="2293FC65">
      <w:pPr>
        <w:pStyle w:val="3"/>
        <w:keepNext/>
      </w:pPr>
      <w:bookmarkStart w:id="5" w:name="_Toc25355"/>
      <w:r>
        <w:t>5.1 报警监听与信息读取</w:t>
      </w:r>
      <w:bookmarkEnd w:id="5"/>
    </w:p>
    <w:p w14:paraId="0ED7671D">
      <w:pPr>
        <w:pStyle w:val="20"/>
        <w:numPr>
          <w:ilvl w:val="0"/>
          <w:numId w:val="1"/>
        </w:numPr>
        <w:spacing w:after="100" w:line="340" w:lineRule="auto"/>
      </w:pPr>
      <w:r>
        <w:rPr>
          <w:b w:val="0"/>
          <w:bCs w:val="0"/>
          <w:sz w:val="22"/>
          <w:szCs w:val="22"/>
        </w:rPr>
        <w:t>优先监听省平台实时报警弹窗，读取报警类型、车牌、报警时间和查看入口；弹窗不可用时从报警列表兜底，仍失败则提示人工接管；</w:t>
      </w:r>
    </w:p>
    <w:p w14:paraId="59290C59">
      <w:pPr>
        <w:pStyle w:val="20"/>
        <w:numPr>
          <w:ilvl w:val="0"/>
          <w:numId w:val="1"/>
        </w:numPr>
        <w:spacing w:after="100" w:line="340" w:lineRule="auto"/>
      </w:pPr>
      <w:r>
        <w:rPr>
          <w:b w:val="0"/>
          <w:bCs w:val="0"/>
          <w:sz w:val="22"/>
          <w:szCs w:val="22"/>
        </w:rPr>
        <w:t>读取车牌、企业、驾驶员、时间、速度、位置、车辆状态等字段时标记数据来源，避免把推测字段当作事实字段；</w:t>
      </w:r>
    </w:p>
    <w:p w14:paraId="5761C83F">
      <w:pPr>
        <w:pStyle w:val="20"/>
        <w:numPr>
          <w:ilvl w:val="0"/>
          <w:numId w:val="1"/>
        </w:numPr>
        <w:spacing w:after="100" w:line="340" w:lineRule="auto"/>
      </w:pPr>
      <w:r>
        <w:rPr>
          <w:b w:val="0"/>
          <w:bCs w:val="0"/>
          <w:sz w:val="22"/>
          <w:szCs w:val="22"/>
        </w:rPr>
        <w:t>打开报警详情后读取速度、位置、车辆状态、视频状态和页面处理状态；字段缺失时标记为缺失，不自动补全；</w:t>
      </w:r>
    </w:p>
    <w:p w14:paraId="144509EC">
      <w:pPr>
        <w:pStyle w:val="20"/>
        <w:numPr>
          <w:ilvl w:val="0"/>
          <w:numId w:val="1"/>
        </w:numPr>
        <w:spacing w:after="100" w:line="340" w:lineRule="auto"/>
      </w:pPr>
      <w:r>
        <w:rPr>
          <w:b w:val="0"/>
          <w:bCs w:val="0"/>
          <w:sz w:val="22"/>
          <w:szCs w:val="22"/>
        </w:rPr>
        <w:t>记录报警截图、视频帧、速度曲线、页面状态和按钮触发结果作为证据；证据缺失时不能直接判定为已纠正。</w:t>
      </w:r>
    </w:p>
    <w:p w14:paraId="49990A9F">
      <w:pPr>
        <w:pStyle w:val="3"/>
        <w:keepNext/>
      </w:pPr>
      <w:bookmarkStart w:id="6" w:name="_Toc31832"/>
      <w:r>
        <w:t>5.2 官方规则与客户SOP匹配</w:t>
      </w:r>
      <w:bookmarkEnd w:id="6"/>
    </w:p>
    <w:p w14:paraId="0CD9661B">
      <w:pPr>
        <w:pStyle w:val="20"/>
        <w:numPr>
          <w:ilvl w:val="0"/>
          <w:numId w:val="1"/>
        </w:numPr>
        <w:spacing w:after="100" w:line="340" w:lineRule="auto"/>
      </w:pPr>
      <w:r>
        <w:rPr>
          <w:b w:val="0"/>
          <w:bCs w:val="0"/>
          <w:sz w:val="22"/>
          <w:szCs w:val="22"/>
        </w:rPr>
        <w:t>将官方报警规则转化为可配置规则，包括提醒方式、纠正标准和升级条件；官方规则优先，客户SOP作为补充；</w:t>
      </w:r>
    </w:p>
    <w:p w14:paraId="2B622456">
      <w:pPr>
        <w:pStyle w:val="20"/>
        <w:numPr>
          <w:ilvl w:val="0"/>
          <w:numId w:val="1"/>
        </w:numPr>
        <w:spacing w:after="100" w:line="340" w:lineRule="auto"/>
      </w:pPr>
      <w:r>
        <w:rPr>
          <w:b w:val="0"/>
          <w:bCs w:val="0"/>
          <w:sz w:val="22"/>
          <w:szCs w:val="22"/>
        </w:rPr>
        <w:t>按客户内部管理要求匹配文本、语音、内部确认或企业沟通；SOP未确认事项标记为“待业务确认”；</w:t>
      </w:r>
    </w:p>
    <w:p w14:paraId="755DCC13">
      <w:pPr>
        <w:pStyle w:val="20"/>
        <w:numPr>
          <w:ilvl w:val="0"/>
          <w:numId w:val="1"/>
        </w:numPr>
        <w:spacing w:after="100" w:line="340" w:lineRule="auto"/>
      </w:pPr>
      <w:r>
        <w:rPr>
          <w:b w:val="0"/>
          <w:bCs w:val="0"/>
          <w:sz w:val="22"/>
          <w:szCs w:val="22"/>
        </w:rPr>
        <w:t>高风险报警的风险等级判断结果必须进入人工确认，不允许系统自行通过；</w:t>
      </w:r>
    </w:p>
    <w:p w14:paraId="49F5AC3A">
      <w:pPr>
        <w:pStyle w:val="20"/>
        <w:numPr>
          <w:ilvl w:val="0"/>
          <w:numId w:val="1"/>
        </w:numPr>
        <w:spacing w:after="100" w:line="340" w:lineRule="auto"/>
      </w:pPr>
      <w:r>
        <w:rPr>
          <w:b w:val="0"/>
          <w:bCs w:val="0"/>
          <w:sz w:val="22"/>
          <w:szCs w:val="22"/>
        </w:rPr>
        <w:t>特别说明：官方“当日分析”类报警不能机械理解为“不提醒司机”。超时驾驶、超速驾驶、夜间异动等报警在官方处置口径上偏向当日分析，但在客户SOP下仍可能需要实时提醒司机——该判断只适用于本项目当前业务语境，不能泛化到其他监管项目。</w:t>
      </w:r>
    </w:p>
    <w:p>
      <w:pPr>
        <w:pStyle w:val="4"/>
      </w:pPr>
      <w:r>
        <w:t>5.2.1 车辆类型差异化规则与处置口径</w:t>
      </w:r>
    </w:p>
    <w:p>
      <w:pPr/>
      <w:r>
        <w:t>本项目不能把“三客一危”简单处理成同一套报警规则。规则引擎应先读取或人工确认车辆类型、经营属性、核载/站立区白名单、危险品运输属性等基础字段，再匹配对应报警规则、司机提醒、企业通知和台账留痕要求。车辆类型缺失或规则口径未确认时，系统只给出待确认提示，不自动完成最终处置。</w:t>
      </w:r>
    </w:p>
    <w:tbl>
      <w:tblPr>
        <w:tblW w:type="auto" w:w="0"/>
        <w:jc w:val="center"/>
        <w:tblLayout w:type="autofit"/>
        <w:tblLook w:firstColumn="1" w:firstRow="1" w:lastColumn="0" w:lastRow="0" w:noHBand="0" w:noVBand="1" w:val="04A0"/>
      </w:tblPr>
      <w:tblGrid>
        <w:gridCol w:w="4513"/>
        <w:gridCol w:w="4513"/>
      </w:tblGrid>
      <w:tr>
        <w:tc>
          <w:tcPr>
            <w:tcW w:type="dxa" w:w="1700"/>
            <w:vAlign w:val="top"/>
            <w:shd w:fill="1F3A5F"/>
          </w:tcPr>
          <w:p>
            <w:pPr>
              <w:jc w:val="center"/>
            </w:pPr>
            <w:r>
              <w:rPr>
                <w:b/>
                <w:sz w:val="19"/>
                <w:color w:val="FFFFFF"/>
              </w:rPr>
              <w:t>车辆类型</w:t>
            </w:r>
          </w:p>
        </w:tc>
        <w:tc>
          <w:tcPr>
            <w:tcW w:type="dxa" w:w="7600"/>
            <w:vAlign w:val="top"/>
            <w:shd w:fill="1F3A5F"/>
          </w:tcPr>
          <w:p>
            <w:pPr>
              <w:jc w:val="center"/>
            </w:pPr>
            <w:r>
              <w:rPr>
                <w:b/>
                <w:sz w:val="19"/>
                <w:color w:val="FFFFFF"/>
              </w:rPr>
              <w:t>规则与系统处理要点</w:t>
            </w:r>
          </w:p>
        </w:tc>
      </w:tr>
      <w:tr>
        <w:tc>
          <w:tcPr>
            <w:tcW w:type="dxa" w:w="1700"/>
            <w:vAlign w:val="top"/>
          </w:tcPr>
          <w:p>
            <w:pPr>
              <w:jc w:val="left"/>
            </w:pPr>
            <w:r>
              <w:rPr>
                <w:sz w:val="18"/>
              </w:rPr>
              <w:t>共同适用</w:t>
            </w:r>
          </w:p>
        </w:tc>
        <w:tc>
          <w:tcPr>
            <w:tcW w:type="dxa" w:w="7600"/>
            <w:vAlign w:val="top"/>
          </w:tcPr>
          <w:p>
            <w:pPr>
              <w:jc w:val="left"/>
            </w:pPr>
            <w:r>
              <w:rPr>
                <w:sz w:val="18"/>
              </w:rPr>
              <w:t>规则差异：驾驶员突发情况、生理疲劳、超时驾驶、超速驾驶、接打手持电话、抽烟、未系安全带、分心驾驶、双手脱离方向盘、驾驶员身份识别、离线位移、设备故障、疑似事故、前向车距提醒、风险路段提醒等可作为基础规则库。</w:t>
              <w:br/>
              <w:t>系统处理：仍需按车辆类型调整速度阈值、纠正标准和提醒方式。</w:t>
            </w:r>
          </w:p>
        </w:tc>
      </w:tr>
      <w:tr>
        <w:tc>
          <w:tcPr>
            <w:tcW w:type="dxa" w:w="1700"/>
            <w:vAlign w:val="top"/>
          </w:tcPr>
          <w:p>
            <w:pPr>
              <w:jc w:val="left"/>
            </w:pPr>
            <w:r>
              <w:rPr>
                <w:sz w:val="18"/>
              </w:rPr>
              <w:t>危货车</w:t>
            </w:r>
          </w:p>
        </w:tc>
        <w:tc>
          <w:tcPr>
            <w:tcW w:type="dxa" w:w="7600"/>
            <w:vAlign w:val="top"/>
          </w:tcPr>
          <w:p>
            <w:pPr>
              <w:jc w:val="left"/>
            </w:pPr>
            <w:r>
              <w:rPr>
                <w:sz w:val="18"/>
              </w:rPr>
              <w:t>规则差异：重点关注危险品运输安全、押运员身份识别、电子运单、异地经营、设备定位和超速阈值。危货超速口径为车速&gt;80公里/小时，非高速车速&gt;60公里/小时且持续60秒及以上；双手脱离方向盘按车速&gt;=40公里/小时处理；危货无单手脱离方向盘报警；超员和城乡公交电子围栏经营类规则通常不适用。</w:t>
              <w:br/>
              <w:t>系统处理：押运员身份识别、电子运单报警、异地经营提醒应进入危货专属配置。首版若客户未确认数据字段和处置权限，仅提示人工核查，不自动判定。</w:t>
            </w:r>
          </w:p>
        </w:tc>
      </w:tr>
      <w:tr>
        <w:tc>
          <w:tcPr>
            <w:tcW w:type="dxa" w:w="1700"/>
            <w:vAlign w:val="top"/>
          </w:tcPr>
          <w:p>
            <w:pPr>
              <w:jc w:val="left"/>
            </w:pPr>
            <w:r>
              <w:rPr>
                <w:sz w:val="18"/>
              </w:rPr>
              <w:t>城乡公交</w:t>
            </w:r>
          </w:p>
        </w:tc>
        <w:tc>
          <w:tcPr>
            <w:tcW w:type="dxa" w:w="7600"/>
            <w:vAlign w:val="top"/>
          </w:tcPr>
          <w:p>
            <w:pPr>
              <w:jc w:val="left"/>
            </w:pPr>
            <w:r>
              <w:rPr>
                <w:sz w:val="18"/>
              </w:rPr>
              <w:t>规则差异：重点关注载客安全、站立区或白名单、线路/电子围栏、超范围经营、超员、单手脱离方向盘和乘客安全带巡检。城乡公交超速口径为车速&gt;100公里/小时，非高速车速&gt;70公里/小时且持续60秒及以上；单手脱离方向盘按车速&gt;=30公里/小时且持续50秒及以上处理；双手脱离方向盘按车速&gt;=30公里/小时处理。</w:t>
              <w:br/>
              <w:t>系统处理：需配置核载人数、站立区白名单、线路/围栏和跨区域经营规则。设立站立区车辆是否暂不纳入考核，需要客户确认。</w:t>
            </w:r>
          </w:p>
        </w:tc>
      </w:tr>
      <w:tr>
        <w:tc>
          <w:tcPr>
            <w:tcW w:type="dxa" w:w="1700"/>
            <w:vAlign w:val="top"/>
          </w:tcPr>
          <w:p>
            <w:pPr>
              <w:jc w:val="left"/>
            </w:pPr>
            <w:r>
              <w:rPr>
                <w:sz w:val="18"/>
              </w:rPr>
              <w:t>农村客运/客运班线</w:t>
            </w:r>
          </w:p>
        </w:tc>
        <w:tc>
          <w:tcPr>
            <w:tcW w:type="dxa" w:w="7600"/>
            <w:vAlign w:val="top"/>
          </w:tcPr>
          <w:p>
            <w:pPr>
              <w:jc w:val="left"/>
            </w:pPr>
            <w:r>
              <w:rPr>
                <w:sz w:val="18"/>
              </w:rPr>
              <w:t>规则差异：重点关注载客安全、线路经营、夜间时段、超员、超速、单手脱离方向盘和乘客安全带相关要求。若按客运班线口径执行，超速可参考客运白天&gt;100公里/小时、夜间&gt;80公里/小时；9座以下定制班线可参考白天&gt;120公里/小时、夜间&gt;96公里/小时；夜间时段通常为22:00至次日6:00。</w:t>
              <w:br/>
              <w:t>系统处理：农村客运究竟按“客运”“城乡公交”还是单独口径配置，需要客户提供车辆清单和监管口径。未确认前不把农村客运规则写死。</w:t>
            </w:r>
          </w:p>
        </w:tc>
      </w:tr>
      <w:tr>
        <w:tc>
          <w:tcPr>
            <w:tcW w:type="dxa" w:w="1700"/>
            <w:vAlign w:val="top"/>
          </w:tcPr>
          <w:p>
            <w:pPr>
              <w:jc w:val="left"/>
            </w:pPr>
            <w:r>
              <w:rPr>
                <w:sz w:val="18"/>
              </w:rPr>
              <w:t>待确认边界</w:t>
            </w:r>
          </w:p>
        </w:tc>
        <w:tc>
          <w:tcPr>
            <w:tcW w:type="dxa" w:w="7600"/>
            <w:vAlign w:val="top"/>
          </w:tcPr>
          <w:p>
            <w:pPr>
              <w:jc w:val="left"/>
            </w:pPr>
            <w:r>
              <w:rPr>
                <w:sz w:val="18"/>
              </w:rPr>
              <w:t>规则差异：夜间异动在附件中适用车辆写为“客运”；城乡公交和农村客运是否纳入夜间异动、是否存在特殊报备或审批流程，需业务侧确认。</w:t>
              <w:br/>
              <w:t>系统处理：作为待业务确认项进入实施清单和验收前规则冻结清单。</w:t>
            </w:r>
          </w:p>
        </w:tc>
      </w:tr>
    </w:tbl>
    <w:p>
      <w:pPr/>
      <w:r>
        <w:t>以上口径来自已解析的报警规则清单和企业要求资料，属于本项目规则配置依据。正式上线前仍需客户确认车辆类型字段来源、车辆清单、平台字段可读性和各类报警在本企业的执行边界。</w:t>
      </w:r>
    </w:p>
    <w:p w14:paraId="5017ED1C">
      <w:pPr>
        <w:pStyle w:val="3"/>
        <w:keepNext/>
      </w:pPr>
      <w:bookmarkStart w:id="7" w:name="_Toc23887"/>
      <w:r>
        <w:t>5.3 司机提醒与纠正检测</w:t>
      </w:r>
      <w:bookmarkEnd w:id="7"/>
    </w:p>
    <w:p w14:paraId="3C5F72A0">
      <w:pPr>
        <w:spacing w:after="200" w:line="360" w:lineRule="auto"/>
        <w:ind w:firstLine="440"/>
      </w:pPr>
      <w:r>
        <w:rPr>
          <w:b w:val="0"/>
          <w:bCs w:val="0"/>
          <w:i w:val="0"/>
          <w:iCs w:val="0"/>
          <w:sz w:val="22"/>
          <w:szCs w:val="22"/>
        </w:rPr>
        <w:t>提醒方式不默认“文本+语音都做”，原则如下：官方要求即时人工干预或喊话提醒的报警，语音对讲必做，文本仅作补充或失败兜底；需要司机即时纠正的驾驶行为类报警，语音对讲优先；设备类、调度类、事后类报警不默认喊司机，优先进入内部确认；所有司机提醒话术使用审核后的固定模板，避免AI自由生成造成责任边界不清。</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3760"/>
      </w:tblGrid>
      <w:tr w14:paraId="4E591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465A4F20">
            <w:pPr>
              <w:jc w:val="center"/>
            </w:pPr>
            <w:r>
              <w:rPr>
                <w:b/>
                <w:bCs/>
                <w:color w:val="FFFFFF"/>
                <w:sz w:val="20"/>
                <w:szCs w:val="20"/>
              </w:rPr>
              <w:t>报警类型</w:t>
            </w:r>
          </w:p>
        </w:tc>
        <w:tc>
          <w:tcPr>
            <w:tcW w:w="24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5F3ACAFF">
            <w:pPr>
              <w:jc w:val="center"/>
            </w:pPr>
            <w:r>
              <w:rPr>
                <w:b/>
                <w:bCs/>
                <w:color w:val="FFFFFF"/>
                <w:sz w:val="20"/>
                <w:szCs w:val="20"/>
              </w:rPr>
              <w:t>首版提醒方式</w:t>
            </w:r>
          </w:p>
        </w:tc>
        <w:tc>
          <w:tcPr>
            <w:tcW w:w="376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5A4F999D">
            <w:pPr>
              <w:jc w:val="center"/>
            </w:pPr>
            <w:r>
              <w:rPr>
                <w:b/>
                <w:bCs/>
                <w:color w:val="FFFFFF"/>
                <w:sz w:val="20"/>
                <w:szCs w:val="20"/>
              </w:rPr>
              <w:t>已做到位判定（示例）</w:t>
            </w:r>
          </w:p>
        </w:tc>
      </w:tr>
      <w:tr w14:paraId="3DCA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09D1864D">
            <w:pPr>
              <w:jc w:val="left"/>
            </w:pPr>
            <w:r>
              <w:rPr>
                <w:b w:val="0"/>
                <w:bCs w:val="0"/>
                <w:color w:val="000000"/>
                <w:sz w:val="20"/>
                <w:szCs w:val="20"/>
              </w:rPr>
              <w:t>驾驶员突发情况报警</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2C74CCBE">
            <w:pPr>
              <w:jc w:val="left"/>
            </w:pPr>
            <w:r>
              <w:rPr>
                <w:b w:val="0"/>
                <w:bCs w:val="0"/>
                <w:color w:val="000000"/>
                <w:sz w:val="20"/>
                <w:szCs w:val="20"/>
              </w:rPr>
              <w:t>语音对讲必做</w:t>
            </w:r>
          </w:p>
        </w:tc>
        <w:tc>
          <w:tcPr>
            <w:tcW w:w="37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5B4AEB0A">
            <w:pPr>
              <w:jc w:val="left"/>
            </w:pPr>
            <w:r>
              <w:rPr>
                <w:b w:val="0"/>
                <w:bCs w:val="0"/>
                <w:color w:val="000000"/>
                <w:sz w:val="20"/>
                <w:szCs w:val="20"/>
              </w:rPr>
              <w:t>驾驶员回到监控区域，报警不再持续</w:t>
            </w:r>
          </w:p>
        </w:tc>
      </w:tr>
      <w:tr w14:paraId="19F8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17DB78E8">
            <w:pPr>
              <w:jc w:val="left"/>
            </w:pPr>
            <w:r>
              <w:rPr>
                <w:b w:val="0"/>
                <w:bCs w:val="0"/>
                <w:color w:val="000000"/>
                <w:sz w:val="20"/>
                <w:szCs w:val="20"/>
              </w:rPr>
              <w:t>生理疲劳报警</w:t>
            </w:r>
          </w:p>
        </w:tc>
        <w:tc>
          <w:tcPr>
            <w:tcW w:w="24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0606F620">
            <w:pPr>
              <w:jc w:val="left"/>
            </w:pPr>
            <w:r>
              <w:rPr>
                <w:b w:val="0"/>
                <w:bCs w:val="0"/>
                <w:color w:val="000000"/>
                <w:sz w:val="20"/>
                <w:szCs w:val="20"/>
              </w:rPr>
              <w:t>语音对讲必做</w:t>
            </w:r>
          </w:p>
        </w:tc>
        <w:tc>
          <w:tcPr>
            <w:tcW w:w="37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55AFADB2">
            <w:pPr>
              <w:jc w:val="left"/>
            </w:pPr>
            <w:r>
              <w:rPr>
                <w:b w:val="0"/>
                <w:bCs w:val="0"/>
                <w:color w:val="000000"/>
                <w:sz w:val="20"/>
                <w:szCs w:val="20"/>
              </w:rPr>
              <w:t>降速并就近停车或报警解除；停车时长口径待确认</w:t>
            </w:r>
          </w:p>
        </w:tc>
      </w:tr>
      <w:tr w14:paraId="7C19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16FD4367">
            <w:pPr>
              <w:jc w:val="left"/>
            </w:pPr>
            <w:r>
              <w:rPr>
                <w:b w:val="0"/>
                <w:bCs w:val="0"/>
                <w:color w:val="000000"/>
                <w:sz w:val="20"/>
                <w:szCs w:val="20"/>
              </w:rPr>
              <w:t>手部脱离方向盘报警</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085A6128">
            <w:pPr>
              <w:jc w:val="left"/>
            </w:pPr>
            <w:r>
              <w:rPr>
                <w:b w:val="0"/>
                <w:bCs w:val="0"/>
                <w:color w:val="000000"/>
                <w:sz w:val="20"/>
                <w:szCs w:val="20"/>
              </w:rPr>
              <w:t>语音对讲必做</w:t>
            </w:r>
          </w:p>
        </w:tc>
        <w:tc>
          <w:tcPr>
            <w:tcW w:w="37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08224A10">
            <w:pPr>
              <w:jc w:val="left"/>
            </w:pPr>
            <w:r>
              <w:rPr>
                <w:b w:val="0"/>
                <w:bCs w:val="0"/>
                <w:color w:val="000000"/>
                <w:sz w:val="20"/>
                <w:szCs w:val="20"/>
              </w:rPr>
              <w:t>手部恢复规范驾驶，报警不再持续</w:t>
            </w:r>
          </w:p>
        </w:tc>
      </w:tr>
      <w:tr w14:paraId="4F64E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775B51B8">
            <w:pPr>
              <w:jc w:val="left"/>
            </w:pPr>
            <w:r>
              <w:rPr>
                <w:b w:val="0"/>
                <w:bCs w:val="0"/>
                <w:color w:val="000000"/>
                <w:sz w:val="20"/>
                <w:szCs w:val="20"/>
              </w:rPr>
              <w:t>超时驾驶报警</w:t>
            </w:r>
          </w:p>
        </w:tc>
        <w:tc>
          <w:tcPr>
            <w:tcW w:w="24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1CAA466D">
            <w:pPr>
              <w:jc w:val="left"/>
            </w:pPr>
            <w:r>
              <w:rPr>
                <w:b w:val="0"/>
                <w:bCs w:val="0"/>
                <w:color w:val="000000"/>
                <w:sz w:val="20"/>
                <w:szCs w:val="20"/>
              </w:rPr>
              <w:t>语音对讲优先</w:t>
            </w:r>
          </w:p>
        </w:tc>
        <w:tc>
          <w:tcPr>
            <w:tcW w:w="37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6285C8F1">
            <w:pPr>
              <w:jc w:val="left"/>
            </w:pPr>
            <w:r>
              <w:rPr>
                <w:b w:val="0"/>
                <w:bCs w:val="0"/>
                <w:color w:val="000000"/>
                <w:sz w:val="20"/>
                <w:szCs w:val="20"/>
              </w:rPr>
              <w:t>安全停车休息；20分钟判定口径待确认</w:t>
            </w:r>
          </w:p>
        </w:tc>
      </w:tr>
      <w:tr w14:paraId="3E40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099F00C9">
            <w:pPr>
              <w:jc w:val="left"/>
            </w:pPr>
            <w:r>
              <w:rPr>
                <w:b w:val="0"/>
                <w:bCs w:val="0"/>
                <w:color w:val="000000"/>
                <w:sz w:val="20"/>
                <w:szCs w:val="20"/>
              </w:rPr>
              <w:t>超速驾驶报警</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647C1EEE">
            <w:pPr>
              <w:jc w:val="left"/>
            </w:pPr>
            <w:r>
              <w:rPr>
                <w:b w:val="0"/>
                <w:bCs w:val="0"/>
                <w:color w:val="000000"/>
                <w:sz w:val="20"/>
                <w:szCs w:val="20"/>
              </w:rPr>
              <w:t>语音对讲优先</w:t>
            </w:r>
          </w:p>
        </w:tc>
        <w:tc>
          <w:tcPr>
            <w:tcW w:w="37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7E29EAB5">
            <w:pPr>
              <w:jc w:val="left"/>
            </w:pPr>
            <w:r>
              <w:rPr>
                <w:b w:val="0"/>
                <w:bCs w:val="0"/>
                <w:color w:val="000000"/>
                <w:sz w:val="20"/>
                <w:szCs w:val="20"/>
              </w:rPr>
              <w:t>车速降至限速阈值以下</w:t>
            </w:r>
          </w:p>
        </w:tc>
      </w:tr>
      <w:tr w14:paraId="0C2F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662055FB">
            <w:pPr>
              <w:jc w:val="left"/>
            </w:pPr>
            <w:r>
              <w:rPr>
                <w:b w:val="0"/>
                <w:bCs w:val="0"/>
                <w:color w:val="000000"/>
                <w:sz w:val="20"/>
                <w:szCs w:val="20"/>
              </w:rPr>
              <w:t>夜间异动报警</w:t>
            </w:r>
          </w:p>
        </w:tc>
        <w:tc>
          <w:tcPr>
            <w:tcW w:w="24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20FB196C">
            <w:pPr>
              <w:jc w:val="left"/>
            </w:pPr>
            <w:r>
              <w:rPr>
                <w:b w:val="0"/>
                <w:bCs w:val="0"/>
                <w:color w:val="000000"/>
                <w:sz w:val="20"/>
                <w:szCs w:val="20"/>
              </w:rPr>
              <w:t>语音对讲优先</w:t>
            </w:r>
          </w:p>
        </w:tc>
        <w:tc>
          <w:tcPr>
            <w:tcW w:w="37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4E05F09B">
            <w:pPr>
              <w:jc w:val="left"/>
            </w:pPr>
            <w:r>
              <w:rPr>
                <w:b w:val="0"/>
                <w:bCs w:val="0"/>
                <w:color w:val="000000"/>
                <w:sz w:val="20"/>
                <w:szCs w:val="20"/>
              </w:rPr>
              <w:t>停止运行或降至风险阈值以下；阈值待确认</w:t>
            </w:r>
          </w:p>
        </w:tc>
      </w:tr>
      <w:tr w14:paraId="21123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123F9598">
            <w:pPr>
              <w:jc w:val="left"/>
            </w:pPr>
            <w:r>
              <w:rPr>
                <w:b w:val="0"/>
                <w:bCs w:val="0"/>
                <w:color w:val="000000"/>
                <w:sz w:val="20"/>
                <w:szCs w:val="20"/>
              </w:rPr>
              <w:t>接打手持电话 / 抽烟 / 未系安全带 / 分心驾驶</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3582FE25">
            <w:pPr>
              <w:jc w:val="left"/>
            </w:pPr>
            <w:r>
              <w:rPr>
                <w:b w:val="0"/>
                <w:bCs w:val="0"/>
                <w:color w:val="000000"/>
                <w:sz w:val="20"/>
                <w:szCs w:val="20"/>
              </w:rPr>
              <w:t>语音对讲优先</w:t>
            </w:r>
          </w:p>
        </w:tc>
        <w:tc>
          <w:tcPr>
            <w:tcW w:w="37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186A1D7B">
            <w:pPr>
              <w:jc w:val="left"/>
            </w:pPr>
            <w:r>
              <w:rPr>
                <w:b w:val="0"/>
                <w:bCs w:val="0"/>
                <w:color w:val="000000"/>
                <w:sz w:val="20"/>
                <w:szCs w:val="20"/>
              </w:rPr>
              <w:t>视频中对应不规范行为消失，报警不再持续</w:t>
            </w:r>
          </w:p>
        </w:tc>
      </w:tr>
      <w:tr w14:paraId="6A20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545CFA34">
            <w:pPr>
              <w:jc w:val="left"/>
            </w:pPr>
            <w:r>
              <w:rPr>
                <w:b w:val="0"/>
                <w:bCs w:val="0"/>
                <w:color w:val="000000"/>
                <w:sz w:val="20"/>
                <w:szCs w:val="20"/>
              </w:rPr>
              <w:t>驾驶员身份识别报警</w:t>
            </w:r>
          </w:p>
        </w:tc>
        <w:tc>
          <w:tcPr>
            <w:tcW w:w="24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69A04253">
            <w:pPr>
              <w:jc w:val="left"/>
            </w:pPr>
            <w:r>
              <w:rPr>
                <w:b w:val="0"/>
                <w:bCs w:val="0"/>
                <w:color w:val="000000"/>
                <w:sz w:val="20"/>
                <w:szCs w:val="20"/>
              </w:rPr>
              <w:t>语音或文本，口径待确认</w:t>
            </w:r>
          </w:p>
        </w:tc>
        <w:tc>
          <w:tcPr>
            <w:tcW w:w="37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7AA73651">
            <w:pPr>
              <w:jc w:val="left"/>
            </w:pPr>
            <w:r>
              <w:rPr>
                <w:b w:val="0"/>
                <w:bCs w:val="0"/>
                <w:color w:val="000000"/>
                <w:sz w:val="20"/>
                <w:szCs w:val="20"/>
              </w:rPr>
              <w:t>身份核验完成；误报处理口径待确认</w:t>
            </w:r>
          </w:p>
        </w:tc>
      </w:tr>
      <w:tr w14:paraId="048C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11EE0412">
            <w:pPr>
              <w:jc w:val="left"/>
            </w:pPr>
            <w:r>
              <w:rPr>
                <w:b w:val="0"/>
                <w:bCs w:val="0"/>
                <w:color w:val="000000"/>
                <w:sz w:val="20"/>
                <w:szCs w:val="20"/>
              </w:rPr>
              <w:t>电子围栏 / 离线位移 / 超员驾驶</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4CB3374E">
            <w:pPr>
              <w:jc w:val="left"/>
            </w:pPr>
            <w:r>
              <w:rPr>
                <w:b w:val="0"/>
                <w:bCs w:val="0"/>
                <w:color w:val="000000"/>
                <w:sz w:val="20"/>
                <w:szCs w:val="20"/>
              </w:rPr>
              <w:t>内部确认优先</w:t>
            </w:r>
          </w:p>
        </w:tc>
        <w:tc>
          <w:tcPr>
            <w:tcW w:w="37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115BA8E8">
            <w:pPr>
              <w:jc w:val="left"/>
            </w:pPr>
            <w:r>
              <w:rPr>
                <w:b w:val="0"/>
                <w:bCs w:val="0"/>
                <w:color w:val="000000"/>
                <w:sz w:val="20"/>
                <w:szCs w:val="20"/>
              </w:rPr>
              <w:t>企业核实并恢复合规状态</w:t>
            </w:r>
          </w:p>
        </w:tc>
      </w:tr>
      <w:tr w14:paraId="28D5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751D5B31">
            <w:pPr>
              <w:jc w:val="left"/>
            </w:pPr>
            <w:r>
              <w:rPr>
                <w:b w:val="0"/>
                <w:bCs w:val="0"/>
                <w:color w:val="000000"/>
                <w:sz w:val="20"/>
                <w:szCs w:val="20"/>
              </w:rPr>
              <w:t>设备故障报警</w:t>
            </w:r>
          </w:p>
        </w:tc>
        <w:tc>
          <w:tcPr>
            <w:tcW w:w="24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7925EF16">
            <w:pPr>
              <w:jc w:val="left"/>
            </w:pPr>
            <w:r>
              <w:rPr>
                <w:b w:val="0"/>
                <w:bCs w:val="0"/>
                <w:color w:val="000000"/>
                <w:sz w:val="20"/>
                <w:szCs w:val="20"/>
              </w:rPr>
              <w:t>部分语音提醒，其余内部确认</w:t>
            </w:r>
          </w:p>
        </w:tc>
        <w:tc>
          <w:tcPr>
            <w:tcW w:w="37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4E7927B9">
            <w:pPr>
              <w:jc w:val="left"/>
            </w:pPr>
            <w:r>
              <w:rPr>
                <w:b w:val="0"/>
                <w:bCs w:val="0"/>
                <w:color w:val="000000"/>
                <w:sz w:val="20"/>
                <w:szCs w:val="20"/>
              </w:rPr>
              <w:t>设备/定位状态恢复正常；细分口径待确认</w:t>
            </w:r>
          </w:p>
        </w:tc>
      </w:tr>
      <w:tr w14:paraId="0BB4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6893A1EE">
            <w:pPr>
              <w:jc w:val="left"/>
            </w:pPr>
            <w:r>
              <w:rPr>
                <w:b w:val="0"/>
                <w:bCs w:val="0"/>
                <w:color w:val="000000"/>
                <w:sz w:val="20"/>
                <w:szCs w:val="20"/>
              </w:rPr>
              <w:t>疑似事故报警</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19F7FF05">
            <w:pPr>
              <w:jc w:val="left"/>
            </w:pPr>
            <w:r>
              <w:rPr>
                <w:b w:val="0"/>
                <w:bCs w:val="0"/>
                <w:color w:val="000000"/>
                <w:sz w:val="20"/>
                <w:szCs w:val="20"/>
              </w:rPr>
              <w:t>直接内部确认（高风险）</w:t>
            </w:r>
          </w:p>
        </w:tc>
        <w:tc>
          <w:tcPr>
            <w:tcW w:w="37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11C826F0">
            <w:pPr>
              <w:jc w:val="left"/>
            </w:pPr>
            <w:r>
              <w:rPr>
                <w:b w:val="0"/>
                <w:bCs w:val="0"/>
                <w:color w:val="000000"/>
                <w:sz w:val="20"/>
                <w:szCs w:val="20"/>
              </w:rPr>
              <w:t>由内部人员即时核查</w:t>
            </w:r>
          </w:p>
        </w:tc>
      </w:tr>
    </w:tbl>
    <w:p w14:paraId="657C09B6">
      <w:pPr>
        <w:spacing w:after="200" w:line="360" w:lineRule="auto"/>
        <w:ind w:firstLine="440"/>
      </w:pPr>
      <w:r>
        <w:rPr>
          <w:b w:val="0"/>
          <w:bCs w:val="0"/>
          <w:i/>
          <w:iCs/>
          <w:color w:val="595959"/>
          <w:sz w:val="22"/>
          <w:szCs w:val="22"/>
        </w:rPr>
        <w:t>凡无法用省平台字段、视频状态或客户SOP明确判断的事项，均记录为“无法判断”并通知值班业务人员，不在首版中默认判定为通过。</w:t>
      </w:r>
    </w:p>
    <w:p w14:paraId="20804866">
      <w:pPr>
        <w:pStyle w:val="3"/>
        <w:keepNext/>
      </w:pPr>
      <w:bookmarkStart w:id="8" w:name="_Toc3843"/>
      <w:r>
        <w:t>5.4 值班业务人员短信通知与事件详情页</w:t>
      </w:r>
      <w:bookmarkEnd w:id="8"/>
    </w:p>
    <w:p w14:paraId="6129C2DE">
      <w:pPr>
        <w:spacing w:after="160" w:line="360" w:lineRule="auto"/>
        <w:ind w:firstLine="440"/>
      </w:pPr>
      <w:r>
        <w:rPr>
          <w:b w:val="0"/>
          <w:bCs w:val="0"/>
          <w:i w:val="0"/>
          <w:iCs w:val="0"/>
          <w:sz w:val="22"/>
          <w:szCs w:val="22"/>
        </w:rPr>
        <w:t>内部确认触发条件：司机提醒后未纠正、系统无法判断是否纠正、高风险报警；以及按钮触发失败、页面异常、视频不可用——以上情况均提示人工接管或短信通知值班业务人员。</w:t>
      </w:r>
    </w:p>
    <w:p w14:paraId="152E6BE3">
      <w:pPr>
        <w:pStyle w:val="20"/>
        <w:numPr>
          <w:ilvl w:val="0"/>
          <w:numId w:val="1"/>
        </w:numPr>
        <w:spacing w:after="100" w:line="340" w:lineRule="auto"/>
      </w:pPr>
      <w:r>
        <w:rPr>
          <w:b w:val="0"/>
          <w:bCs w:val="0"/>
          <w:sz w:val="22"/>
          <w:szCs w:val="22"/>
        </w:rPr>
        <w:t>短信模板示例：【</w:t>
      </w:r>
      <w:r>
        <w:rPr>
          <w:rFonts w:hint="eastAsia"/>
          <w:b w:val="0"/>
          <w:bCs w:val="0"/>
          <w:sz w:val="22"/>
          <w:szCs w:val="22"/>
          <w:lang w:eastAsia="zh-CN"/>
        </w:rPr>
        <w:t>三客一危</w:t>
      </w:r>
      <w:r>
        <w:rPr>
          <w:b w:val="0"/>
          <w:bCs w:val="0"/>
          <w:sz w:val="22"/>
          <w:szCs w:val="22"/>
        </w:rPr>
        <w:t>报警处置】{车牌号} {报警类型} {纠正检测结果}。时间：{报警时间}，企业：{企业名称}。请点击查看处置详情：{详情链接}</w:t>
      </w:r>
    </w:p>
    <w:p w14:paraId="4460B5D7">
      <w:pPr>
        <w:pStyle w:val="20"/>
        <w:numPr>
          <w:ilvl w:val="0"/>
          <w:numId w:val="1"/>
        </w:numPr>
        <w:spacing w:after="100" w:line="340" w:lineRule="auto"/>
      </w:pPr>
      <w:r>
        <w:rPr>
          <w:b w:val="0"/>
          <w:bCs w:val="0"/>
          <w:sz w:val="22"/>
          <w:szCs w:val="22"/>
        </w:rPr>
        <w:t>事件详情页提供三组可复制内容：关键信息包（车牌/企业/驾驶员/类型/时间/地点/状态/检测结果）、企业负责人沟通话术、内部备注（已联系/无人接听/企业已反馈/需继续跟进）。</w:t>
      </w:r>
    </w:p>
    <w:p w14:paraId="6C4BE4BD">
      <w:pPr>
        <w:pStyle w:val="3"/>
        <w:keepNext/>
      </w:pPr>
      <w:bookmarkStart w:id="9" w:name="_Toc10894"/>
      <w:r>
        <w:t>5.5 企业负责人沟通辅助</w:t>
      </w:r>
      <w:bookmarkEnd w:id="9"/>
    </w:p>
    <w:p w14:paraId="4EDBBCDD">
      <w:pPr>
        <w:spacing w:after="160" w:line="360" w:lineRule="auto"/>
        <w:ind w:firstLine="440"/>
      </w:pPr>
      <w:r>
        <w:rPr>
          <w:b w:val="0"/>
          <w:bCs w:val="0"/>
          <w:i w:val="0"/>
          <w:iCs w:val="0"/>
          <w:sz w:val="22"/>
          <w:szCs w:val="22"/>
        </w:rPr>
        <w:t>AI按固定结构生成可复制、可拨打的沟通话术：“{企业/负责人}，{车牌号}于{报警时间}在{地点}发生{报警类型}……平台已进行{提醒方式}，当前{未纠正/无法判断/需企业核实}。请联系驾驶员或安排处理，并反馈处置结果。”首版只做人工辅助拨号，不做无人值守自动外呼；后续如需接入自动外呼、录音归档或企业微信，需另行确认责任边界、授权范围和合规要求。</w:t>
      </w:r>
    </w:p>
    <w:p w14:paraId="0EFFC49D">
      <w:pPr>
        <w:pStyle w:val="3"/>
        <w:keepNext/>
      </w:pPr>
      <w:bookmarkStart w:id="10" w:name="_Toc31403"/>
      <w:r>
        <w:t>5.6 AI处理记录台账</w:t>
      </w:r>
      <w:bookmarkEnd w:id="10"/>
    </w:p>
    <w:p w14:paraId="2CD17636">
      <w:pPr>
        <w:spacing w:after="160" w:line="360" w:lineRule="auto"/>
        <w:ind w:firstLine="440"/>
      </w:pPr>
      <w:r>
        <w:rPr>
          <w:b w:val="0"/>
          <w:bCs w:val="0"/>
          <w:i w:val="0"/>
          <w:iCs w:val="0"/>
          <w:sz w:val="22"/>
          <w:szCs w:val="22"/>
        </w:rPr>
        <w:t>台账必须一键可查可看，能还原每次报警从识别到人工触达的全过程，但不等同于日报、周报、月报、统计分析大屏或正式报表导出系统。建议查询条件包括时间范围、车牌号、企业名称、报警类型、处理状态、值班业务人员、是否已生成企业通知话术、是否已复制/拨打。台账留痕颗粒度的分层设计见第六章。</w:t>
      </w:r>
    </w:p>
    <w:p>
      <w:pPr>
        <w:pStyle w:val="3"/>
      </w:pPr>
      <w:r>
        <w:t>5.7 企业要求与运营SOP落地</w:t>
      </w:r>
    </w:p>
    <w:p>
      <w:pPr/>
      <w:r>
        <w:t>附件中的“企业要求”不是新的报警算法，而是企业侧处置责任、时限、通知和留痕要求。系统应把它拆成可配置的流程规则，避免把报表、巡检、设备运维等运营事项混入报警第一处置主验收。</w:t>
      </w:r>
    </w:p>
    <w:tbl>
      <w:tblPr>
        <w:tblW w:type="auto" w:w="0"/>
        <w:jc w:val="center"/>
        <w:tblLayout w:type="autofit"/>
        <w:tblLook w:firstColumn="1" w:firstRow="1" w:lastColumn="0" w:lastRow="0" w:noHBand="0" w:noVBand="1" w:val="04A0"/>
      </w:tblPr>
      <w:tblGrid>
        <w:gridCol w:w="4513"/>
        <w:gridCol w:w="4513"/>
      </w:tblGrid>
      <w:tr>
        <w:tc>
          <w:tcPr>
            <w:tcW w:type="dxa" w:w="1700"/>
            <w:vAlign w:val="top"/>
            <w:shd w:fill="1F3A5F"/>
          </w:tcPr>
          <w:p>
            <w:pPr>
              <w:jc w:val="center"/>
            </w:pPr>
            <w:r>
              <w:rPr>
                <w:b/>
                <w:sz w:val="19"/>
                <w:color w:val="FFFFFF"/>
              </w:rPr>
              <w:t>需求分类</w:t>
            </w:r>
          </w:p>
        </w:tc>
        <w:tc>
          <w:tcPr>
            <w:tcW w:type="dxa" w:w="7600"/>
            <w:vAlign w:val="top"/>
            <w:shd w:fill="1F3A5F"/>
          </w:tcPr>
          <w:p>
            <w:pPr>
              <w:jc w:val="center"/>
            </w:pPr>
            <w:r>
              <w:rPr>
                <w:b/>
                <w:sz w:val="19"/>
                <w:color w:val="FFFFFF"/>
              </w:rPr>
              <w:t>企业要求与系统处理口径</w:t>
            </w:r>
          </w:p>
        </w:tc>
      </w:tr>
      <w:tr>
        <w:tc>
          <w:tcPr>
            <w:tcW w:type="dxa" w:w="1700"/>
            <w:vAlign w:val="top"/>
          </w:tcPr>
          <w:p>
            <w:pPr>
              <w:jc w:val="left"/>
            </w:pPr>
            <w:r>
              <w:rPr>
                <w:sz w:val="18"/>
              </w:rPr>
              <w:t>报警即时处置</w:t>
            </w:r>
          </w:p>
        </w:tc>
        <w:tc>
          <w:tcPr>
            <w:tcW w:type="dxa" w:w="7600"/>
            <w:vAlign w:val="top"/>
          </w:tcPr>
          <w:p>
            <w:pPr>
              <w:jc w:val="left"/>
            </w:pPr>
            <w:r>
              <w:rPr>
                <w:sz w:val="18"/>
              </w:rPr>
              <w:t>企业要求：驾驶员突发、生理疲劳、超速、超时、夜间异动、接打电话、抽烟、未系安全带、分心驾驶、手部脱离、身份识别等报警后立即人工干预喊话或通过TTS/语音提醒。</w:t>
              <w:br/>
              <w:t>系统处理：纳入首版核心闭环，包括规则命中、司机提醒、纠正检测、人工确认和台账留痕。</w:t>
            </w:r>
          </w:p>
        </w:tc>
      </w:tr>
      <w:tr>
        <w:tc>
          <w:tcPr>
            <w:tcW w:type="dxa" w:w="1700"/>
            <w:vAlign w:val="top"/>
          </w:tcPr>
          <w:p>
            <w:pPr>
              <w:jc w:val="left"/>
            </w:pPr>
            <w:r>
              <w:rPr>
                <w:sz w:val="18"/>
              </w:rPr>
              <w:t>纠正与升级时限</w:t>
            </w:r>
          </w:p>
        </w:tc>
        <w:tc>
          <w:tcPr>
            <w:tcW w:type="dxa" w:w="7600"/>
            <w:vAlign w:val="top"/>
          </w:tcPr>
          <w:p>
            <w:pPr>
              <w:jc w:val="left"/>
            </w:pPr>
            <w:r>
              <w:rPr>
                <w:sz w:val="18"/>
              </w:rPr>
              <w:t>企业要求：超速报警后关注是否纠正，30秒内未纠正需通知企业；超时预警20分钟内未纠正或驾驶员未回应需通知企业；超时报警接警人60秒内干预，10分钟内未纠正或未回应需通知企业；夜间异动接警人60秒内干预。</w:t>
              <w:br/>
              <w:t>系统处理：做成SLA倒计时和升级提示。系统可提醒、记录和生成通知话术，但高风险处置仍需人工确认。</w:t>
            </w:r>
          </w:p>
        </w:tc>
      </w:tr>
      <w:tr>
        <w:tc>
          <w:tcPr>
            <w:tcW w:type="dxa" w:w="1700"/>
            <w:vAlign w:val="top"/>
          </w:tcPr>
          <w:p>
            <w:pPr>
              <w:jc w:val="left"/>
            </w:pPr>
            <w:r>
              <w:rPr>
                <w:sz w:val="18"/>
              </w:rPr>
              <w:t>企业通知</w:t>
            </w:r>
          </w:p>
        </w:tc>
        <w:tc>
          <w:tcPr>
            <w:tcW w:type="dxa" w:w="7600"/>
            <w:vAlign w:val="top"/>
          </w:tcPr>
          <w:p>
            <w:pPr>
              <w:jc w:val="left"/>
            </w:pPr>
            <w:r>
              <w:rPr>
                <w:sz w:val="18"/>
              </w:rPr>
              <w:t>企业要求：将警情推送或电话告知企业车属单位联络员，部分事项反馈到企业指定微信群或企业负责人。</w:t>
              <w:br/>
              <w:t>系统处理：首版提供联系人匹配、话术生成、一键复制和人工拨打入口；不默认无人值守自动外呼。</w:t>
            </w:r>
          </w:p>
        </w:tc>
      </w:tr>
      <w:tr>
        <w:tc>
          <w:tcPr>
            <w:tcW w:type="dxa" w:w="1700"/>
            <w:vAlign w:val="top"/>
          </w:tcPr>
          <w:p>
            <w:pPr>
              <w:jc w:val="left"/>
            </w:pPr>
            <w:r>
              <w:rPr>
                <w:sz w:val="18"/>
              </w:rPr>
              <w:t>固定话术</w:t>
            </w:r>
          </w:p>
        </w:tc>
        <w:tc>
          <w:tcPr>
            <w:tcW w:type="dxa" w:w="7600"/>
            <w:vAlign w:val="top"/>
          </w:tcPr>
          <w:p>
            <w:pPr>
              <w:jc w:val="left"/>
            </w:pPr>
            <w:r>
              <w:rPr>
                <w:sz w:val="18"/>
              </w:rPr>
              <w:t>企业要求：针对疲劳、超时、超速、夜间异动、接打电话、抽烟、未系安全带、分心驾驶、手部脱离、驾驶员身份识别等形成固定提醒话术。</w:t>
              <w:br/>
              <w:t>系统处理：做成审核后的话术模板库。AI只按模板填充车牌、时间、地点和状态，不自由编写安全处置结论。</w:t>
            </w:r>
          </w:p>
        </w:tc>
      </w:tr>
      <w:tr>
        <w:tc>
          <w:tcPr>
            <w:tcW w:type="dxa" w:w="1700"/>
            <w:vAlign w:val="top"/>
          </w:tcPr>
          <w:p>
            <w:pPr>
              <w:jc w:val="left"/>
            </w:pPr>
            <w:r>
              <w:rPr>
                <w:sz w:val="18"/>
              </w:rPr>
              <w:t>台账留痕</w:t>
            </w:r>
          </w:p>
        </w:tc>
        <w:tc>
          <w:tcPr>
            <w:tcW w:type="dxa" w:w="7600"/>
            <w:vAlign w:val="top"/>
          </w:tcPr>
          <w:p>
            <w:pPr>
              <w:jc w:val="left"/>
            </w:pPr>
            <w:r>
              <w:rPr>
                <w:sz w:val="18"/>
              </w:rPr>
              <w:t>企业要求：登记值班记录和监控台账，保存提醒、通知、企业反馈和人工备注。</w:t>
              <w:br/>
              <w:t>系统处理：纳入首版验收。台账字段至少覆盖报警信息、车辆类型、处置动作、按钮结果、提醒话术、通知对象、处理状态和人工备注。</w:t>
            </w:r>
          </w:p>
        </w:tc>
      </w:tr>
      <w:tr>
        <w:tc>
          <w:tcPr>
            <w:tcW w:type="dxa" w:w="1700"/>
            <w:vAlign w:val="top"/>
          </w:tcPr>
          <w:p>
            <w:pPr>
              <w:jc w:val="left"/>
            </w:pPr>
            <w:r>
              <w:rPr>
                <w:sz w:val="18"/>
              </w:rPr>
              <w:t>设备与数据异常</w:t>
            </w:r>
          </w:p>
        </w:tc>
        <w:tc>
          <w:tcPr>
            <w:tcW w:type="dxa" w:w="7600"/>
            <w:vAlign w:val="top"/>
          </w:tcPr>
          <w:p>
            <w:pPr>
              <w:jc w:val="left"/>
            </w:pPr>
            <w:r>
              <w:rPr>
                <w:sz w:val="18"/>
              </w:rPr>
              <w:t>企业要求：车辆数据异常、设备离线、恶意人为干扰等情况须在1小时内告知企业并协助排查；离线车辆每日上下午统计并反馈企业；轨迹完整率低于95%的车辆需反馈并跟进恢复。</w:t>
              <w:br/>
              <w:t>系统处理：建议二期或运营服务模块。首版只记录与报警处置直接相关的设备异常，不承担完整设备巡检和报表责任。</w:t>
            </w:r>
          </w:p>
        </w:tc>
      </w:tr>
      <w:tr>
        <w:tc>
          <w:tcPr>
            <w:tcW w:type="dxa" w:w="1700"/>
            <w:vAlign w:val="top"/>
          </w:tcPr>
          <w:p>
            <w:pPr>
              <w:jc w:val="left"/>
            </w:pPr>
            <w:r>
              <w:rPr>
                <w:sz w:val="18"/>
              </w:rPr>
              <w:t>巡检要求</w:t>
            </w:r>
          </w:p>
        </w:tc>
        <w:tc>
          <w:tcPr>
            <w:tcW w:type="dxa" w:w="7600"/>
            <w:vAlign w:val="top"/>
          </w:tcPr>
          <w:p>
            <w:pPr>
              <w:jc w:val="left"/>
            </w:pPr>
            <w:r>
              <w:rPr>
                <w:sz w:val="18"/>
              </w:rPr>
              <w:t>企业要求：每日巡检车载智能设备在线、视频功能、存储功能；每日两次视频巡查在线车辆监控设备与驾驶员状态；每月10日前提交上月驾驶员状态统计分析。</w:t>
              <w:br/>
              <w:t>系统处理：不纳入首版主验收，可作为后续巡检/运维模块或代运营服务。</w:t>
            </w:r>
          </w:p>
        </w:tc>
      </w:tr>
      <w:tr>
        <w:tc>
          <w:tcPr>
            <w:tcW w:type="dxa" w:w="1700"/>
            <w:vAlign w:val="top"/>
          </w:tcPr>
          <w:p>
            <w:pPr>
              <w:jc w:val="left"/>
            </w:pPr>
            <w:r>
              <w:rPr>
                <w:sz w:val="18"/>
              </w:rPr>
              <w:t>日周月报</w:t>
            </w:r>
          </w:p>
        </w:tc>
        <w:tc>
          <w:tcPr>
            <w:tcW w:type="dxa" w:w="7600"/>
            <w:vAlign w:val="top"/>
          </w:tcPr>
          <w:p>
            <w:pPr>
              <w:jc w:val="left"/>
            </w:pPr>
            <w:r>
              <w:rPr>
                <w:sz w:val="18"/>
              </w:rPr>
              <w:t>企业要求：每日10点前发送前一日值班记录表和监控台账；每周一10点30分前发送动态监控周报；每月25日前按企业模板统计并发送月报。</w:t>
              <w:br/>
              <w:t>系统处理：不作为首版主功能，只保留台账数据基础。正式日报、周报、月报导出和分析报告作为二期能力。</w:t>
            </w:r>
          </w:p>
        </w:tc>
      </w:tr>
      <w:tr>
        <w:tc>
          <w:tcPr>
            <w:tcW w:type="dxa" w:w="1700"/>
            <w:vAlign w:val="top"/>
          </w:tcPr>
          <w:p>
            <w:pPr>
              <w:jc w:val="left"/>
            </w:pPr>
            <w:r>
              <w:rPr>
                <w:sz w:val="18"/>
              </w:rPr>
              <w:t>风险车辆管理</w:t>
            </w:r>
          </w:p>
        </w:tc>
        <w:tc>
          <w:tcPr>
            <w:tcW w:type="dxa" w:w="7600"/>
            <w:vAlign w:val="top"/>
          </w:tcPr>
          <w:p>
            <w:pPr>
              <w:jc w:val="left"/>
            </w:pPr>
            <w:r>
              <w:rPr>
                <w:sz w:val="18"/>
              </w:rPr>
              <w:t>企业要求：对不同风险等级车辆采取差异化监控措施，例如高风险车辆加密监控频次、重点车辆专人盯防。</w:t>
              <w:br/>
              <w:t>系统处理：需要先确认风险分级规则和责任边界，建议后置到管理看板或风险画像模块。</w:t>
            </w:r>
          </w:p>
        </w:tc>
      </w:tr>
    </w:tbl>
    <w:p>
      <w:pPr/>
      <w:r>
        <w:t>因此，首版优先交付“报警第一处置闭环”，企业运营类要求只保留必要字段和后续扩展接口；二期再建设巡检、轨迹完整率、离线统计、日报周报月报和风险车辆管理。</w:t>
      </w:r>
    </w:p>
    <w:p w14:paraId="789A3147">
      <w:pPr>
        <w:pStyle w:val="2"/>
        <w:keepNext/>
      </w:pPr>
      <w:bookmarkStart w:id="11" w:name="_Toc17415"/>
      <w:r>
        <w:t>六、  留痕颗粒度分层设计</w:t>
      </w:r>
      <w:bookmarkEnd w:id="11"/>
    </w:p>
    <w:p w14:paraId="4680FF9A">
      <w:pPr>
        <w:spacing w:after="200" w:line="360" w:lineRule="auto"/>
        <w:ind w:firstLine="440"/>
      </w:pPr>
      <w:r>
        <w:rPr>
          <w:b w:val="0"/>
          <w:bCs w:val="0"/>
          <w:i w:val="0"/>
          <w:iCs w:val="0"/>
          <w:sz w:val="22"/>
          <w:szCs w:val="22"/>
        </w:rPr>
        <w:t>设计背景：报警台账的留痕颗粒度存在两个互相牵制的诉求——监管和企业希望关键事件能追溯到具体责任人，监控人员则需要一定的工作缓冲空间，避免每一次研判都被逐条精确问责而产生抵触、消极配合系统。两者无法同时满到最大化，本方案按报警风险等级分层处理，而非一刀切。</w:t>
      </w:r>
    </w:p>
    <w:tbl>
      <w:tblPr>
        <w:tblStyle w:val="15"/>
        <w:tblW w:w="88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79"/>
        <w:gridCol w:w="1439"/>
        <w:gridCol w:w="2032"/>
        <w:gridCol w:w="2507"/>
      </w:tblGrid>
      <w:tr w14:paraId="1D57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6" w:hRule="atLeast"/>
        </w:trPr>
        <w:tc>
          <w:tcPr>
            <w:tcW w:w="2879"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549F0FBA">
            <w:pPr>
              <w:jc w:val="center"/>
            </w:pPr>
            <w:r>
              <w:rPr>
                <w:b/>
                <w:bCs/>
                <w:color w:val="FFFFFF"/>
                <w:sz w:val="20"/>
                <w:szCs w:val="20"/>
              </w:rPr>
              <w:t>报警类别</w:t>
            </w:r>
          </w:p>
        </w:tc>
        <w:tc>
          <w:tcPr>
            <w:tcW w:w="1439"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27BAB5B0">
            <w:pPr>
              <w:jc w:val="center"/>
            </w:pPr>
            <w:r>
              <w:rPr>
                <w:b/>
                <w:bCs/>
                <w:color w:val="FFFFFF"/>
                <w:sz w:val="20"/>
                <w:szCs w:val="20"/>
              </w:rPr>
              <w:t>留痕颗粒度</w:t>
            </w:r>
          </w:p>
        </w:tc>
        <w:tc>
          <w:tcPr>
            <w:tcW w:w="2032"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1CD9CEA4">
            <w:pPr>
              <w:jc w:val="center"/>
            </w:pPr>
            <w:r>
              <w:rPr>
                <w:b/>
                <w:bCs/>
                <w:color w:val="FFFFFF"/>
                <w:sz w:val="20"/>
                <w:szCs w:val="20"/>
              </w:rPr>
              <w:t>默认可见范围</w:t>
            </w:r>
          </w:p>
        </w:tc>
        <w:tc>
          <w:tcPr>
            <w:tcW w:w="2507"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269CDBE6">
            <w:pPr>
              <w:jc w:val="center"/>
            </w:pPr>
            <w:r>
              <w:rPr>
                <w:b/>
                <w:bCs/>
                <w:color w:val="FFFFFF"/>
                <w:sz w:val="20"/>
                <w:szCs w:val="20"/>
              </w:rPr>
              <w:t>说明</w:t>
            </w:r>
          </w:p>
        </w:tc>
      </w:tr>
      <w:tr w14:paraId="292B7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69" w:hRule="atLeast"/>
        </w:trPr>
        <w:tc>
          <w:tcPr>
            <w:tcW w:w="2879"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12E07AD6">
            <w:pPr>
              <w:jc w:val="left"/>
            </w:pPr>
            <w:r>
              <w:rPr>
                <w:b w:val="0"/>
                <w:bCs w:val="0"/>
                <w:color w:val="000000"/>
                <w:sz w:val="20"/>
                <w:szCs w:val="20"/>
              </w:rPr>
              <w:t>常规类（其余报警类型，约14类，如超时驾驶、超速驾驶、夜间异动、接打电话、抽烟、未系安全带、分心驾驶、身份识别、电子围栏、离线位移、超员驾驶、设备故障等）</w:t>
            </w:r>
          </w:p>
        </w:tc>
        <w:tc>
          <w:tcPr>
            <w:tcW w:w="1439"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46209AE0">
            <w:pPr>
              <w:jc w:val="left"/>
            </w:pPr>
            <w:r>
              <w:rPr>
                <w:b w:val="0"/>
                <w:bCs w:val="0"/>
                <w:color w:val="000000"/>
                <w:sz w:val="20"/>
                <w:szCs w:val="20"/>
              </w:rPr>
              <w:t>班次 / 团队级</w:t>
            </w:r>
          </w:p>
        </w:tc>
        <w:tc>
          <w:tcPr>
            <w:tcW w:w="2032"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327BDC20">
            <w:pPr>
              <w:jc w:val="left"/>
            </w:pPr>
            <w:r>
              <w:rPr>
                <w:b w:val="0"/>
                <w:bCs w:val="0"/>
                <w:color w:val="000000"/>
                <w:sz w:val="20"/>
                <w:szCs w:val="20"/>
              </w:rPr>
              <w:t>日常查询默认按“当班监控组”维度汇总展示</w:t>
            </w:r>
          </w:p>
        </w:tc>
        <w:tc>
          <w:tcPr>
            <w:tcW w:w="2507"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4170FA7D">
            <w:pPr>
              <w:jc w:val="left"/>
            </w:pPr>
            <w:r>
              <w:rPr>
                <w:b w:val="0"/>
                <w:bCs w:val="0"/>
                <w:color w:val="000000"/>
                <w:sz w:val="20"/>
                <w:szCs w:val="20"/>
              </w:rPr>
              <w:t>系统底层仍保留操作人字段，仅在专项审计或纠纷复核场景下，经审批后下钻到个人</w:t>
            </w:r>
          </w:p>
        </w:tc>
      </w:tr>
      <w:tr w14:paraId="79D2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56" w:hRule="atLeast"/>
        </w:trPr>
        <w:tc>
          <w:tcPr>
            <w:tcW w:w="2879"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4B905C20">
            <w:pPr>
              <w:jc w:val="left"/>
            </w:pPr>
            <w:r>
              <w:rPr>
                <w:b w:val="0"/>
                <w:bCs w:val="0"/>
                <w:color w:val="000000"/>
                <w:sz w:val="20"/>
                <w:szCs w:val="20"/>
              </w:rPr>
              <w:t>高风险类（驾驶员突发情况、生理疲劳、手部脱离方向盘、疑似事故）</w:t>
            </w:r>
          </w:p>
        </w:tc>
        <w:tc>
          <w:tcPr>
            <w:tcW w:w="1439"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05E56ED3">
            <w:pPr>
              <w:jc w:val="left"/>
            </w:pPr>
            <w:r>
              <w:rPr>
                <w:b w:val="0"/>
                <w:bCs w:val="0"/>
                <w:color w:val="000000"/>
                <w:sz w:val="20"/>
                <w:szCs w:val="20"/>
              </w:rPr>
              <w:t>个人级（强制）</w:t>
            </w:r>
          </w:p>
        </w:tc>
        <w:tc>
          <w:tcPr>
            <w:tcW w:w="2032"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7119F6BC">
            <w:pPr>
              <w:jc w:val="left"/>
            </w:pPr>
            <w:r>
              <w:rPr>
                <w:b w:val="0"/>
                <w:bCs w:val="0"/>
                <w:color w:val="000000"/>
                <w:sz w:val="20"/>
                <w:szCs w:val="20"/>
              </w:rPr>
              <w:t>完整记录操作人、时间戳、话术版本、按钮触发结果</w:t>
            </w:r>
          </w:p>
        </w:tc>
        <w:tc>
          <w:tcPr>
            <w:tcW w:w="2507"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612EABC6">
            <w:pPr>
              <w:jc w:val="left"/>
            </w:pPr>
            <w:r>
              <w:rPr>
                <w:b w:val="0"/>
                <w:bCs w:val="0"/>
                <w:color w:val="000000"/>
                <w:sz w:val="20"/>
                <w:szCs w:val="20"/>
              </w:rPr>
              <w:t>作为责任追溯主链路，不可降级、不可仅按团队汇总展示</w:t>
            </w:r>
          </w:p>
        </w:tc>
      </w:tr>
    </w:tbl>
    <w:p w14:paraId="36E0BB89">
      <w:pPr>
        <w:spacing w:after="160" w:line="360" w:lineRule="auto"/>
        <w:ind w:firstLine="440"/>
        <w:rPr>
          <w:b w:val="0"/>
          <w:bCs w:val="0"/>
          <w:i w:val="0"/>
          <w:iCs w:val="0"/>
          <w:sz w:val="22"/>
          <w:szCs w:val="22"/>
        </w:rPr>
      </w:pPr>
    </w:p>
    <w:p w14:paraId="785D3057">
      <w:pPr>
        <w:spacing w:after="160" w:line="360" w:lineRule="auto"/>
        <w:ind w:firstLine="440"/>
      </w:pPr>
      <w:r>
        <w:rPr>
          <w:b w:val="0"/>
          <w:bCs w:val="0"/>
          <w:i w:val="0"/>
          <w:iCs w:val="0"/>
          <w:sz w:val="22"/>
          <w:szCs w:val="22"/>
        </w:rPr>
        <w:t>该分层不改变“所有动作均被记录”这一底层原则——常规类报警的操作人字段始终存在，只是默认查询视图不逐条暴露到个人，需要专项审批后才能下钻；高风险类报警因直接涉及驾驶员人身安全或重大责任认定，从第一天起就按个人级颗粒度呈现，不设默认折叠。该设计目的是在满足监管和企业最关心的高风险场景可追溯到人的前提下，降低监控人员对日常高频报警产生的抵触情绪，提升系统在常规场景下的真实使用率。</w:t>
      </w:r>
    </w:p>
    <w:p w14:paraId="3E98DEBD">
      <w:pPr>
        <w:pStyle w:val="2"/>
        <w:keepNext/>
      </w:pPr>
      <w:bookmarkStart w:id="12" w:name="_Toc5392"/>
      <w:r>
        <w:t>七、  首版建设范围</w:t>
      </w:r>
      <w:bookmarkEnd w:id="12"/>
    </w:p>
    <w:p w14:paraId="1632377F">
      <w:pPr>
        <w:pStyle w:val="20"/>
        <w:numPr>
          <w:ilvl w:val="0"/>
          <w:numId w:val="1"/>
        </w:numPr>
        <w:spacing w:after="100" w:line="340" w:lineRule="auto"/>
      </w:pPr>
      <w:r>
        <w:rPr>
          <w:b w:val="0"/>
          <w:bCs w:val="0"/>
          <w:sz w:val="22"/>
          <w:szCs w:val="22"/>
        </w:rPr>
        <w:t>报警弹窗监听、报警列表兜底和报警详情读取；</w:t>
      </w:r>
    </w:p>
    <w:p w14:paraId="6DEEFCB5">
      <w:pPr>
        <w:pStyle w:val="20"/>
        <w:numPr>
          <w:ilvl w:val="0"/>
          <w:numId w:val="1"/>
        </w:numPr>
        <w:spacing w:after="100" w:line="340" w:lineRule="auto"/>
      </w:pPr>
      <w:r>
        <w:rPr>
          <w:b w:val="0"/>
          <w:bCs w:val="0"/>
          <w:sz w:val="22"/>
          <w:szCs w:val="22"/>
        </w:rPr>
        <w:t>官方规则和客户SOP匹配；</w:t>
      </w:r>
    </w:p>
    <w:p>
      <w:pPr>
        <w:pStyle w:val="20"/>
      </w:pPr>
      <w:r>
        <w:t>车辆类型差异化规则匹配，包括危货车、城乡公交、农村客运/客运班线等口径的适用报警、阈值和处置方式；</w:t>
      </w:r>
    </w:p>
    <w:p w14:paraId="76530F5C">
      <w:pPr>
        <w:pStyle w:val="20"/>
        <w:numPr>
          <w:ilvl w:val="0"/>
          <w:numId w:val="1"/>
        </w:numPr>
        <w:spacing w:after="100" w:line="340" w:lineRule="auto"/>
      </w:pPr>
      <w:r>
        <w:rPr>
          <w:b w:val="0"/>
          <w:bCs w:val="0"/>
          <w:sz w:val="22"/>
          <w:szCs w:val="22"/>
        </w:rPr>
        <w:t>页面按钮触发，包括查看报警、文本下发、语音对讲等；</w:t>
      </w:r>
    </w:p>
    <w:p w14:paraId="68271CDC">
      <w:pPr>
        <w:pStyle w:val="20"/>
        <w:numPr>
          <w:ilvl w:val="0"/>
          <w:numId w:val="1"/>
        </w:numPr>
        <w:spacing w:after="100" w:line="340" w:lineRule="auto"/>
      </w:pPr>
      <w:r>
        <w:rPr>
          <w:b w:val="0"/>
          <w:bCs w:val="0"/>
          <w:sz w:val="22"/>
          <w:szCs w:val="22"/>
        </w:rPr>
        <w:t>固定话术文本提醒和本地语音模型对讲提醒；</w:t>
      </w:r>
    </w:p>
    <w:p>
      <w:pPr>
        <w:pStyle w:val="20"/>
      </w:pPr>
      <w:r>
        <w:t>企业要求中的即时处置、升级时限、企业通知、固定话术和监控台账留痕；</w:t>
      </w:r>
    </w:p>
    <w:p w14:paraId="22BCA5C6">
      <w:pPr>
        <w:pStyle w:val="20"/>
        <w:numPr>
          <w:ilvl w:val="0"/>
          <w:numId w:val="1"/>
        </w:numPr>
        <w:spacing w:after="100" w:line="340" w:lineRule="auto"/>
      </w:pPr>
      <w:r>
        <w:rPr>
          <w:b w:val="0"/>
          <w:bCs w:val="0"/>
          <w:sz w:val="22"/>
          <w:szCs w:val="22"/>
        </w:rPr>
        <w:t>司机提醒后的纠正检测（首批试点：超速、超时、突发异常、手部脱离方向盘）；</w:t>
      </w:r>
    </w:p>
    <w:p w14:paraId="6B1714F3">
      <w:pPr>
        <w:pStyle w:val="20"/>
        <w:numPr>
          <w:ilvl w:val="0"/>
          <w:numId w:val="1"/>
        </w:numPr>
        <w:spacing w:after="100" w:line="340" w:lineRule="auto"/>
      </w:pPr>
      <w:r>
        <w:rPr>
          <w:b w:val="0"/>
          <w:bCs w:val="0"/>
          <w:sz w:val="22"/>
          <w:szCs w:val="22"/>
        </w:rPr>
        <w:t>值班业务人员短信通知和事件详情页；</w:t>
      </w:r>
    </w:p>
    <w:p w14:paraId="6BA19EB0">
      <w:pPr>
        <w:pStyle w:val="20"/>
        <w:numPr>
          <w:ilvl w:val="0"/>
          <w:numId w:val="1"/>
        </w:numPr>
        <w:spacing w:after="100" w:line="340" w:lineRule="auto"/>
      </w:pPr>
      <w:r>
        <w:rPr>
          <w:b w:val="0"/>
          <w:bCs w:val="0"/>
          <w:sz w:val="22"/>
          <w:szCs w:val="22"/>
        </w:rPr>
        <w:t>企业负责人沟通话术、一键复制和人工拨打入口；</w:t>
      </w:r>
    </w:p>
    <w:p w14:paraId="334DC7B0">
      <w:pPr>
        <w:pStyle w:val="20"/>
        <w:numPr>
          <w:ilvl w:val="0"/>
          <w:numId w:val="1"/>
        </w:numPr>
        <w:spacing w:after="100" w:line="340" w:lineRule="auto"/>
      </w:pPr>
      <w:r>
        <w:rPr>
          <w:b w:val="0"/>
          <w:bCs w:val="0"/>
          <w:sz w:val="22"/>
          <w:szCs w:val="22"/>
        </w:rPr>
        <w:t>AI处理记录台账（含本方案第六章分层留痕设计），支持移动端查看；</w:t>
      </w:r>
    </w:p>
    <w:p w14:paraId="52B9550F">
      <w:pPr>
        <w:pStyle w:val="20"/>
        <w:numPr>
          <w:ilvl w:val="0"/>
          <w:numId w:val="1"/>
        </w:numPr>
        <w:spacing w:after="100" w:line="340" w:lineRule="auto"/>
      </w:pPr>
      <w:r>
        <w:rPr>
          <w:b w:val="0"/>
          <w:bCs w:val="0"/>
          <w:sz w:val="22"/>
          <w:szCs w:val="22"/>
        </w:rPr>
        <w:t>处理记录查询。</w:t>
      </w:r>
    </w:p>
    <w:p w14:paraId="086A56D8">
      <w:pPr>
        <w:pStyle w:val="2"/>
        <w:keepNext/>
      </w:pPr>
      <w:bookmarkStart w:id="13" w:name="_Toc19467"/>
      <w:r>
        <w:t>八、  不纳入首版主验收的能力</w:t>
      </w:r>
      <w:bookmarkEnd w:id="13"/>
    </w:p>
    <w:p w14:paraId="5314230A">
      <w:pPr>
        <w:pStyle w:val="20"/>
        <w:numPr>
          <w:ilvl w:val="0"/>
          <w:numId w:val="1"/>
        </w:numPr>
        <w:spacing w:after="100" w:line="340" w:lineRule="auto"/>
      </w:pPr>
      <w:r>
        <w:rPr>
          <w:b w:val="0"/>
          <w:bCs w:val="0"/>
          <w:sz w:val="22"/>
          <w:szCs w:val="22"/>
        </w:rPr>
        <w:t>自动误报申诉提交、正误报最终自动判定、申诉处理；</w:t>
      </w:r>
    </w:p>
    <w:p w14:paraId="2DF0E9B2">
      <w:pPr>
        <w:pStyle w:val="20"/>
        <w:numPr>
          <w:ilvl w:val="0"/>
          <w:numId w:val="1"/>
        </w:numPr>
        <w:spacing w:after="100" w:line="340" w:lineRule="auto"/>
      </w:pPr>
      <w:r>
        <w:rPr>
          <w:b w:val="0"/>
          <w:bCs w:val="0"/>
          <w:sz w:val="22"/>
          <w:szCs w:val="22"/>
        </w:rPr>
        <w:t>日报、周报、月报和正式统计报表导出、管理人员看板；</w:t>
      </w:r>
    </w:p>
    <w:p>
      <w:pPr>
        <w:pStyle w:val="20"/>
      </w:pPr>
      <w:r>
        <w:t>离线车辆每日统计、轨迹完整率月度分析、设备巡检统计和企业官网通报栏发布；</w:t>
      </w:r>
    </w:p>
    <w:p w14:paraId="2063A733">
      <w:pPr>
        <w:pStyle w:val="20"/>
        <w:numPr>
          <w:ilvl w:val="0"/>
          <w:numId w:val="1"/>
        </w:numPr>
        <w:spacing w:after="100" w:line="340" w:lineRule="auto"/>
      </w:pPr>
      <w:r>
        <w:rPr>
          <w:b w:val="0"/>
          <w:bCs w:val="0"/>
          <w:sz w:val="22"/>
          <w:szCs w:val="22"/>
        </w:rPr>
        <w:t>车辆巡检、驾驶员风险画像、企业风险排名、月度安全分析报告；</w:t>
      </w:r>
    </w:p>
    <w:p w14:paraId="23AF6556">
      <w:pPr>
        <w:pStyle w:val="20"/>
        <w:numPr>
          <w:ilvl w:val="0"/>
          <w:numId w:val="1"/>
        </w:numPr>
        <w:spacing w:after="100" w:line="340" w:lineRule="auto"/>
      </w:pPr>
      <w:r>
        <w:rPr>
          <w:b w:val="0"/>
          <w:bCs w:val="0"/>
          <w:sz w:val="22"/>
          <w:szCs w:val="22"/>
        </w:rPr>
        <w:t>无人值守自动电话外呼、录音归档；</w:t>
      </w:r>
    </w:p>
    <w:p w14:paraId="35B7D3C2">
      <w:pPr>
        <w:pStyle w:val="20"/>
        <w:numPr>
          <w:ilvl w:val="0"/>
          <w:numId w:val="1"/>
        </w:numPr>
        <w:spacing w:after="100" w:line="340" w:lineRule="auto"/>
      </w:pPr>
      <w:r>
        <w:rPr>
          <w:b w:val="0"/>
          <w:bCs w:val="0"/>
          <w:sz w:val="22"/>
          <w:szCs w:val="22"/>
        </w:rPr>
        <w:t>企业微信深度集成；</w:t>
      </w:r>
    </w:p>
    <w:p w14:paraId="237FE5CB">
      <w:pPr>
        <w:pStyle w:val="20"/>
        <w:numPr>
          <w:ilvl w:val="0"/>
          <w:numId w:val="1"/>
        </w:numPr>
        <w:spacing w:after="100" w:line="340" w:lineRule="auto"/>
      </w:pPr>
      <w:r>
        <w:rPr>
          <w:b w:val="0"/>
          <w:bCs w:val="0"/>
          <w:sz w:val="22"/>
          <w:szCs w:val="22"/>
        </w:rPr>
        <w:t>复杂短信平台、批量群发和短信运营统计；</w:t>
      </w:r>
    </w:p>
    <w:p w14:paraId="0BF7AAC9">
      <w:pPr>
        <w:pStyle w:val="20"/>
        <w:numPr>
          <w:ilvl w:val="0"/>
          <w:numId w:val="1"/>
        </w:numPr>
        <w:spacing w:after="100" w:line="340" w:lineRule="auto"/>
      </w:pPr>
      <w:r>
        <w:rPr>
          <w:b w:val="0"/>
          <w:bCs w:val="0"/>
          <w:sz w:val="22"/>
          <w:szCs w:val="22"/>
        </w:rPr>
        <w:t>移动端远程接手完整工作流（仅支持台账移动端查看）。</w:t>
      </w:r>
    </w:p>
    <w:p w14:paraId="646C1031">
      <w:pPr>
        <w:pStyle w:val="2"/>
        <w:keepNext/>
      </w:pPr>
      <w:bookmarkStart w:id="14" w:name="_Toc21637"/>
      <w:r>
        <w:t>九、  重难点、风险边界与应对策略</w:t>
      </w:r>
      <w:bookmarkEnd w:id="14"/>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360"/>
        <w:gridCol w:w="4000"/>
      </w:tblGrid>
      <w:tr w14:paraId="2A5E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0F7AD5A3">
            <w:pPr>
              <w:jc w:val="center"/>
            </w:pPr>
            <w:r>
              <w:rPr>
                <w:b/>
                <w:bCs/>
                <w:color w:val="FFFFFF"/>
                <w:sz w:val="20"/>
                <w:szCs w:val="20"/>
              </w:rPr>
              <w:t>风险点</w:t>
            </w:r>
          </w:p>
        </w:tc>
        <w:tc>
          <w:tcPr>
            <w:tcW w:w="336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55220FD5">
            <w:pPr>
              <w:jc w:val="center"/>
            </w:pPr>
            <w:r>
              <w:rPr>
                <w:b/>
                <w:bCs/>
                <w:color w:val="FFFFFF"/>
                <w:sz w:val="20"/>
                <w:szCs w:val="20"/>
              </w:rPr>
              <w:t>说明</w:t>
            </w:r>
          </w:p>
        </w:tc>
        <w:tc>
          <w:tcPr>
            <w:tcW w:w="40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20" w:type="dxa"/>
              <w:bottom w:w="100" w:type="dxa"/>
              <w:right w:w="120" w:type="dxa"/>
            </w:tcMar>
            <w:vAlign w:val="center"/>
          </w:tcPr>
          <w:p w14:paraId="07DBD178">
            <w:pPr>
              <w:jc w:val="center"/>
            </w:pPr>
            <w:r>
              <w:rPr>
                <w:b/>
                <w:bCs/>
                <w:color w:val="FFFFFF"/>
                <w:sz w:val="20"/>
                <w:szCs w:val="20"/>
              </w:rPr>
              <w:t>应对策略</w:t>
            </w:r>
          </w:p>
        </w:tc>
      </w:tr>
      <w:tr w14:paraId="6A0F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75A552D7">
            <w:pPr>
              <w:jc w:val="left"/>
            </w:pPr>
            <w:r>
              <w:rPr>
                <w:b w:val="0"/>
                <w:bCs w:val="0"/>
                <w:color w:val="000000"/>
                <w:sz w:val="20"/>
                <w:szCs w:val="20"/>
              </w:rPr>
              <w:t>省平台无接口与页面结构变化</w:t>
            </w:r>
          </w:p>
        </w:tc>
        <w:tc>
          <w:tcPr>
            <w:tcW w:w="3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02A5C06B">
            <w:pPr>
              <w:jc w:val="left"/>
            </w:pPr>
            <w:r>
              <w:rPr>
                <w:b w:val="0"/>
                <w:bCs w:val="0"/>
                <w:color w:val="000000"/>
                <w:sz w:val="20"/>
                <w:szCs w:val="20"/>
              </w:rPr>
              <w:t>依赖DOM、弹窗和按钮结构，页面改版、按钮变化或权限变化可能导致插件失效</w:t>
            </w:r>
          </w:p>
        </w:tc>
        <w:tc>
          <w:tcPr>
            <w:tcW w:w="40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5FD2DC61">
            <w:pPr>
              <w:jc w:val="left"/>
            </w:pPr>
            <w:r>
              <w:rPr>
                <w:b w:val="0"/>
                <w:bCs w:val="0"/>
                <w:color w:val="000000"/>
                <w:sz w:val="20"/>
                <w:szCs w:val="20"/>
              </w:rPr>
              <w:t>字段读取标记来源与失败提示；关键选择器多策略兜底；弹窗失败用列表/查询兜底；按钮失败不静默跳过，提示人工接管；试运行期记录失败样本持续迭代</w:t>
            </w:r>
          </w:p>
        </w:tc>
      </w:tr>
      <w:tr w14:paraId="21847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63F2B945">
            <w:pPr>
              <w:jc w:val="left"/>
            </w:pPr>
            <w:r>
              <w:rPr>
                <w:b w:val="0"/>
                <w:bCs w:val="0"/>
                <w:color w:val="000000"/>
                <w:sz w:val="20"/>
                <w:szCs w:val="20"/>
              </w:rPr>
              <w:t>VLM纠正判断不稳定</w:t>
            </w:r>
          </w:p>
        </w:tc>
        <w:tc>
          <w:tcPr>
            <w:tcW w:w="33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16CC969F">
            <w:pPr>
              <w:jc w:val="left"/>
            </w:pPr>
            <w:r>
              <w:rPr>
                <w:b w:val="0"/>
                <w:bCs w:val="0"/>
                <w:color w:val="000000"/>
                <w:sz w:val="20"/>
                <w:szCs w:val="20"/>
              </w:rPr>
              <w:t>夜间、遮挡、低码率、姿态差异和多路画面影响判断准确率</w:t>
            </w:r>
          </w:p>
        </w:tc>
        <w:tc>
          <w:tcPr>
            <w:tcW w:w="40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5848DB27">
            <w:pPr>
              <w:jc w:val="left"/>
            </w:pPr>
            <w:r>
              <w:rPr>
                <w:b w:val="0"/>
                <w:bCs w:val="0"/>
                <w:color w:val="000000"/>
                <w:sz w:val="20"/>
                <w:szCs w:val="20"/>
              </w:rPr>
              <w:t>已纠正/未纠正/无法判断三态区分；低置信度或证据不足进入人工确认；高风险报警即使AI判断已缓解仍建议人工复核；保留视频帧、时间点和判断说明</w:t>
            </w:r>
          </w:p>
        </w:tc>
      </w:tr>
      <w:tr w14:paraId="558A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6C486489">
            <w:pPr>
              <w:jc w:val="left"/>
            </w:pPr>
            <w:r>
              <w:rPr>
                <w:b w:val="0"/>
                <w:bCs w:val="0"/>
                <w:color w:val="000000"/>
                <w:sz w:val="20"/>
                <w:szCs w:val="20"/>
              </w:rPr>
              <w:t>语音对讲与司机回复识别边界</w:t>
            </w:r>
          </w:p>
        </w:tc>
        <w:tc>
          <w:tcPr>
            <w:tcW w:w="3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124019CC">
            <w:pPr>
              <w:jc w:val="left"/>
            </w:pPr>
            <w:r>
              <w:rPr>
                <w:b w:val="0"/>
                <w:bCs w:val="0"/>
                <w:color w:val="000000"/>
                <w:sz w:val="20"/>
                <w:szCs w:val="20"/>
              </w:rPr>
              <w:t>依赖省平台通道、本地语音设备、浏览器权限和现场网络；回复识别涉及隐私边界</w:t>
            </w:r>
          </w:p>
        </w:tc>
        <w:tc>
          <w:tcPr>
            <w:tcW w:w="40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00F9AC15">
            <w:pPr>
              <w:jc w:val="left"/>
            </w:pPr>
            <w:r>
              <w:rPr>
                <w:b w:val="0"/>
                <w:bCs w:val="0"/>
                <w:color w:val="000000"/>
                <w:sz w:val="20"/>
                <w:szCs w:val="20"/>
              </w:rPr>
              <w:t>话术使用固定审核模板；播放失败提示文本或人工接管；司机回复识别作为可选能力，由客户确认是否纳入首版</w:t>
            </w:r>
          </w:p>
        </w:tc>
      </w:tr>
      <w:tr w14:paraId="7335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39D4576E">
            <w:pPr>
              <w:jc w:val="left"/>
            </w:pPr>
            <w:r>
              <w:rPr>
                <w:b w:val="0"/>
                <w:bCs w:val="0"/>
                <w:color w:val="000000"/>
                <w:sz w:val="20"/>
                <w:szCs w:val="20"/>
              </w:rPr>
              <w:t>短信通知与事件详情安全</w:t>
            </w:r>
          </w:p>
        </w:tc>
        <w:tc>
          <w:tcPr>
            <w:tcW w:w="33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5787E4FD">
            <w:pPr>
              <w:jc w:val="left"/>
            </w:pPr>
            <w:r>
              <w:rPr>
                <w:b w:val="0"/>
                <w:bCs w:val="0"/>
                <w:color w:val="000000"/>
                <w:sz w:val="20"/>
                <w:szCs w:val="20"/>
              </w:rPr>
              <w:t>短信链接涉及报警、车辆、驾驶员、企业和处置信息</w:t>
            </w:r>
          </w:p>
        </w:tc>
        <w:tc>
          <w:tcPr>
            <w:tcW w:w="40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052DD4BB">
            <w:pPr>
              <w:jc w:val="left"/>
            </w:pPr>
            <w:r>
              <w:rPr>
                <w:b w:val="0"/>
                <w:bCs w:val="0"/>
                <w:color w:val="000000"/>
                <w:sz w:val="20"/>
                <w:szCs w:val="20"/>
              </w:rPr>
              <w:t>接收人由客户确认；详情页身份校验或有效期控制；手机号等信息脱敏展示；链接打开、复制、拨打均写入记录</w:t>
            </w:r>
          </w:p>
        </w:tc>
      </w:tr>
      <w:tr w14:paraId="04B2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005A086A">
            <w:pPr>
              <w:jc w:val="left"/>
            </w:pPr>
            <w:r>
              <w:rPr>
                <w:b w:val="0"/>
                <w:bCs w:val="0"/>
                <w:color w:val="000000"/>
                <w:sz w:val="20"/>
                <w:szCs w:val="20"/>
              </w:rPr>
              <w:t>责任边界与客户制度配合</w:t>
            </w:r>
          </w:p>
        </w:tc>
        <w:tc>
          <w:tcPr>
            <w:tcW w:w="3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4182899B">
            <w:pPr>
              <w:jc w:val="left"/>
            </w:pPr>
            <w:r>
              <w:rPr>
                <w:b w:val="0"/>
                <w:bCs w:val="0"/>
                <w:color w:val="000000"/>
                <w:sz w:val="20"/>
                <w:szCs w:val="20"/>
              </w:rPr>
              <w:t>报警处置涉及安全责任，需要客户制度配合，不仅是技术上线</w:t>
            </w:r>
          </w:p>
        </w:tc>
        <w:tc>
          <w:tcPr>
            <w:tcW w:w="40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center"/>
          </w:tcPr>
          <w:p w14:paraId="78E7FF41">
            <w:pPr>
              <w:jc w:val="left"/>
            </w:pPr>
            <w:r>
              <w:rPr>
                <w:b w:val="0"/>
                <w:bCs w:val="0"/>
                <w:color w:val="000000"/>
                <w:sz w:val="20"/>
                <w:szCs w:val="20"/>
              </w:rPr>
              <w:t>高风险、未纠正、无法判断三类强制人工确认；首版不做无人值守外呼和最终责任判断；台账用于复盘追溯，不替代客户管理制度</w:t>
            </w:r>
          </w:p>
        </w:tc>
      </w:tr>
      <w:tr w14:paraId="3B7A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7F396B64">
            <w:pPr>
              <w:jc w:val="left"/>
            </w:pPr>
            <w:r>
              <w:rPr>
                <w:b w:val="0"/>
                <w:bCs w:val="0"/>
                <w:color w:val="000000"/>
                <w:sz w:val="20"/>
                <w:szCs w:val="20"/>
              </w:rPr>
              <w:t>官方规则与客户SOP口径差异</w:t>
            </w:r>
          </w:p>
        </w:tc>
        <w:tc>
          <w:tcPr>
            <w:tcW w:w="33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638A480F">
            <w:pPr>
              <w:jc w:val="left"/>
            </w:pPr>
            <w:r>
              <w:rPr>
                <w:b w:val="0"/>
                <w:bCs w:val="0"/>
                <w:color w:val="000000"/>
                <w:sz w:val="20"/>
                <w:szCs w:val="20"/>
              </w:rPr>
              <w:t>官方“当日分析”类报警在客户SOP下可能仍需实时提醒司机</w:t>
            </w:r>
          </w:p>
        </w:tc>
        <w:tc>
          <w:tcPr>
            <w:tcW w:w="40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center"/>
          </w:tcPr>
          <w:p w14:paraId="5DF35E1C">
            <w:pPr>
              <w:jc w:val="left"/>
            </w:pPr>
            <w:r>
              <w:rPr>
                <w:b w:val="0"/>
                <w:bCs w:val="0"/>
                <w:color w:val="000000"/>
                <w:sz w:val="20"/>
                <w:szCs w:val="20"/>
              </w:rPr>
              <w:t>该判断仅适用于本项目当前业务语境，配置中保留官方规则、客户SOP、系统建议与人工确认结果之间的边界，不泛化为通用监管规则</w:t>
            </w:r>
          </w:p>
        </w:tc>
      </w:tr>
    </w:tbl>
    <w:p w14:paraId="76A23E2E">
      <w:pPr>
        <w:pStyle w:val="2"/>
        <w:keepNext/>
      </w:pPr>
      <w:bookmarkStart w:id="15" w:name="_Toc28617"/>
      <w:r>
        <w:t>十、  实施路径</w:t>
      </w:r>
      <w:bookmarkEnd w:id="15"/>
    </w:p>
    <w:p w14:paraId="33BF6258">
      <w:pPr>
        <w:pStyle w:val="20"/>
        <w:numPr>
          <w:ilvl w:val="0"/>
          <w:numId w:val="1"/>
        </w:numPr>
        <w:spacing w:after="100" w:line="340" w:lineRule="auto"/>
      </w:pPr>
      <w:r>
        <w:rPr>
          <w:b w:val="0"/>
          <w:bCs w:val="0"/>
          <w:sz w:val="22"/>
          <w:szCs w:val="22"/>
        </w:rPr>
        <w:t>确认省平台登录方式、页面结构、报警弹窗、报警列表和报警详情字段；</w:t>
      </w:r>
    </w:p>
    <w:p>
      <w:pPr>
        <w:pStyle w:val="20"/>
      </w:pPr>
      <w:r>
        <w:t>确认车辆类型字段来源和车辆清单，先建立危货车、城乡公交、农村客运/客运班线的规则映射表；</w:t>
      </w:r>
    </w:p>
    <w:p w14:paraId="503A522B">
      <w:pPr>
        <w:pStyle w:val="20"/>
        <w:numPr>
          <w:ilvl w:val="0"/>
          <w:numId w:val="1"/>
        </w:numPr>
        <w:spacing w:after="100" w:line="340" w:lineRule="auto"/>
      </w:pPr>
      <w:r>
        <w:rPr>
          <w:b w:val="0"/>
          <w:bCs w:val="0"/>
          <w:sz w:val="22"/>
          <w:szCs w:val="22"/>
        </w:rPr>
        <w:t>选取3至5类高频报警作为首批试点；</w:t>
      </w:r>
    </w:p>
    <w:p w14:paraId="583F5553">
      <w:pPr>
        <w:pStyle w:val="20"/>
        <w:numPr>
          <w:ilvl w:val="0"/>
          <w:numId w:val="1"/>
        </w:numPr>
        <w:spacing w:after="100" w:line="340" w:lineRule="auto"/>
      </w:pPr>
      <w:r>
        <w:rPr>
          <w:b w:val="0"/>
          <w:bCs w:val="0"/>
          <w:sz w:val="22"/>
          <w:szCs w:val="22"/>
        </w:rPr>
        <w:t>配置官方规则、客户SOP和固定提醒话术；</w:t>
      </w:r>
    </w:p>
    <w:p>
      <w:pPr>
        <w:pStyle w:val="20"/>
      </w:pPr>
      <w:r>
        <w:t>将企业要求拆成即时处置、升级时限、企业通知、台账留痕和二期运营事项，冻结首版验收范围；</w:t>
      </w:r>
    </w:p>
    <w:p w14:paraId="469AB510">
      <w:pPr>
        <w:pStyle w:val="20"/>
        <w:numPr>
          <w:ilvl w:val="0"/>
          <w:numId w:val="1"/>
        </w:numPr>
        <w:spacing w:after="100" w:line="340" w:lineRule="auto"/>
      </w:pPr>
      <w:r>
        <w:rPr>
          <w:b w:val="0"/>
          <w:bCs w:val="0"/>
          <w:sz w:val="22"/>
          <w:szCs w:val="22"/>
        </w:rPr>
        <w:t>完成浏览器插件读取、按钮触发、语音对讲和记录留痕；</w:t>
      </w:r>
    </w:p>
    <w:p w14:paraId="1593F759">
      <w:pPr>
        <w:pStyle w:val="20"/>
        <w:numPr>
          <w:ilvl w:val="0"/>
          <w:numId w:val="1"/>
        </w:numPr>
        <w:spacing w:after="100" w:line="340" w:lineRule="auto"/>
      </w:pPr>
      <w:r>
        <w:rPr>
          <w:b w:val="0"/>
          <w:bCs w:val="0"/>
          <w:sz w:val="22"/>
          <w:szCs w:val="22"/>
        </w:rPr>
        <w:t>建立未纠正、无法判断和高风险报警的短信通知与事件详情页；</w:t>
      </w:r>
    </w:p>
    <w:p w14:paraId="1BD0B264">
      <w:pPr>
        <w:pStyle w:val="20"/>
        <w:numPr>
          <w:ilvl w:val="0"/>
          <w:numId w:val="1"/>
        </w:numPr>
        <w:spacing w:after="100" w:line="340" w:lineRule="auto"/>
      </w:pPr>
      <w:r>
        <w:rPr>
          <w:b w:val="0"/>
          <w:bCs w:val="0"/>
          <w:sz w:val="22"/>
          <w:szCs w:val="22"/>
        </w:rPr>
        <w:t>试运行2至4周，收集失败样本、误判样本和人工确认结果；</w:t>
      </w:r>
    </w:p>
    <w:p w14:paraId="430880DB">
      <w:pPr>
        <w:pStyle w:val="20"/>
        <w:numPr>
          <w:ilvl w:val="0"/>
          <w:numId w:val="1"/>
        </w:numPr>
        <w:spacing w:after="100" w:line="340" w:lineRule="auto"/>
      </w:pPr>
      <w:r>
        <w:rPr>
          <w:b w:val="0"/>
          <w:bCs w:val="0"/>
          <w:sz w:val="22"/>
          <w:szCs w:val="22"/>
        </w:rPr>
        <w:t>根据试运行结果扩展报警类型、优化规则和完善台账查询。</w:t>
      </w:r>
    </w:p>
    <w:p w14:paraId="13718729">
      <w:pPr>
        <w:pStyle w:val="2"/>
        <w:keepNext/>
      </w:pPr>
      <w:bookmarkStart w:id="16" w:name="_Toc2331"/>
      <w:r>
        <w:t>十一、  客户配合事项</w:t>
      </w:r>
      <w:bookmarkEnd w:id="16"/>
    </w:p>
    <w:tbl>
      <w:tblPr>
        <w:tblStyle w:val="15"/>
        <w:tblW w:w="93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EB8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1F3A5F"/>
            <w:tcMar>
              <w:top w:w="100" w:type="dxa"/>
              <w:left w:w="120" w:type="dxa"/>
              <w:bottom w:w="100" w:type="dxa"/>
              <w:right w:w="120" w:type="dxa"/>
            </w:tcMar>
            <w:vAlign w:val="top"/>
          </w:tcPr>
          <w:p w14:paraId="22A8FD29">
            <w:pPr>
              <w:jc w:val="center"/>
            </w:pPr>
            <w:r>
              <w:rPr>
                <w:b/>
                <w:bCs/>
                <w:color w:val="FFFFFF"/>
                <w:sz w:val="18"/>
                <w:szCs w:val="20"/>
              </w:rPr>
              <w:t>配合事项</w:t>
            </w:r>
          </w:p>
        </w:tc>
        <w:tc>
          <w:tcPr>
            <w:tcW w:w="7160" w:type="dxa"/>
            <w:tcBorders>
              <w:top w:val="single" w:color="BFBFBF" w:sz="4" w:space="0"/>
              <w:left w:val="single" w:color="BFBFBF" w:sz="4" w:space="0"/>
              <w:bottom w:val="single" w:color="BFBFBF" w:sz="4" w:space="0"/>
              <w:right w:val="single" w:color="BFBFBF" w:sz="4" w:space="0"/>
            </w:tcBorders>
            <w:shd w:val="clear" w:color="auto" w:fill="1F3A5F"/>
            <w:tcMar>
              <w:top w:w="100" w:type="dxa"/>
              <w:left w:w="120" w:type="dxa"/>
              <w:bottom w:w="100" w:type="dxa"/>
              <w:right w:w="120" w:type="dxa"/>
            </w:tcMar>
            <w:vAlign w:val="top"/>
          </w:tcPr>
          <w:p w14:paraId="60A0E1F8">
            <w:pPr>
              <w:jc w:val="center"/>
            </w:pPr>
            <w:r>
              <w:rPr>
                <w:b/>
                <w:bCs/>
                <w:color w:val="FFFFFF"/>
                <w:sz w:val="18"/>
                <w:szCs w:val="20"/>
              </w:rPr>
              <w:t>说明</w:t>
            </w:r>
          </w:p>
        </w:tc>
      </w:tr>
      <w:tr w14:paraId="2406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13088582">
            <w:pPr>
              <w:jc w:val="left"/>
            </w:pPr>
            <w:r>
              <w:rPr>
                <w:b w:val="0"/>
                <w:bCs w:val="0"/>
                <w:color w:val="000000"/>
                <w:sz w:val="18"/>
                <w:szCs w:val="20"/>
              </w:rPr>
              <w:t>省平台账号与权限</w:t>
            </w:r>
          </w:p>
        </w:tc>
        <w:tc>
          <w:tcPr>
            <w:tcW w:w="7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221201F0">
            <w:pPr>
              <w:jc w:val="left"/>
            </w:pPr>
            <w:r>
              <w:rPr>
                <w:b w:val="0"/>
                <w:bCs w:val="0"/>
                <w:color w:val="000000"/>
                <w:sz w:val="18"/>
                <w:szCs w:val="20"/>
              </w:rPr>
              <w:t>提供试运行账号、页面访问权限、文本下发和语音对讲权限</w:t>
            </w:r>
          </w:p>
        </w:tc>
      </w:tr>
      <w:tr w14:paraId="7AFAE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79CA1FCB">
            <w:pPr>
              <w:jc w:val="left"/>
            </w:pPr>
            <w:r>
              <w:rPr>
                <w:b w:val="0"/>
                <w:bCs w:val="0"/>
                <w:color w:val="000000"/>
                <w:sz w:val="18"/>
                <w:szCs w:val="20"/>
              </w:rPr>
              <w:t>报警规则资料</w:t>
            </w:r>
          </w:p>
        </w:tc>
        <w:tc>
          <w:tcPr>
            <w:tcW w:w="71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5A7370B0">
            <w:pPr>
              <w:jc w:val="left"/>
            </w:pPr>
            <w:r>
              <w:rPr>
                <w:b w:val="0"/>
                <w:bCs w:val="0"/>
                <w:color w:val="000000"/>
                <w:sz w:val="18"/>
                <w:szCs w:val="20"/>
              </w:rPr>
              <w:t>提供官方规则、客户SOP、优先处理报警类型和内部升级规则</w:t>
            </w:r>
          </w:p>
        </w:tc>
      </w:tr>
      <w:tr w14:paraId="23C59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29F82A0C">
            <w:pPr>
              <w:jc w:val="left"/>
            </w:pPr>
            <w:r>
              <w:rPr>
                <w:b w:val="0"/>
                <w:bCs w:val="0"/>
                <w:color w:val="000000"/>
                <w:sz w:val="18"/>
                <w:szCs w:val="20"/>
              </w:rPr>
              <w:t>固定话术确认</w:t>
            </w:r>
          </w:p>
        </w:tc>
        <w:tc>
          <w:tcPr>
            <w:tcW w:w="7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174CB360">
            <w:pPr>
              <w:jc w:val="left"/>
            </w:pPr>
            <w:r>
              <w:rPr>
                <w:b w:val="0"/>
                <w:bCs w:val="0"/>
                <w:color w:val="000000"/>
                <w:sz w:val="18"/>
                <w:szCs w:val="20"/>
              </w:rPr>
              <w:t>确认文本下发和语音对讲话术模板</w:t>
            </w:r>
          </w:p>
        </w:tc>
      </w:tr>
      <w:tr w14:paraId="1A168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07362682">
            <w:pPr>
              <w:jc w:val="left"/>
            </w:pPr>
            <w:r>
              <w:rPr>
                <w:b w:val="0"/>
                <w:bCs w:val="0"/>
                <w:color w:val="000000"/>
                <w:sz w:val="18"/>
                <w:szCs w:val="20"/>
              </w:rPr>
              <w:t>真实报警样本</w:t>
            </w:r>
          </w:p>
        </w:tc>
        <w:tc>
          <w:tcPr>
            <w:tcW w:w="71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7A3C1B63">
            <w:pPr>
              <w:jc w:val="left"/>
            </w:pPr>
            <w:r>
              <w:rPr>
                <w:b w:val="0"/>
                <w:bCs w:val="0"/>
                <w:color w:val="000000"/>
                <w:sz w:val="18"/>
                <w:szCs w:val="20"/>
              </w:rPr>
              <w:t>提供典型报警视频、截图、处理记录和人工判断结果，并确认是否覆盖首版报警类型</w:t>
            </w:r>
          </w:p>
        </w:tc>
      </w:tr>
      <w:tr w14:paraId="116F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29F11482">
            <w:pPr>
              <w:jc w:val="left"/>
            </w:pPr>
            <w:r>
              <w:rPr>
                <w:b w:val="0"/>
                <w:bCs w:val="0"/>
                <w:color w:val="000000"/>
                <w:sz w:val="18"/>
                <w:szCs w:val="20"/>
              </w:rPr>
              <w:t>值班人员信息</w:t>
            </w:r>
          </w:p>
        </w:tc>
        <w:tc>
          <w:tcPr>
            <w:tcW w:w="7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3059008D">
            <w:pPr>
              <w:jc w:val="left"/>
            </w:pPr>
            <w:r>
              <w:rPr>
                <w:b w:val="0"/>
                <w:bCs w:val="0"/>
                <w:color w:val="000000"/>
                <w:sz w:val="18"/>
                <w:szCs w:val="20"/>
              </w:rPr>
              <w:t>确认短信接收人、手机号、接收时间段和备选联系人</w:t>
            </w:r>
          </w:p>
        </w:tc>
      </w:tr>
      <w:tr w14:paraId="7BCB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292BD54D">
            <w:pPr>
              <w:jc w:val="left"/>
            </w:pPr>
            <w:r>
              <w:rPr>
                <w:b w:val="0"/>
                <w:bCs w:val="0"/>
                <w:color w:val="000000"/>
                <w:sz w:val="18"/>
                <w:szCs w:val="20"/>
              </w:rPr>
              <w:t>企业联系人</w:t>
            </w:r>
          </w:p>
        </w:tc>
        <w:tc>
          <w:tcPr>
            <w:tcW w:w="71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1F19A13F">
            <w:pPr>
              <w:jc w:val="left"/>
            </w:pPr>
            <w:r>
              <w:rPr>
                <w:b w:val="0"/>
                <w:bCs w:val="0"/>
                <w:color w:val="000000"/>
                <w:sz w:val="18"/>
                <w:szCs w:val="20"/>
              </w:rPr>
              <w:t>提供企业负责人通讯录、联系方式、维护机制和通知边界</w:t>
            </w:r>
          </w:p>
        </w:tc>
      </w:tr>
      <w:tr w14:paraId="12A0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40D3F0D7">
            <w:pPr>
              <w:jc w:val="left"/>
            </w:pPr>
            <w:r>
              <w:rPr>
                <w:b w:val="0"/>
                <w:bCs w:val="0"/>
                <w:color w:val="000000"/>
                <w:sz w:val="18"/>
                <w:szCs w:val="20"/>
              </w:rPr>
              <w:t>数据安全要求</w:t>
            </w:r>
          </w:p>
        </w:tc>
        <w:tc>
          <w:tcPr>
            <w:tcW w:w="7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5C9792F9">
            <w:pPr>
              <w:jc w:val="left"/>
            </w:pPr>
            <w:r>
              <w:rPr>
                <w:b w:val="0"/>
                <w:bCs w:val="0"/>
                <w:color w:val="000000"/>
                <w:sz w:val="18"/>
                <w:szCs w:val="20"/>
              </w:rPr>
              <w:t>确认记录保存周期、脱敏规则、详情页访问权限、有效期和日志要求</w:t>
            </w:r>
          </w:p>
        </w:tc>
      </w:tr>
      <w:tr w14:paraId="03B3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770E9951">
            <w:pPr>
              <w:jc w:val="left"/>
            </w:pPr>
            <w:r>
              <w:rPr>
                <w:b w:val="0"/>
                <w:bCs w:val="0"/>
                <w:color w:val="000000"/>
                <w:sz w:val="18"/>
                <w:szCs w:val="20"/>
              </w:rPr>
              <w:t>留痕分层确认</w:t>
            </w:r>
          </w:p>
        </w:tc>
        <w:tc>
          <w:tcPr>
            <w:tcW w:w="71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307DA0FF">
            <w:pPr>
              <w:jc w:val="left"/>
            </w:pPr>
            <w:r>
              <w:rPr>
                <w:b w:val="0"/>
                <w:bCs w:val="0"/>
                <w:color w:val="000000"/>
                <w:sz w:val="18"/>
                <w:szCs w:val="20"/>
              </w:rPr>
              <w:t>确认第六章分层留痕设计中常规类/高风险类的归类范围及个人级下钻审批流程</w:t>
            </w:r>
          </w:p>
        </w:tc>
      </w:tr>
      <w:tr w14:paraId="38A2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629580AB">
            <w:pPr>
              <w:jc w:val="left"/>
            </w:pPr>
            <w:r>
              <w:rPr>
                <w:b w:val="0"/>
                <w:bCs w:val="0"/>
                <w:color w:val="000000"/>
                <w:sz w:val="18"/>
                <w:szCs w:val="20"/>
              </w:rPr>
              <w:t>验收口径</w:t>
            </w:r>
          </w:p>
        </w:tc>
        <w:tc>
          <w:tcPr>
            <w:tcW w:w="7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56262C7A">
            <w:pPr>
              <w:jc w:val="left"/>
            </w:pPr>
            <w:r>
              <w:rPr>
                <w:b w:val="0"/>
                <w:bCs w:val="0"/>
                <w:color w:val="000000"/>
                <w:sz w:val="18"/>
                <w:szCs w:val="20"/>
              </w:rPr>
              <w:t>确认功能验收、AI试运行、处置记录和异常兜底的验收方式</w:t>
            </w:r>
          </w:p>
        </w:tc>
      </w:tr>
      <w:tr w14:paraId="10A5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53B88FD4">
            <w:pPr>
              <w:jc w:val="left"/>
            </w:pPr>
            <w:r>
              <w:rPr>
                <w:b w:val="0"/>
                <w:bCs w:val="0"/>
                <w:color w:val="000000"/>
                <w:sz w:val="18"/>
                <w:szCs w:val="20"/>
              </w:rPr>
              <w:t>自动触发授权</w:t>
            </w:r>
          </w:p>
        </w:tc>
        <w:tc>
          <w:tcPr>
            <w:tcW w:w="71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2BD56D39">
            <w:pPr>
              <w:jc w:val="left"/>
            </w:pPr>
            <w:r>
              <w:rPr>
                <w:b w:val="0"/>
                <w:bCs w:val="0"/>
                <w:color w:val="000000"/>
                <w:sz w:val="18"/>
                <w:szCs w:val="20"/>
              </w:rPr>
              <w:t>确认插件是否允许自动触发文本下发或语音对讲</w:t>
            </w:r>
          </w:p>
        </w:tc>
      </w:tr>
      <w:tr>
        <w:tc>
          <w:tcPr>
            <w:tcW w:type="dxa" w:w="2200"/>
            <w:vAlign w:val="top"/>
          </w:tcPr>
          <w:p>
            <w:pPr>
              <w:jc w:val="left"/>
            </w:pPr>
            <w:r>
              <w:rPr>
                <w:sz w:val="18"/>
              </w:rPr>
              <w:t>车辆类型与经营属性清单</w:t>
            </w:r>
          </w:p>
        </w:tc>
        <w:tc>
          <w:tcPr>
            <w:tcW w:type="dxa" w:w="7160"/>
            <w:vAlign w:val="top"/>
          </w:tcPr>
          <w:p>
            <w:pPr>
              <w:jc w:val="left"/>
            </w:pPr>
            <w:r>
              <w:rPr>
                <w:sz w:val="18"/>
              </w:rPr>
              <w:t>提供车辆类型、经营属性、核载人数、站立区白名单、线路/电子围栏、危货运输属性、农村客运是否按客运班线口径执行等基础数据。</w:t>
            </w:r>
          </w:p>
        </w:tc>
      </w:tr>
      <w:tr>
        <w:tc>
          <w:tcPr>
            <w:tcW w:type="dxa" w:w="2200"/>
            <w:vAlign w:val="top"/>
          </w:tcPr>
          <w:p>
            <w:pPr>
              <w:jc w:val="left"/>
            </w:pPr>
            <w:r>
              <w:rPr>
                <w:sz w:val="18"/>
              </w:rPr>
              <w:t>危货专属规则确认</w:t>
            </w:r>
          </w:p>
        </w:tc>
        <w:tc>
          <w:tcPr>
            <w:tcW w:type="dxa" w:w="7160"/>
            <w:vAlign w:val="top"/>
          </w:tcPr>
          <w:p>
            <w:pPr>
              <w:jc w:val="left"/>
            </w:pPr>
            <w:r>
              <w:rPr>
                <w:sz w:val="18"/>
              </w:rPr>
              <w:t>确认押运员身份识别、电子运单报警、异地经营提醒、危货超速阈值和危货设备定位异常的处置权限及是否纳入首版。</w:t>
            </w:r>
          </w:p>
        </w:tc>
      </w:tr>
      <w:tr>
        <w:tc>
          <w:tcPr>
            <w:tcW w:type="dxa" w:w="2200"/>
            <w:vAlign w:val="top"/>
          </w:tcPr>
          <w:p>
            <w:pPr>
              <w:jc w:val="left"/>
            </w:pPr>
            <w:r>
              <w:rPr>
                <w:sz w:val="18"/>
              </w:rPr>
              <w:t>城乡公交/农村客运规则确认</w:t>
            </w:r>
          </w:p>
        </w:tc>
        <w:tc>
          <w:tcPr>
            <w:tcW w:type="dxa" w:w="7160"/>
            <w:vAlign w:val="top"/>
          </w:tcPr>
          <w:p>
            <w:pPr>
              <w:jc w:val="left"/>
            </w:pPr>
            <w:r>
              <w:rPr>
                <w:sz w:val="18"/>
              </w:rPr>
              <w:t>确认超员、电子围栏、夜间异动、单手脱离方向盘、乘客安全带巡检和站立区白名单等规则的适用边界。</w:t>
            </w:r>
          </w:p>
        </w:tc>
      </w:tr>
      <w:tr>
        <w:tc>
          <w:tcPr>
            <w:tcW w:type="dxa" w:w="2200"/>
            <w:vAlign w:val="top"/>
          </w:tcPr>
          <w:p>
            <w:pPr>
              <w:jc w:val="left"/>
            </w:pPr>
            <w:r>
              <w:rPr>
                <w:sz w:val="18"/>
              </w:rPr>
              <w:t>企业要求明细</w:t>
            </w:r>
          </w:p>
        </w:tc>
        <w:tc>
          <w:tcPr>
            <w:tcW w:type="dxa" w:w="7160"/>
            <w:vAlign w:val="top"/>
          </w:tcPr>
          <w:p>
            <w:pPr>
              <w:jc w:val="left"/>
            </w:pPr>
            <w:r>
              <w:rPr>
                <w:sz w:val="18"/>
              </w:rPr>
              <w:t>确认报警后干预方式、升级时限、企业联系人、微信群/邮箱、日报周报月报模板，以及哪些属于首版、二期或代运营服务。</w:t>
            </w:r>
          </w:p>
        </w:tc>
      </w:tr>
    </w:tbl>
    <w:p w14:paraId="6D14714E">
      <w:pPr>
        <w:pStyle w:val="2"/>
        <w:keepNext/>
      </w:pPr>
      <w:bookmarkStart w:id="17" w:name="_Toc8249"/>
      <w:r>
        <w:t>十二、  验收建议</w:t>
      </w:r>
      <w:bookmarkEnd w:id="17"/>
    </w:p>
    <w:p w14:paraId="544D9235">
      <w:pPr>
        <w:pStyle w:val="3"/>
        <w:keepNext/>
      </w:pPr>
      <w:bookmarkStart w:id="18" w:name="_Toc1102"/>
      <w:r>
        <w:t>12.1 功能与数据验收</w:t>
      </w:r>
      <w:bookmarkEnd w:id="18"/>
    </w:p>
    <w:p w14:paraId="15199C32">
      <w:pPr>
        <w:pStyle w:val="20"/>
        <w:numPr>
          <w:ilvl w:val="0"/>
          <w:numId w:val="1"/>
        </w:numPr>
        <w:spacing w:after="100" w:line="340" w:lineRule="auto"/>
      </w:pPr>
      <w:r>
        <w:rPr>
          <w:b w:val="0"/>
          <w:bCs w:val="0"/>
          <w:sz w:val="22"/>
          <w:szCs w:val="22"/>
        </w:rPr>
        <w:t>插件能够识别省平台实时报警，读取核心字段，并标记数据来源；</w:t>
      </w:r>
    </w:p>
    <w:p w14:paraId="1ED8ED08">
      <w:pPr>
        <w:pStyle w:val="20"/>
        <w:numPr>
          <w:ilvl w:val="0"/>
          <w:numId w:val="1"/>
        </w:numPr>
        <w:spacing w:after="100" w:line="340" w:lineRule="auto"/>
      </w:pPr>
      <w:r>
        <w:rPr>
          <w:b w:val="0"/>
          <w:bCs w:val="0"/>
          <w:sz w:val="22"/>
          <w:szCs w:val="22"/>
        </w:rPr>
        <w:t>插件能够按规则选择文本下发、语音对讲、内部确认或不处理，并触发对应页面按钮；</w:t>
      </w:r>
    </w:p>
    <w:p w14:paraId="6D25A645">
      <w:pPr>
        <w:pStyle w:val="20"/>
        <w:numPr>
          <w:ilvl w:val="0"/>
          <w:numId w:val="1"/>
        </w:numPr>
        <w:spacing w:after="100" w:line="340" w:lineRule="auto"/>
      </w:pPr>
      <w:r>
        <w:rPr>
          <w:b w:val="0"/>
          <w:bCs w:val="0"/>
          <w:sz w:val="22"/>
          <w:szCs w:val="22"/>
        </w:rPr>
        <w:t>插件能够使用固定话术提醒司机，并检测纠正结果（已纠正/未纠正/无法判断）；</w:t>
      </w:r>
    </w:p>
    <w:p w14:paraId="47F0A9E5">
      <w:pPr>
        <w:pStyle w:val="20"/>
        <w:numPr>
          <w:ilvl w:val="0"/>
          <w:numId w:val="1"/>
        </w:numPr>
        <w:spacing w:after="100" w:line="340" w:lineRule="auto"/>
      </w:pPr>
      <w:r>
        <w:rPr>
          <w:b w:val="0"/>
          <w:bCs w:val="0"/>
          <w:sz w:val="22"/>
          <w:szCs w:val="22"/>
        </w:rPr>
        <w:t>异常情况（未纠正、无法判断、高风险、按钮失败、页面异常、视频不可用）能够生成事件记录并短信通知值班业务人员，不静默跳过；</w:t>
      </w:r>
    </w:p>
    <w:p w14:paraId="26AE4FD8">
      <w:pPr>
        <w:pStyle w:val="20"/>
        <w:numPr>
          <w:ilvl w:val="0"/>
          <w:numId w:val="1"/>
        </w:numPr>
        <w:spacing w:after="100" w:line="340" w:lineRule="auto"/>
      </w:pPr>
      <w:r>
        <w:rPr>
          <w:b w:val="0"/>
          <w:bCs w:val="0"/>
          <w:sz w:val="22"/>
          <w:szCs w:val="22"/>
        </w:rPr>
        <w:t>事件详情页能够一键复制关键信息和企业沟通话术，提供人工拨号入口；</w:t>
      </w:r>
    </w:p>
    <w:p w14:paraId="2045208F">
      <w:pPr>
        <w:pStyle w:val="20"/>
        <w:numPr>
          <w:ilvl w:val="0"/>
          <w:numId w:val="1"/>
        </w:numPr>
        <w:spacing w:after="100" w:line="340" w:lineRule="auto"/>
      </w:pPr>
      <w:r>
        <w:rPr>
          <w:b w:val="0"/>
          <w:bCs w:val="0"/>
          <w:sz w:val="22"/>
          <w:szCs w:val="22"/>
        </w:rPr>
        <w:t>AI处理记录台账能够按分层颗粒度（班次/团队级、个人级）查询，字段完整、操作可追溯。</w:t>
      </w:r>
    </w:p>
    <w:p w14:paraId="3C140B67">
      <w:pPr>
        <w:pStyle w:val="3"/>
        <w:keepNext/>
      </w:pPr>
      <w:bookmarkStart w:id="19" w:name="_Toc9132"/>
      <w:r>
        <w:t>12.2 AI能力验收指标（建议试运行后确定具体数值）</w:t>
      </w:r>
      <w:bookmarkEnd w:id="19"/>
    </w:p>
    <w:tbl>
      <w:tblPr>
        <w:tblStyle w:val="15"/>
        <w:tblW w:w="93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8E1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1F3A5F"/>
            <w:tcMar>
              <w:top w:w="100" w:type="dxa"/>
              <w:left w:w="120" w:type="dxa"/>
              <w:bottom w:w="100" w:type="dxa"/>
              <w:right w:w="120" w:type="dxa"/>
            </w:tcMar>
            <w:vAlign w:val="top"/>
          </w:tcPr>
          <w:p w14:paraId="4788A0E2">
            <w:pPr>
              <w:jc w:val="center"/>
            </w:pPr>
            <w:r>
              <w:rPr>
                <w:b/>
                <w:bCs/>
                <w:color w:val="FFFFFF"/>
                <w:sz w:val="18"/>
                <w:szCs w:val="20"/>
              </w:rPr>
              <w:t>指标</w:t>
            </w:r>
          </w:p>
        </w:tc>
        <w:tc>
          <w:tcPr>
            <w:tcW w:w="6960" w:type="dxa"/>
            <w:tcBorders>
              <w:top w:val="single" w:color="BFBFBF" w:sz="4" w:space="0"/>
              <w:left w:val="single" w:color="BFBFBF" w:sz="4" w:space="0"/>
              <w:bottom w:val="single" w:color="BFBFBF" w:sz="4" w:space="0"/>
              <w:right w:val="single" w:color="BFBFBF" w:sz="4" w:space="0"/>
            </w:tcBorders>
            <w:shd w:val="clear" w:color="auto" w:fill="1F3A5F"/>
            <w:tcMar>
              <w:top w:w="100" w:type="dxa"/>
              <w:left w:w="120" w:type="dxa"/>
              <w:bottom w:w="100" w:type="dxa"/>
              <w:right w:w="120" w:type="dxa"/>
            </w:tcMar>
            <w:vAlign w:val="top"/>
          </w:tcPr>
          <w:p w14:paraId="1CDCDDE8">
            <w:pPr>
              <w:jc w:val="center"/>
            </w:pPr>
            <w:r>
              <w:rPr>
                <w:b/>
                <w:bCs/>
                <w:color w:val="FFFFFF"/>
                <w:sz w:val="18"/>
                <w:szCs w:val="20"/>
              </w:rPr>
              <w:t>说明</w:t>
            </w:r>
          </w:p>
        </w:tc>
      </w:tr>
      <w:tr w14:paraId="61C9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7953EEEE">
            <w:pPr>
              <w:jc w:val="left"/>
            </w:pPr>
            <w:r>
              <w:rPr>
                <w:b w:val="0"/>
                <w:bCs w:val="0"/>
                <w:color w:val="000000"/>
                <w:sz w:val="18"/>
                <w:szCs w:val="20"/>
              </w:rPr>
              <w:t>报警读取成功率</w:t>
            </w:r>
          </w:p>
        </w:tc>
        <w:tc>
          <w:tcPr>
            <w:tcW w:w="69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13DE254F">
            <w:pPr>
              <w:jc w:val="left"/>
            </w:pPr>
            <w:r>
              <w:rPr>
                <w:b w:val="0"/>
                <w:bCs w:val="0"/>
                <w:color w:val="000000"/>
                <w:sz w:val="18"/>
                <w:szCs w:val="20"/>
              </w:rPr>
              <w:t>报警出现后插件能否正确捕获并读取核心字段</w:t>
            </w:r>
          </w:p>
        </w:tc>
      </w:tr>
      <w:tr w14:paraId="3867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0B9D4486">
            <w:pPr>
              <w:jc w:val="left"/>
            </w:pPr>
            <w:r>
              <w:rPr>
                <w:b w:val="0"/>
                <w:bCs w:val="0"/>
                <w:color w:val="000000"/>
                <w:sz w:val="18"/>
                <w:szCs w:val="20"/>
              </w:rPr>
              <w:t>页面按钮触发成功率</w:t>
            </w:r>
          </w:p>
        </w:tc>
        <w:tc>
          <w:tcPr>
            <w:tcW w:w="69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3AB064C4">
            <w:pPr>
              <w:jc w:val="left"/>
            </w:pPr>
            <w:r>
              <w:rPr>
                <w:b w:val="0"/>
                <w:bCs w:val="0"/>
                <w:color w:val="000000"/>
                <w:sz w:val="18"/>
                <w:szCs w:val="20"/>
              </w:rPr>
              <w:t>文本下发、语音对讲等按钮能否被正确触发并记录结果</w:t>
            </w:r>
          </w:p>
        </w:tc>
      </w:tr>
      <w:tr w14:paraId="1FE12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527635ED">
            <w:pPr>
              <w:jc w:val="left"/>
            </w:pPr>
            <w:r>
              <w:rPr>
                <w:b w:val="0"/>
                <w:bCs w:val="0"/>
                <w:color w:val="000000"/>
                <w:sz w:val="18"/>
                <w:szCs w:val="20"/>
              </w:rPr>
              <w:t>纠正检测一致率</w:t>
            </w:r>
          </w:p>
        </w:tc>
        <w:tc>
          <w:tcPr>
            <w:tcW w:w="69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202B1158">
            <w:pPr>
              <w:jc w:val="left"/>
            </w:pPr>
            <w:r>
              <w:rPr>
                <w:b w:val="0"/>
                <w:bCs w:val="0"/>
                <w:color w:val="000000"/>
                <w:sz w:val="18"/>
                <w:szCs w:val="20"/>
              </w:rPr>
              <w:t>AI判断已纠正/未纠正/无法判断与人工复核结果的一致程度</w:t>
            </w:r>
          </w:p>
        </w:tc>
      </w:tr>
      <w:tr w14:paraId="67DD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08B640DF">
            <w:pPr>
              <w:jc w:val="left"/>
            </w:pPr>
            <w:r>
              <w:rPr>
                <w:b w:val="0"/>
                <w:bCs w:val="0"/>
                <w:color w:val="000000"/>
                <w:sz w:val="18"/>
                <w:szCs w:val="20"/>
              </w:rPr>
              <w:t>无法判断兜底率</w:t>
            </w:r>
          </w:p>
        </w:tc>
        <w:tc>
          <w:tcPr>
            <w:tcW w:w="69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5772D959">
            <w:pPr>
              <w:jc w:val="left"/>
            </w:pPr>
            <w:r>
              <w:rPr>
                <w:b w:val="0"/>
                <w:bCs w:val="0"/>
                <w:color w:val="000000"/>
                <w:sz w:val="18"/>
                <w:szCs w:val="20"/>
              </w:rPr>
              <w:t>证据不足时能否正确进入人工确认，而非误判通过</w:t>
            </w:r>
          </w:p>
        </w:tc>
      </w:tr>
      <w:tr w14:paraId="1D26A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7E548C22">
            <w:pPr>
              <w:jc w:val="left"/>
            </w:pPr>
            <w:r>
              <w:rPr>
                <w:b w:val="0"/>
                <w:bCs w:val="0"/>
                <w:color w:val="000000"/>
                <w:sz w:val="18"/>
                <w:szCs w:val="20"/>
              </w:rPr>
              <w:t>短信通知成功率</w:t>
            </w:r>
          </w:p>
        </w:tc>
        <w:tc>
          <w:tcPr>
            <w:tcW w:w="69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06F64232">
            <w:pPr>
              <w:jc w:val="left"/>
            </w:pPr>
            <w:r>
              <w:rPr>
                <w:b w:val="0"/>
                <w:bCs w:val="0"/>
                <w:color w:val="000000"/>
                <w:sz w:val="18"/>
                <w:szCs w:val="20"/>
              </w:rPr>
              <w:t>事件触发后短信能否成功送达指定值班业务人员</w:t>
            </w:r>
          </w:p>
        </w:tc>
      </w:tr>
      <w:tr w14:paraId="617B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4FA077FC">
            <w:pPr>
              <w:jc w:val="left"/>
            </w:pPr>
            <w:r>
              <w:rPr>
                <w:b w:val="0"/>
                <w:bCs w:val="0"/>
                <w:color w:val="000000"/>
                <w:sz w:val="18"/>
                <w:szCs w:val="20"/>
              </w:rPr>
              <w:t>证据留存完整率</w:t>
            </w:r>
          </w:p>
        </w:tc>
        <w:tc>
          <w:tcPr>
            <w:tcW w:w="69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21D95B03">
            <w:pPr>
              <w:jc w:val="left"/>
            </w:pPr>
            <w:r>
              <w:rPr>
                <w:b w:val="0"/>
                <w:bCs w:val="0"/>
                <w:color w:val="000000"/>
                <w:sz w:val="18"/>
                <w:szCs w:val="20"/>
              </w:rPr>
              <w:t>截图、视频帧、话术、按钮结果、短信和人工记录是否完整</w:t>
            </w:r>
          </w:p>
        </w:tc>
      </w:tr>
      <w:tr>
        <w:tc>
          <w:tcPr>
            <w:tcW w:type="dxa" w:w="2400"/>
            <w:vAlign w:val="top"/>
          </w:tcPr>
          <w:p>
            <w:pPr>
              <w:jc w:val="left"/>
            </w:pPr>
            <w:r>
              <w:rPr>
                <w:sz w:val="18"/>
              </w:rPr>
              <w:t>车辆类型规则命中率</w:t>
            </w:r>
          </w:p>
        </w:tc>
        <w:tc>
          <w:tcPr>
            <w:tcW w:type="dxa" w:w="6960"/>
            <w:vAlign w:val="top"/>
          </w:tcPr>
          <w:p>
            <w:pPr>
              <w:jc w:val="left"/>
            </w:pPr>
            <w:r>
              <w:rPr>
                <w:sz w:val="18"/>
              </w:rPr>
              <w:t>系统能否按危货车、城乡公交、农村客运/客运班线等车辆类型匹配正确的适用报警、阈值和处置建议。</w:t>
            </w:r>
          </w:p>
        </w:tc>
      </w:tr>
      <w:tr>
        <w:tc>
          <w:tcPr>
            <w:tcW w:type="dxa" w:w="2400"/>
            <w:vAlign w:val="top"/>
          </w:tcPr>
          <w:p>
            <w:pPr>
              <w:jc w:val="left"/>
            </w:pPr>
            <w:r>
              <w:rPr>
                <w:sz w:val="18"/>
              </w:rPr>
              <w:t>企业SOP时限触发完整率</w:t>
            </w:r>
          </w:p>
        </w:tc>
        <w:tc>
          <w:tcPr>
            <w:tcW w:type="dxa" w:w="6960"/>
            <w:vAlign w:val="top"/>
          </w:tcPr>
          <w:p>
            <w:pPr>
              <w:jc w:val="left"/>
            </w:pPr>
            <w:r>
              <w:rPr>
                <w:sz w:val="18"/>
              </w:rPr>
              <w:t>超速30秒、超时60秒/10分钟、超时预警20分钟、夜间异动60秒等时限提醒是否按配置触发并写入台账。</w:t>
            </w:r>
          </w:p>
        </w:tc>
      </w:tr>
      <w:tr>
        <w:tc>
          <w:tcPr>
            <w:tcW w:type="dxa" w:w="2400"/>
            <w:vAlign w:val="top"/>
          </w:tcPr>
          <w:p>
            <w:pPr>
              <w:jc w:val="left"/>
            </w:pPr>
            <w:r>
              <w:rPr>
                <w:sz w:val="18"/>
              </w:rPr>
              <w:t>企业通知留痕完整率</w:t>
            </w:r>
          </w:p>
        </w:tc>
        <w:tc>
          <w:tcPr>
            <w:tcW w:type="dxa" w:w="6960"/>
            <w:vAlign w:val="top"/>
          </w:tcPr>
          <w:p>
            <w:pPr>
              <w:jc w:val="left"/>
            </w:pPr>
            <w:r>
              <w:rPr>
                <w:sz w:val="18"/>
              </w:rPr>
              <w:t>企业联系人、通知话术、复制/拨打动作、企业反馈和人工备注是否完整留存。</w:t>
            </w:r>
          </w:p>
        </w:tc>
      </w:tr>
    </w:tbl>
    <w:p w14:paraId="18814F02">
      <w:pPr>
        <w:spacing w:after="160" w:line="360" w:lineRule="auto"/>
        <w:ind w:firstLine="440"/>
      </w:pPr>
      <w:r>
        <w:rPr>
          <w:b w:val="0"/>
          <w:bCs w:val="0"/>
          <w:i/>
          <w:iCs/>
          <w:color w:val="595959"/>
          <w:sz w:val="22"/>
          <w:szCs w:val="22"/>
        </w:rPr>
        <w:t>验收建议采用试运行方式，不以上线首日结果作为最终验收依据；正式验收指标基于试运行样本与双方确认的业务口径确定。</w:t>
      </w:r>
    </w:p>
    <w:p>
      <w:pPr>
        <w:pStyle w:val="2"/>
      </w:pPr>
      <w:r>
        <w:t>十三、 实施可行性与推进计划</w:t>
      </w:r>
    </w:p>
    <w:p>
      <w:pPr/>
      <w:r>
        <w:t>本方案具备首版落地的业务基础和技术可行性。考虑到省平台暂未开放API，项目应采用“小范围验证、规则冻结、分阶段交付”的推进方式：先验证现有页面可稳定读取和触发，再固化首版报警类型、车辆类型规则、企业SOP和台账字段，最后进入试运行和指标校准。</w:t>
      </w:r>
    </w:p>
    <w:p>
      <w:pPr>
        <w:pStyle w:val="3"/>
      </w:pPr>
      <w:r>
        <w:t>13.1 实施前置工作</w:t>
      </w:r>
    </w:p>
    <w:p>
      <w:pPr/>
      <w:r>
        <w:t>为保证建设过程可控，建议在正式开发前完成以下前置工作，作为首版范围、工期和验收口径的共同依据。</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top"/>
            <w:shd w:fill="1F3A5F"/>
          </w:tcPr>
          <w:p>
            <w:pPr>
              <w:jc w:val="center"/>
            </w:pPr>
            <w:r>
              <w:rPr>
                <w:b/>
                <w:sz w:val="18"/>
                <w:color w:val="FFFFFF"/>
              </w:rPr>
              <w:t>前置工作</w:t>
            </w:r>
          </w:p>
        </w:tc>
        <w:tc>
          <w:tcPr>
            <w:tcW w:type="dxa" w:w="3009"/>
            <w:vAlign w:val="top"/>
            <w:shd w:fill="1F3A5F"/>
          </w:tcPr>
          <w:p>
            <w:pPr>
              <w:jc w:val="center"/>
            </w:pPr>
            <w:r>
              <w:rPr>
                <w:b/>
                <w:sz w:val="18"/>
                <w:color w:val="FFFFFF"/>
              </w:rPr>
              <w:t>目的</w:t>
            </w:r>
          </w:p>
        </w:tc>
        <w:tc>
          <w:tcPr>
            <w:tcW w:type="dxa" w:w="3009"/>
            <w:vAlign w:val="top"/>
            <w:shd w:fill="1F3A5F"/>
          </w:tcPr>
          <w:p>
            <w:pPr>
              <w:jc w:val="center"/>
            </w:pPr>
            <w:r>
              <w:rPr>
                <w:b/>
                <w:sz w:val="18"/>
                <w:color w:val="FFFFFF"/>
              </w:rPr>
              <w:t>输出物</w:t>
            </w:r>
          </w:p>
        </w:tc>
      </w:tr>
      <w:tr>
        <w:tc>
          <w:tcPr>
            <w:tcW w:type="dxa" w:w="3009"/>
            <w:vAlign w:val="top"/>
          </w:tcPr>
          <w:p>
            <w:pPr>
              <w:jc w:val="left"/>
            </w:pPr>
            <w:r>
              <w:rPr>
                <w:sz w:val="18"/>
              </w:rPr>
              <w:t>省平台页面验证</w:t>
            </w:r>
          </w:p>
        </w:tc>
        <w:tc>
          <w:tcPr>
            <w:tcW w:type="dxa" w:w="3009"/>
            <w:vAlign w:val="top"/>
          </w:tcPr>
          <w:p>
            <w:pPr>
              <w:jc w:val="left"/>
            </w:pPr>
            <w:r>
              <w:rPr>
                <w:sz w:val="18"/>
              </w:rPr>
              <w:t>确认报警弹窗、报警列表、详情页、视频、文本下发、语音对讲等页面能力是否可稳定读取和触发。</w:t>
            </w:r>
          </w:p>
        </w:tc>
        <w:tc>
          <w:tcPr>
            <w:tcW w:type="dxa" w:w="3009"/>
            <w:vAlign w:val="top"/>
          </w:tcPr>
          <w:p>
            <w:pPr>
              <w:jc w:val="left"/>
            </w:pPr>
            <w:r>
              <w:rPr>
                <w:sz w:val="18"/>
              </w:rPr>
              <w:t>字段清单、按钮路径清单、页面异常清单。</w:t>
            </w:r>
          </w:p>
        </w:tc>
      </w:tr>
      <w:tr>
        <w:tc>
          <w:tcPr>
            <w:tcW w:type="dxa" w:w="3009"/>
            <w:vAlign w:val="top"/>
          </w:tcPr>
          <w:p>
            <w:pPr>
              <w:jc w:val="left"/>
            </w:pPr>
            <w:r>
              <w:rPr>
                <w:sz w:val="18"/>
              </w:rPr>
              <w:t>首版报警类型冻结</w:t>
            </w:r>
          </w:p>
        </w:tc>
        <w:tc>
          <w:tcPr>
            <w:tcW w:type="dxa" w:w="3009"/>
            <w:vAlign w:val="top"/>
          </w:tcPr>
          <w:p>
            <w:pPr>
              <w:jc w:val="left"/>
            </w:pPr>
            <w:r>
              <w:rPr>
                <w:sz w:val="18"/>
              </w:rPr>
              <w:t>从高频、高风险、易验收报警中选择首批范围，避免一开始覆盖所有报警导致范围失控。</w:t>
            </w:r>
          </w:p>
        </w:tc>
        <w:tc>
          <w:tcPr>
            <w:tcW w:type="dxa" w:w="3009"/>
            <w:vAlign w:val="top"/>
          </w:tcPr>
          <w:p>
            <w:pPr>
              <w:jc w:val="left"/>
            </w:pPr>
            <w:r>
              <w:rPr>
                <w:sz w:val="18"/>
              </w:rPr>
              <w:t>首版报警类型清单、暂缓处理清单。</w:t>
            </w:r>
          </w:p>
        </w:tc>
      </w:tr>
      <w:tr>
        <w:tc>
          <w:tcPr>
            <w:tcW w:type="dxa" w:w="3009"/>
            <w:vAlign w:val="top"/>
          </w:tcPr>
          <w:p>
            <w:pPr>
              <w:jc w:val="left"/>
            </w:pPr>
            <w:r>
              <w:rPr>
                <w:sz w:val="18"/>
              </w:rPr>
              <w:t>车辆类型规则确认</w:t>
            </w:r>
          </w:p>
        </w:tc>
        <w:tc>
          <w:tcPr>
            <w:tcW w:type="dxa" w:w="3009"/>
            <w:vAlign w:val="top"/>
          </w:tcPr>
          <w:p>
            <w:pPr>
              <w:jc w:val="left"/>
            </w:pPr>
            <w:r>
              <w:rPr>
                <w:sz w:val="18"/>
              </w:rPr>
              <w:t>确认危货车、城乡公交、农村客运/客运班线的车辆清单、字段来源、核载/站立区白名单、线路/电子围栏和速度阈值。</w:t>
            </w:r>
          </w:p>
        </w:tc>
        <w:tc>
          <w:tcPr>
            <w:tcW w:type="dxa" w:w="3009"/>
            <w:vAlign w:val="top"/>
          </w:tcPr>
          <w:p>
            <w:pPr>
              <w:jc w:val="left"/>
            </w:pPr>
            <w:r>
              <w:rPr>
                <w:sz w:val="18"/>
              </w:rPr>
              <w:t>车辆类型映射表、规则配置表。</w:t>
            </w:r>
          </w:p>
        </w:tc>
      </w:tr>
      <w:tr>
        <w:tc>
          <w:tcPr>
            <w:tcW w:type="dxa" w:w="3009"/>
            <w:vAlign w:val="top"/>
          </w:tcPr>
          <w:p>
            <w:pPr>
              <w:jc w:val="left"/>
            </w:pPr>
            <w:r>
              <w:rPr>
                <w:sz w:val="18"/>
              </w:rPr>
              <w:t>企业SOP与话术确认</w:t>
            </w:r>
          </w:p>
        </w:tc>
        <w:tc>
          <w:tcPr>
            <w:tcW w:type="dxa" w:w="3009"/>
            <w:vAlign w:val="top"/>
          </w:tcPr>
          <w:p>
            <w:pPr>
              <w:jc w:val="left"/>
            </w:pPr>
            <w:r>
              <w:rPr>
                <w:sz w:val="18"/>
              </w:rPr>
              <w:t>确认报警后干预方式、升级时限、企业联系人、固定话术和人工确认边界。</w:t>
            </w:r>
          </w:p>
        </w:tc>
        <w:tc>
          <w:tcPr>
            <w:tcW w:type="dxa" w:w="3009"/>
            <w:vAlign w:val="top"/>
          </w:tcPr>
          <w:p>
            <w:pPr>
              <w:jc w:val="left"/>
            </w:pPr>
            <w:r>
              <w:rPr>
                <w:sz w:val="18"/>
              </w:rPr>
              <w:t>SOP配置表、话术模板库、联系人清单。</w:t>
            </w:r>
          </w:p>
        </w:tc>
      </w:tr>
      <w:tr>
        <w:tc>
          <w:tcPr>
            <w:tcW w:type="dxa" w:w="3009"/>
            <w:vAlign w:val="top"/>
          </w:tcPr>
          <w:p>
            <w:pPr>
              <w:jc w:val="left"/>
            </w:pPr>
            <w:r>
              <w:rPr>
                <w:sz w:val="18"/>
              </w:rPr>
              <w:t>真实样本准备</w:t>
            </w:r>
          </w:p>
        </w:tc>
        <w:tc>
          <w:tcPr>
            <w:tcW w:type="dxa" w:w="3009"/>
            <w:vAlign w:val="top"/>
          </w:tcPr>
          <w:p>
            <w:pPr>
              <w:jc w:val="left"/>
            </w:pPr>
            <w:r>
              <w:rPr>
                <w:sz w:val="18"/>
              </w:rPr>
              <w:t>用真实报警样本验证字段读取、规则匹配、提醒动作、纠正检测和台账留痕。</w:t>
            </w:r>
          </w:p>
        </w:tc>
        <w:tc>
          <w:tcPr>
            <w:tcW w:type="dxa" w:w="3009"/>
            <w:vAlign w:val="top"/>
          </w:tcPr>
          <w:p>
            <w:pPr>
              <w:jc w:val="left"/>
            </w:pPr>
            <w:r>
              <w:rPr>
                <w:sz w:val="18"/>
              </w:rPr>
              <w:t>样本包、人工复核结论、期望输出。</w:t>
            </w:r>
          </w:p>
        </w:tc>
      </w:tr>
      <w:tr>
        <w:tc>
          <w:tcPr>
            <w:tcW w:type="dxa" w:w="3009"/>
            <w:vAlign w:val="top"/>
          </w:tcPr>
          <w:p>
            <w:pPr>
              <w:jc w:val="left"/>
            </w:pPr>
            <w:r>
              <w:rPr>
                <w:sz w:val="18"/>
              </w:rPr>
              <w:t>安全与权限确认</w:t>
            </w:r>
          </w:p>
        </w:tc>
        <w:tc>
          <w:tcPr>
            <w:tcW w:type="dxa" w:w="3009"/>
            <w:vAlign w:val="top"/>
          </w:tcPr>
          <w:p>
            <w:pPr>
              <w:jc w:val="left"/>
            </w:pPr>
            <w:r>
              <w:rPr>
                <w:sz w:val="18"/>
              </w:rPr>
              <w:t>确认插件安装环境、账号权限、短信链接、访问有效期、手机号脱敏和日志保存要求。</w:t>
            </w:r>
          </w:p>
        </w:tc>
        <w:tc>
          <w:tcPr>
            <w:tcW w:type="dxa" w:w="3009"/>
            <w:vAlign w:val="top"/>
          </w:tcPr>
          <w:p>
            <w:pPr>
              <w:jc w:val="left"/>
            </w:pPr>
            <w:r>
              <w:rPr>
                <w:sz w:val="18"/>
              </w:rPr>
              <w:t>部署环境清单、权限清单、安全策略。</w:t>
            </w:r>
          </w:p>
        </w:tc>
      </w:tr>
    </w:tbl>
    <w:p>
      <w:pPr>
        <w:pStyle w:val="3"/>
      </w:pPr>
      <w:r>
        <w:t>13.2 实施条件与验证方式</w:t>
      </w:r>
    </w:p>
    <w:p>
      <w:pPr/>
      <w:r>
        <w:t>以下条件会影响首版落地效果。建议在阶段0逐项验证，验证通过后再进入完整开发。</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top"/>
            <w:shd w:fill="1F3A5F"/>
          </w:tcPr>
          <w:p>
            <w:pPr>
              <w:jc w:val="center"/>
            </w:pPr>
            <w:r>
              <w:rPr>
                <w:b/>
                <w:sz w:val="18"/>
                <w:color w:val="FFFFFF"/>
              </w:rPr>
              <w:t>实施条件</w:t>
            </w:r>
          </w:p>
        </w:tc>
        <w:tc>
          <w:tcPr>
            <w:tcW w:type="dxa" w:w="3009"/>
            <w:vAlign w:val="top"/>
            <w:shd w:fill="1F3A5F"/>
          </w:tcPr>
          <w:p>
            <w:pPr>
              <w:jc w:val="center"/>
            </w:pPr>
            <w:r>
              <w:rPr>
                <w:b/>
                <w:sz w:val="18"/>
                <w:color w:val="FFFFFF"/>
              </w:rPr>
              <w:t>影响范围</w:t>
            </w:r>
          </w:p>
        </w:tc>
        <w:tc>
          <w:tcPr>
            <w:tcW w:type="dxa" w:w="3009"/>
            <w:vAlign w:val="top"/>
            <w:shd w:fill="1F3A5F"/>
          </w:tcPr>
          <w:p>
            <w:pPr>
              <w:jc w:val="center"/>
            </w:pPr>
            <w:r>
              <w:rPr>
                <w:b/>
                <w:sz w:val="18"/>
                <w:color w:val="FFFFFF"/>
              </w:rPr>
              <w:t>验证方式</w:t>
            </w:r>
          </w:p>
        </w:tc>
      </w:tr>
      <w:tr>
        <w:tc>
          <w:tcPr>
            <w:tcW w:type="dxa" w:w="3009"/>
            <w:vAlign w:val="top"/>
          </w:tcPr>
          <w:p>
            <w:pPr>
              <w:jc w:val="left"/>
            </w:pPr>
            <w:r>
              <w:rPr>
                <w:sz w:val="18"/>
              </w:rPr>
              <w:t>省平台页面结构相对稳定，且允许浏览器插件读取DOM和触发页面按钮。</w:t>
            </w:r>
          </w:p>
        </w:tc>
        <w:tc>
          <w:tcPr>
            <w:tcW w:type="dxa" w:w="3009"/>
            <w:vAlign w:val="top"/>
          </w:tcPr>
          <w:p>
            <w:pPr>
              <w:jc w:val="left"/>
            </w:pPr>
            <w:r>
              <w:rPr>
                <w:sz w:val="18"/>
              </w:rPr>
              <w:t>影响报警读取、详情打开、文本下发和语音对讲能力。</w:t>
            </w:r>
          </w:p>
        </w:tc>
        <w:tc>
          <w:tcPr>
            <w:tcW w:type="dxa" w:w="3009"/>
            <w:vAlign w:val="top"/>
          </w:tcPr>
          <w:p>
            <w:pPr>
              <w:jc w:val="left"/>
            </w:pPr>
            <w:r>
              <w:rPr>
                <w:sz w:val="18"/>
              </w:rPr>
              <w:t>用测试账号连续观察报警列表、详情页和按钮路径，记录页面稳定性。</w:t>
            </w:r>
          </w:p>
        </w:tc>
      </w:tr>
      <w:tr>
        <w:tc>
          <w:tcPr>
            <w:tcW w:type="dxa" w:w="3009"/>
            <w:vAlign w:val="top"/>
          </w:tcPr>
          <w:p>
            <w:pPr>
              <w:jc w:val="left"/>
            </w:pPr>
            <w:r>
              <w:rPr>
                <w:sz w:val="18"/>
              </w:rPr>
              <w:t>客户账号具备查看报警详情、视频、文本下发、语音对讲和证据导出的权限。</w:t>
            </w:r>
          </w:p>
        </w:tc>
        <w:tc>
          <w:tcPr>
            <w:tcW w:type="dxa" w:w="3009"/>
            <w:vAlign w:val="top"/>
          </w:tcPr>
          <w:p>
            <w:pPr>
              <w:jc w:val="left"/>
            </w:pPr>
            <w:r>
              <w:rPr>
                <w:sz w:val="18"/>
              </w:rPr>
              <w:t>影响完整处置闭环和证据留痕。</w:t>
            </w:r>
          </w:p>
        </w:tc>
        <w:tc>
          <w:tcPr>
            <w:tcW w:type="dxa" w:w="3009"/>
            <w:vAlign w:val="top"/>
          </w:tcPr>
          <w:p>
            <w:pPr>
              <w:jc w:val="left"/>
            </w:pPr>
            <w:r>
              <w:rPr>
                <w:sz w:val="18"/>
              </w:rPr>
              <w:t>由客户提供试运行账号，逐项验证按钮可用性。</w:t>
            </w:r>
          </w:p>
        </w:tc>
      </w:tr>
      <w:tr>
        <w:tc>
          <w:tcPr>
            <w:tcW w:type="dxa" w:w="3009"/>
            <w:vAlign w:val="top"/>
          </w:tcPr>
          <w:p>
            <w:pPr>
              <w:jc w:val="left"/>
            </w:pPr>
            <w:r>
              <w:rPr>
                <w:sz w:val="18"/>
              </w:rPr>
              <w:t>车辆类型、经营属性、核载人数、线路/围栏、危货属性等基础数据可以获取。</w:t>
            </w:r>
          </w:p>
        </w:tc>
        <w:tc>
          <w:tcPr>
            <w:tcW w:type="dxa" w:w="3009"/>
            <w:vAlign w:val="top"/>
          </w:tcPr>
          <w:p>
            <w:pPr>
              <w:jc w:val="left"/>
            </w:pPr>
            <w:r>
              <w:rPr>
                <w:sz w:val="18"/>
              </w:rPr>
              <w:t>影响危货、城乡公交、农村客运规则命中。</w:t>
            </w:r>
          </w:p>
        </w:tc>
        <w:tc>
          <w:tcPr>
            <w:tcW w:type="dxa" w:w="3009"/>
            <w:vAlign w:val="top"/>
          </w:tcPr>
          <w:p>
            <w:pPr>
              <w:jc w:val="left"/>
            </w:pPr>
            <w:r>
              <w:rPr>
                <w:sz w:val="18"/>
              </w:rPr>
              <w:t>建立车辆主数据表，试运行前冻结首版车辆类型映射。</w:t>
            </w:r>
          </w:p>
        </w:tc>
      </w:tr>
      <w:tr>
        <w:tc>
          <w:tcPr>
            <w:tcW w:type="dxa" w:w="3009"/>
            <w:vAlign w:val="top"/>
          </w:tcPr>
          <w:p>
            <w:pPr>
              <w:jc w:val="left"/>
            </w:pPr>
            <w:r>
              <w:rPr>
                <w:sz w:val="18"/>
              </w:rPr>
              <w:t>客户接受AI辅助、人工确认的责任边界。</w:t>
            </w:r>
          </w:p>
        </w:tc>
        <w:tc>
          <w:tcPr>
            <w:tcW w:type="dxa" w:w="3009"/>
            <w:vAlign w:val="top"/>
          </w:tcPr>
          <w:p>
            <w:pPr>
              <w:jc w:val="left"/>
            </w:pPr>
            <w:r>
              <w:rPr>
                <w:sz w:val="18"/>
              </w:rPr>
              <w:t>影响正误报判定、申诉、责任归属和验收口径。</w:t>
            </w:r>
          </w:p>
        </w:tc>
        <w:tc>
          <w:tcPr>
            <w:tcW w:type="dxa" w:w="3009"/>
            <w:vAlign w:val="top"/>
          </w:tcPr>
          <w:p>
            <w:pPr>
              <w:jc w:val="left"/>
            </w:pPr>
            <w:r>
              <w:rPr>
                <w:sz w:val="18"/>
              </w:rPr>
              <w:t>在验收和培训材料中明确AI不做最终正误报和责任认定。</w:t>
            </w:r>
          </w:p>
        </w:tc>
      </w:tr>
      <w:tr>
        <w:tc>
          <w:tcPr>
            <w:tcW w:type="dxa" w:w="3009"/>
            <w:vAlign w:val="top"/>
          </w:tcPr>
          <w:p>
            <w:pPr>
              <w:jc w:val="left"/>
            </w:pPr>
            <w:r>
              <w:rPr>
                <w:sz w:val="18"/>
              </w:rPr>
              <w:t>真实报警样本、历史处置记录和人工判断结果可以提供。</w:t>
            </w:r>
          </w:p>
        </w:tc>
        <w:tc>
          <w:tcPr>
            <w:tcW w:type="dxa" w:w="3009"/>
            <w:vAlign w:val="top"/>
          </w:tcPr>
          <w:p>
            <w:pPr>
              <w:jc w:val="left"/>
            </w:pPr>
            <w:r>
              <w:rPr>
                <w:sz w:val="18"/>
              </w:rPr>
              <w:t>影响纠正检测、规则配置和验收基线。</w:t>
            </w:r>
          </w:p>
        </w:tc>
        <w:tc>
          <w:tcPr>
            <w:tcW w:type="dxa" w:w="3009"/>
            <w:vAlign w:val="top"/>
          </w:tcPr>
          <w:p>
            <w:pPr>
              <w:jc w:val="left"/>
            </w:pPr>
            <w:r>
              <w:rPr>
                <w:sz w:val="18"/>
              </w:rPr>
              <w:t>形成样本编号、视频证据、人工结论和期望结果。</w:t>
            </w:r>
          </w:p>
        </w:tc>
      </w:tr>
      <w:tr>
        <w:tc>
          <w:tcPr>
            <w:tcW w:type="dxa" w:w="3009"/>
            <w:vAlign w:val="top"/>
          </w:tcPr>
          <w:p>
            <w:pPr>
              <w:jc w:val="left"/>
            </w:pPr>
            <w:r>
              <w:rPr>
                <w:sz w:val="18"/>
              </w:rPr>
              <w:t>短信或事件详情页链路满足客户安全要求。</w:t>
            </w:r>
          </w:p>
        </w:tc>
        <w:tc>
          <w:tcPr>
            <w:tcW w:type="dxa" w:w="3009"/>
            <w:vAlign w:val="top"/>
          </w:tcPr>
          <w:p>
            <w:pPr>
              <w:jc w:val="left"/>
            </w:pPr>
            <w:r>
              <w:rPr>
                <w:sz w:val="18"/>
              </w:rPr>
              <w:t>影响值班通知、详情查看和移动端台账访问。</w:t>
            </w:r>
          </w:p>
        </w:tc>
        <w:tc>
          <w:tcPr>
            <w:tcW w:type="dxa" w:w="3009"/>
            <w:vAlign w:val="top"/>
          </w:tcPr>
          <w:p>
            <w:pPr>
              <w:jc w:val="left"/>
            </w:pPr>
            <w:r>
              <w:rPr>
                <w:sz w:val="18"/>
              </w:rPr>
              <w:t>确认短信服务、访问权限、链接有效期、脱敏和日志留存。</w:t>
            </w:r>
          </w:p>
        </w:tc>
      </w:tr>
    </w:tbl>
    <w:p>
      <w:pPr>
        <w:pStyle w:val="3"/>
      </w:pPr>
      <w:r>
        <w:t>13.3 客户价值与角色收益</w:t>
      </w:r>
    </w:p>
    <w:p>
      <w:pPr/>
      <w:r>
        <w:t>本项目的价值不在于替代监管人员，而在于把报警第一处置过程标准化、可追踪、可复核，让不同角色都能在现有省平台基础上获得明确收益。</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top"/>
            <w:shd w:fill="1F3A5F"/>
          </w:tcPr>
          <w:p>
            <w:pPr>
              <w:jc w:val="center"/>
            </w:pPr>
            <w:r>
              <w:rPr>
                <w:b/>
                <w:sz w:val="18"/>
                <w:color w:val="FFFFFF"/>
              </w:rPr>
              <w:t>客户角色</w:t>
            </w:r>
          </w:p>
        </w:tc>
        <w:tc>
          <w:tcPr>
            <w:tcW w:type="dxa" w:w="3009"/>
            <w:vAlign w:val="top"/>
            <w:shd w:fill="1F3A5F"/>
          </w:tcPr>
          <w:p>
            <w:pPr>
              <w:jc w:val="center"/>
            </w:pPr>
            <w:r>
              <w:rPr>
                <w:b/>
                <w:sz w:val="18"/>
                <w:color w:val="FFFFFF"/>
              </w:rPr>
              <w:t>核心价值</w:t>
            </w:r>
          </w:p>
        </w:tc>
        <w:tc>
          <w:tcPr>
            <w:tcW w:type="dxa" w:w="3009"/>
            <w:vAlign w:val="top"/>
            <w:shd w:fill="1F3A5F"/>
          </w:tcPr>
          <w:p>
            <w:pPr>
              <w:jc w:val="center"/>
            </w:pPr>
            <w:r>
              <w:rPr>
                <w:b/>
                <w:sz w:val="18"/>
                <w:color w:val="FFFFFF"/>
              </w:rPr>
              <w:t>落地关注点</w:t>
            </w:r>
          </w:p>
        </w:tc>
      </w:tr>
      <w:tr>
        <w:tc>
          <w:tcPr>
            <w:tcW w:type="dxa" w:w="3009"/>
            <w:vAlign w:val="top"/>
          </w:tcPr>
          <w:p>
            <w:pPr>
              <w:jc w:val="left"/>
            </w:pPr>
            <w:r>
              <w:rPr>
                <w:sz w:val="18"/>
              </w:rPr>
              <w:t>决策层/管理层</w:t>
            </w:r>
          </w:p>
        </w:tc>
        <w:tc>
          <w:tcPr>
            <w:tcW w:type="dxa" w:w="3009"/>
            <w:vAlign w:val="top"/>
          </w:tcPr>
          <w:p>
            <w:pPr>
              <w:jc w:val="left"/>
            </w:pPr>
            <w:r>
              <w:rPr>
                <w:sz w:val="18"/>
              </w:rPr>
              <w:t>降低监管风险，提升处置过程可见性，为后续月报和管理统计提供数据基础。</w:t>
            </w:r>
          </w:p>
        </w:tc>
        <w:tc>
          <w:tcPr>
            <w:tcW w:type="dxa" w:w="3009"/>
            <w:vAlign w:val="top"/>
          </w:tcPr>
          <w:p>
            <w:pPr>
              <w:jc w:val="left"/>
            </w:pPr>
            <w:r>
              <w:rPr>
                <w:sz w:val="18"/>
              </w:rPr>
              <w:t>首版范围、投入产出、二期扩展和可汇报成果。</w:t>
            </w:r>
          </w:p>
        </w:tc>
      </w:tr>
      <w:tr>
        <w:tc>
          <w:tcPr>
            <w:tcW w:type="dxa" w:w="3009"/>
            <w:vAlign w:val="top"/>
          </w:tcPr>
          <w:p>
            <w:pPr>
              <w:jc w:val="left"/>
            </w:pPr>
            <w:r>
              <w:rPr>
                <w:sz w:val="18"/>
              </w:rPr>
              <w:t>监控负责人</w:t>
            </w:r>
          </w:p>
        </w:tc>
        <w:tc>
          <w:tcPr>
            <w:tcW w:type="dxa" w:w="3009"/>
            <w:vAlign w:val="top"/>
          </w:tcPr>
          <w:p>
            <w:pPr>
              <w:jc w:val="left"/>
            </w:pPr>
            <w:r>
              <w:rPr>
                <w:sz w:val="18"/>
              </w:rPr>
              <w:t>统一报警处置规则、升级时限和台账口径，便于复盘和责任说明。</w:t>
            </w:r>
          </w:p>
        </w:tc>
        <w:tc>
          <w:tcPr>
            <w:tcW w:type="dxa" w:w="3009"/>
            <w:vAlign w:val="top"/>
          </w:tcPr>
          <w:p>
            <w:pPr>
              <w:jc w:val="left"/>
            </w:pPr>
            <w:r>
              <w:rPr>
                <w:sz w:val="18"/>
              </w:rPr>
              <w:t>班组流程、异常复盘、人员责任边界和试运行问题清单。</w:t>
            </w:r>
          </w:p>
        </w:tc>
      </w:tr>
      <w:tr>
        <w:tc>
          <w:tcPr>
            <w:tcW w:type="dxa" w:w="3009"/>
            <w:vAlign w:val="top"/>
          </w:tcPr>
          <w:p>
            <w:pPr>
              <w:jc w:val="left"/>
            </w:pPr>
            <w:r>
              <w:rPr>
                <w:sz w:val="18"/>
              </w:rPr>
              <w:t>一线监控员</w:t>
            </w:r>
          </w:p>
        </w:tc>
        <w:tc>
          <w:tcPr>
            <w:tcW w:type="dxa" w:w="3009"/>
            <w:vAlign w:val="top"/>
          </w:tcPr>
          <w:p>
            <w:pPr>
              <w:jc w:val="left"/>
            </w:pPr>
            <w:r>
              <w:rPr>
                <w:sz w:val="18"/>
              </w:rPr>
              <w:t>减少反复查规则、写话术、整理台账的重复劳动。</w:t>
            </w:r>
          </w:p>
        </w:tc>
        <w:tc>
          <w:tcPr>
            <w:tcW w:type="dxa" w:w="3009"/>
            <w:vAlign w:val="top"/>
          </w:tcPr>
          <w:p>
            <w:pPr>
              <w:jc w:val="left"/>
            </w:pPr>
            <w:r>
              <w:rPr>
                <w:sz w:val="18"/>
              </w:rPr>
              <w:t>操作简单、失败可接管、话术固定、不过度增加个人负担。</w:t>
            </w:r>
          </w:p>
        </w:tc>
      </w:tr>
      <w:tr>
        <w:tc>
          <w:tcPr>
            <w:tcW w:type="dxa" w:w="3009"/>
            <w:vAlign w:val="top"/>
          </w:tcPr>
          <w:p>
            <w:pPr>
              <w:jc w:val="left"/>
            </w:pPr>
            <w:r>
              <w:rPr>
                <w:sz w:val="18"/>
              </w:rPr>
              <w:t>企业联络员</w:t>
            </w:r>
          </w:p>
        </w:tc>
        <w:tc>
          <w:tcPr>
            <w:tcW w:type="dxa" w:w="3009"/>
            <w:vAlign w:val="top"/>
          </w:tcPr>
          <w:p>
            <w:pPr>
              <w:jc w:val="left"/>
            </w:pPr>
            <w:r>
              <w:rPr>
                <w:sz w:val="18"/>
              </w:rPr>
              <w:t>收到更准确、及时、可行动的车辆报警信息。</w:t>
            </w:r>
          </w:p>
        </w:tc>
        <w:tc>
          <w:tcPr>
            <w:tcW w:type="dxa" w:w="3009"/>
            <w:vAlign w:val="top"/>
          </w:tcPr>
          <w:p>
            <w:pPr>
              <w:jc w:val="left"/>
            </w:pPr>
            <w:r>
              <w:rPr>
                <w:sz w:val="18"/>
              </w:rPr>
              <w:t>联系人维护、无人接听、企业反馈、二次跟进和闭环状态。</w:t>
            </w:r>
          </w:p>
        </w:tc>
      </w:tr>
      <w:tr>
        <w:tc>
          <w:tcPr>
            <w:tcW w:type="dxa" w:w="3009"/>
            <w:vAlign w:val="top"/>
          </w:tcPr>
          <w:p>
            <w:pPr>
              <w:jc w:val="left"/>
            </w:pPr>
            <w:r>
              <w:rPr>
                <w:sz w:val="18"/>
              </w:rPr>
              <w:t>客户IT/安全负责人</w:t>
            </w:r>
          </w:p>
        </w:tc>
        <w:tc>
          <w:tcPr>
            <w:tcW w:type="dxa" w:w="3009"/>
            <w:vAlign w:val="top"/>
          </w:tcPr>
          <w:p>
            <w:pPr>
              <w:jc w:val="left"/>
            </w:pPr>
            <w:r>
              <w:rPr>
                <w:sz w:val="18"/>
              </w:rPr>
              <w:t>在不改造省平台、不绕过权限的前提下实现辅助自动化。</w:t>
            </w:r>
          </w:p>
        </w:tc>
        <w:tc>
          <w:tcPr>
            <w:tcW w:type="dxa" w:w="3009"/>
            <w:vAlign w:val="top"/>
          </w:tcPr>
          <w:p>
            <w:pPr>
              <w:jc w:val="left"/>
            </w:pPr>
            <w:r>
              <w:rPr>
                <w:sz w:val="18"/>
              </w:rPr>
              <w:t>部署环境、浏览器版本、账号权限、日志、脱敏和数据保存周期。</w:t>
            </w:r>
          </w:p>
        </w:tc>
      </w:tr>
      <w:tr>
        <w:tc>
          <w:tcPr>
            <w:tcW w:type="dxa" w:w="3009"/>
            <w:vAlign w:val="top"/>
          </w:tcPr>
          <w:p>
            <w:pPr>
              <w:jc w:val="left"/>
            </w:pPr>
            <w:r>
              <w:rPr>
                <w:sz w:val="18"/>
              </w:rPr>
              <w:t>验收方</w:t>
            </w:r>
          </w:p>
        </w:tc>
        <w:tc>
          <w:tcPr>
            <w:tcW w:type="dxa" w:w="3009"/>
            <w:vAlign w:val="top"/>
          </w:tcPr>
          <w:p>
            <w:pPr>
              <w:jc w:val="left"/>
            </w:pPr>
            <w:r>
              <w:rPr>
                <w:sz w:val="18"/>
              </w:rPr>
              <w:t>通过真实报警样本验证识别、提醒、升级、通知和留痕闭环。</w:t>
            </w:r>
          </w:p>
        </w:tc>
        <w:tc>
          <w:tcPr>
            <w:tcW w:type="dxa" w:w="3009"/>
            <w:vAlign w:val="top"/>
          </w:tcPr>
          <w:p>
            <w:pPr>
              <w:jc w:val="left"/>
            </w:pPr>
            <w:r>
              <w:rPr>
                <w:sz w:val="18"/>
              </w:rPr>
              <w:t>样本数量、通过阈值、失败样本处理和最终验收清单。</w:t>
            </w:r>
          </w:p>
        </w:tc>
      </w:tr>
    </w:tbl>
    <w:p>
      <w:pPr>
        <w:pStyle w:val="3"/>
      </w:pPr>
      <w:r>
        <w:t>13.4 实施计划</w:t>
      </w:r>
    </w:p>
    <w:p>
      <w:pPr/>
      <w:r>
        <w:t>开发顺序建议坚持“先验证页面，再固化规则；先跑通闭环，再做AI增强；先可追溯，再做报表”。不建议首版同时建设月报、大屏、自动申诉或无人外呼。</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top"/>
            <w:shd w:fill="1F3A5F"/>
          </w:tcPr>
          <w:p>
            <w:pPr>
              <w:jc w:val="center"/>
            </w:pPr>
            <w:r>
              <w:rPr>
                <w:b/>
                <w:sz w:val="18"/>
                <w:color w:val="FFFFFF"/>
              </w:rPr>
              <w:t>阶段</w:t>
            </w:r>
          </w:p>
        </w:tc>
        <w:tc>
          <w:tcPr>
            <w:tcW w:type="dxa" w:w="2256"/>
            <w:vAlign w:val="top"/>
            <w:shd w:fill="1F3A5F"/>
          </w:tcPr>
          <w:p>
            <w:pPr>
              <w:jc w:val="center"/>
            </w:pPr>
            <w:r>
              <w:rPr>
                <w:b/>
                <w:sz w:val="18"/>
                <w:color w:val="FFFFFF"/>
              </w:rPr>
              <w:t>周期</w:t>
            </w:r>
          </w:p>
        </w:tc>
        <w:tc>
          <w:tcPr>
            <w:tcW w:type="dxa" w:w="2256"/>
            <w:vAlign w:val="top"/>
            <w:shd w:fill="1F3A5F"/>
          </w:tcPr>
          <w:p>
            <w:pPr>
              <w:jc w:val="center"/>
            </w:pPr>
            <w:r>
              <w:rPr>
                <w:b/>
                <w:sz w:val="18"/>
                <w:color w:val="FFFFFF"/>
              </w:rPr>
              <w:t>要实现的能力</w:t>
            </w:r>
          </w:p>
        </w:tc>
        <w:tc>
          <w:tcPr>
            <w:tcW w:type="dxa" w:w="2256"/>
            <w:vAlign w:val="top"/>
            <w:shd w:fill="1F3A5F"/>
          </w:tcPr>
          <w:p>
            <w:pPr>
              <w:jc w:val="center"/>
            </w:pPr>
            <w:r>
              <w:rPr>
                <w:b/>
                <w:sz w:val="18"/>
                <w:color w:val="FFFFFF"/>
              </w:rPr>
              <w:t>验收标准</w:t>
            </w:r>
          </w:p>
        </w:tc>
      </w:tr>
      <w:tr>
        <w:tc>
          <w:tcPr>
            <w:tcW w:type="dxa" w:w="2256"/>
            <w:vAlign w:val="top"/>
          </w:tcPr>
          <w:p>
            <w:pPr>
              <w:jc w:val="left"/>
            </w:pPr>
            <w:r>
              <w:rPr>
                <w:sz w:val="18"/>
              </w:rPr>
              <w:t>P0 现场验证与规则冻结</w:t>
            </w:r>
          </w:p>
        </w:tc>
        <w:tc>
          <w:tcPr>
            <w:tcW w:type="dxa" w:w="2256"/>
            <w:vAlign w:val="top"/>
          </w:tcPr>
          <w:p>
            <w:pPr>
              <w:jc w:val="left"/>
            </w:pPr>
            <w:r>
              <w:rPr>
                <w:sz w:val="18"/>
              </w:rPr>
              <w:t>3-5天</w:t>
            </w:r>
          </w:p>
        </w:tc>
        <w:tc>
          <w:tcPr>
            <w:tcW w:type="dxa" w:w="2256"/>
            <w:vAlign w:val="top"/>
          </w:tcPr>
          <w:p>
            <w:pPr>
              <w:jc w:val="left"/>
            </w:pPr>
            <w:r>
              <w:rPr>
                <w:sz w:val="18"/>
              </w:rPr>
              <w:t>确认省平台账号、报警页面、详情字段、按钮路径、车辆类型数据、首版报警类型和固定话术。</w:t>
            </w:r>
          </w:p>
        </w:tc>
        <w:tc>
          <w:tcPr>
            <w:tcW w:type="dxa" w:w="2256"/>
            <w:vAlign w:val="top"/>
          </w:tcPr>
          <w:p>
            <w:pPr>
              <w:jc w:val="left"/>
            </w:pPr>
            <w:r>
              <w:rPr>
                <w:sz w:val="18"/>
              </w:rPr>
              <w:t>形成字段清单、按钮清单、首版报警类型清单、车辆类型映射表和待确认问题清单。</w:t>
            </w:r>
          </w:p>
        </w:tc>
      </w:tr>
      <w:tr>
        <w:tc>
          <w:tcPr>
            <w:tcW w:type="dxa" w:w="2256"/>
            <w:vAlign w:val="top"/>
          </w:tcPr>
          <w:p>
            <w:pPr>
              <w:jc w:val="left"/>
            </w:pPr>
            <w:r>
              <w:rPr>
                <w:sz w:val="18"/>
              </w:rPr>
              <w:t>P1 浏览器插件与报警读取</w:t>
            </w:r>
          </w:p>
        </w:tc>
        <w:tc>
          <w:tcPr>
            <w:tcW w:type="dxa" w:w="2256"/>
            <w:vAlign w:val="top"/>
          </w:tcPr>
          <w:p>
            <w:pPr>
              <w:jc w:val="left"/>
            </w:pPr>
            <w:r>
              <w:rPr>
                <w:sz w:val="18"/>
              </w:rPr>
              <w:t>5-7天</w:t>
            </w:r>
          </w:p>
        </w:tc>
        <w:tc>
          <w:tcPr>
            <w:tcW w:type="dxa" w:w="2256"/>
            <w:vAlign w:val="top"/>
          </w:tcPr>
          <w:p>
            <w:pPr>
              <w:jc w:val="left"/>
            </w:pPr>
            <w:r>
              <w:rPr>
                <w:sz w:val="18"/>
              </w:rPr>
              <w:t>实现报警弹窗监听、报警列表兜底、详情页打开、字段读取、截图和失败提示。</w:t>
            </w:r>
          </w:p>
        </w:tc>
        <w:tc>
          <w:tcPr>
            <w:tcW w:type="dxa" w:w="2256"/>
            <w:vAlign w:val="top"/>
          </w:tcPr>
          <w:p>
            <w:pPr>
              <w:jc w:val="left"/>
            </w:pPr>
            <w:r>
              <w:rPr>
                <w:sz w:val="18"/>
              </w:rPr>
              <w:t>至少在真实或录屏样本中跑通3类报警读取，核心字段可标记来源，失败不静默。</w:t>
            </w:r>
          </w:p>
        </w:tc>
      </w:tr>
      <w:tr>
        <w:tc>
          <w:tcPr>
            <w:tcW w:type="dxa" w:w="2256"/>
            <w:vAlign w:val="top"/>
          </w:tcPr>
          <w:p>
            <w:pPr>
              <w:jc w:val="left"/>
            </w:pPr>
            <w:r>
              <w:rPr>
                <w:sz w:val="18"/>
              </w:rPr>
              <w:t>P2 规则引擎与车辆类型匹配</w:t>
            </w:r>
          </w:p>
        </w:tc>
        <w:tc>
          <w:tcPr>
            <w:tcW w:type="dxa" w:w="2256"/>
            <w:vAlign w:val="top"/>
          </w:tcPr>
          <w:p>
            <w:pPr>
              <w:jc w:val="left"/>
            </w:pPr>
            <w:r>
              <w:rPr>
                <w:sz w:val="18"/>
              </w:rPr>
              <w:t>5-7天</w:t>
            </w:r>
          </w:p>
        </w:tc>
        <w:tc>
          <w:tcPr>
            <w:tcW w:type="dxa" w:w="2256"/>
            <w:vAlign w:val="top"/>
          </w:tcPr>
          <w:p>
            <w:pPr>
              <w:jc w:val="left"/>
            </w:pPr>
            <w:r>
              <w:rPr>
                <w:sz w:val="18"/>
              </w:rPr>
              <w:t>配置报警类型、车辆类型、速度阈值、时段、SOP时限、提醒方式和待确认边界。</w:t>
            </w:r>
          </w:p>
        </w:tc>
        <w:tc>
          <w:tcPr>
            <w:tcW w:type="dxa" w:w="2256"/>
            <w:vAlign w:val="top"/>
          </w:tcPr>
          <w:p>
            <w:pPr>
              <w:jc w:val="left"/>
            </w:pPr>
            <w:r>
              <w:rPr>
                <w:sz w:val="18"/>
              </w:rPr>
              <w:t>危货车、城乡公交、农村客运/客运班线能匹配不同规则，无法确认时进入人工确认。</w:t>
            </w:r>
          </w:p>
        </w:tc>
      </w:tr>
      <w:tr>
        <w:tc>
          <w:tcPr>
            <w:tcW w:type="dxa" w:w="2256"/>
            <w:vAlign w:val="top"/>
          </w:tcPr>
          <w:p>
            <w:pPr>
              <w:jc w:val="left"/>
            </w:pPr>
            <w:r>
              <w:rPr>
                <w:sz w:val="18"/>
              </w:rPr>
              <w:t>P3 提醒动作与企业通知</w:t>
            </w:r>
          </w:p>
        </w:tc>
        <w:tc>
          <w:tcPr>
            <w:tcW w:type="dxa" w:w="2256"/>
            <w:vAlign w:val="top"/>
          </w:tcPr>
          <w:p>
            <w:pPr>
              <w:jc w:val="left"/>
            </w:pPr>
            <w:r>
              <w:rPr>
                <w:sz w:val="18"/>
              </w:rPr>
              <w:t>5-7天</w:t>
            </w:r>
          </w:p>
        </w:tc>
        <w:tc>
          <w:tcPr>
            <w:tcW w:type="dxa" w:w="2256"/>
            <w:vAlign w:val="top"/>
          </w:tcPr>
          <w:p>
            <w:pPr>
              <w:jc w:val="left"/>
            </w:pPr>
            <w:r>
              <w:rPr>
                <w:sz w:val="18"/>
              </w:rPr>
              <w:t>接入文本下发、语音对讲/TTS、固定话术、一键复制、企业联系人和人工拨打入口。</w:t>
            </w:r>
          </w:p>
        </w:tc>
        <w:tc>
          <w:tcPr>
            <w:tcW w:type="dxa" w:w="2256"/>
            <w:vAlign w:val="top"/>
          </w:tcPr>
          <w:p>
            <w:pPr>
              <w:jc w:val="left"/>
            </w:pPr>
            <w:r>
              <w:rPr>
                <w:sz w:val="18"/>
              </w:rPr>
              <w:t>固定话术可按报警事件生成，按钮触发结果和人工拨打动作写入台账。</w:t>
            </w:r>
          </w:p>
        </w:tc>
      </w:tr>
      <w:tr>
        <w:tc>
          <w:tcPr>
            <w:tcW w:type="dxa" w:w="2256"/>
            <w:vAlign w:val="top"/>
          </w:tcPr>
          <w:p>
            <w:pPr>
              <w:jc w:val="left"/>
            </w:pPr>
            <w:r>
              <w:rPr>
                <w:sz w:val="18"/>
              </w:rPr>
              <w:t>P4 纠正检测与升级闭环</w:t>
            </w:r>
          </w:p>
        </w:tc>
        <w:tc>
          <w:tcPr>
            <w:tcW w:type="dxa" w:w="2256"/>
            <w:vAlign w:val="top"/>
          </w:tcPr>
          <w:p>
            <w:pPr>
              <w:jc w:val="left"/>
            </w:pPr>
            <w:r>
              <w:rPr>
                <w:sz w:val="18"/>
              </w:rPr>
              <w:t>7-10天</w:t>
            </w:r>
          </w:p>
        </w:tc>
        <w:tc>
          <w:tcPr>
            <w:tcW w:type="dxa" w:w="2256"/>
            <w:vAlign w:val="top"/>
          </w:tcPr>
          <w:p>
            <w:pPr>
              <w:jc w:val="left"/>
            </w:pPr>
            <w:r>
              <w:rPr>
                <w:sz w:val="18"/>
              </w:rPr>
              <w:t>实现已纠正、未纠正、无法判断三态；接入超速30秒、超时60秒/10分钟、夜间异动60秒等升级时限。</w:t>
            </w:r>
          </w:p>
        </w:tc>
        <w:tc>
          <w:tcPr>
            <w:tcW w:type="dxa" w:w="2256"/>
            <w:vAlign w:val="top"/>
          </w:tcPr>
          <w:p>
            <w:pPr>
              <w:jc w:val="left"/>
            </w:pPr>
            <w:r>
              <w:rPr>
                <w:sz w:val="18"/>
              </w:rPr>
              <w:t>未纠正、无法判断、高风险、按钮失败、页面异常均能生成事件并通知值班人员。</w:t>
            </w:r>
          </w:p>
        </w:tc>
      </w:tr>
      <w:tr>
        <w:tc>
          <w:tcPr>
            <w:tcW w:type="dxa" w:w="2256"/>
            <w:vAlign w:val="top"/>
          </w:tcPr>
          <w:p>
            <w:pPr>
              <w:jc w:val="left"/>
            </w:pPr>
            <w:r>
              <w:rPr>
                <w:sz w:val="18"/>
              </w:rPr>
              <w:t>P5 台账、详情页与安全</w:t>
            </w:r>
          </w:p>
        </w:tc>
        <w:tc>
          <w:tcPr>
            <w:tcW w:type="dxa" w:w="2256"/>
            <w:vAlign w:val="top"/>
          </w:tcPr>
          <w:p>
            <w:pPr>
              <w:jc w:val="left"/>
            </w:pPr>
            <w:r>
              <w:rPr>
                <w:sz w:val="18"/>
              </w:rPr>
              <w:t>5-7天</w:t>
            </w:r>
          </w:p>
        </w:tc>
        <w:tc>
          <w:tcPr>
            <w:tcW w:type="dxa" w:w="2256"/>
            <w:vAlign w:val="top"/>
          </w:tcPr>
          <w:p>
            <w:pPr>
              <w:jc w:val="left"/>
            </w:pPr>
            <w:r>
              <w:rPr>
                <w:sz w:val="18"/>
              </w:rPr>
              <w:t>建设AI处理记录台账、事件详情页、查询条件、短信链接、脱敏和日志保存。</w:t>
            </w:r>
          </w:p>
        </w:tc>
        <w:tc>
          <w:tcPr>
            <w:tcW w:type="dxa" w:w="2256"/>
            <w:vAlign w:val="top"/>
          </w:tcPr>
          <w:p>
            <w:pPr>
              <w:jc w:val="left"/>
            </w:pPr>
            <w:r>
              <w:rPr>
                <w:sz w:val="18"/>
              </w:rPr>
              <w:t>能按时间、车牌、企业、报警类型、车辆类型、处理状态查询，能还原一次报警处置全过程。</w:t>
            </w:r>
          </w:p>
        </w:tc>
      </w:tr>
      <w:tr>
        <w:tc>
          <w:tcPr>
            <w:tcW w:type="dxa" w:w="2256"/>
            <w:vAlign w:val="top"/>
          </w:tcPr>
          <w:p>
            <w:pPr>
              <w:jc w:val="left"/>
            </w:pPr>
            <w:r>
              <w:rPr>
                <w:sz w:val="18"/>
              </w:rPr>
              <w:t>P6 试运行与指标校准</w:t>
            </w:r>
          </w:p>
        </w:tc>
        <w:tc>
          <w:tcPr>
            <w:tcW w:type="dxa" w:w="2256"/>
            <w:vAlign w:val="top"/>
          </w:tcPr>
          <w:p>
            <w:pPr>
              <w:jc w:val="left"/>
            </w:pPr>
            <w:r>
              <w:rPr>
                <w:sz w:val="18"/>
              </w:rPr>
              <w:t>2-4周</w:t>
            </w:r>
          </w:p>
        </w:tc>
        <w:tc>
          <w:tcPr>
            <w:tcW w:type="dxa" w:w="2256"/>
            <w:vAlign w:val="top"/>
          </w:tcPr>
          <w:p>
            <w:pPr>
              <w:jc w:val="left"/>
            </w:pPr>
            <w:r>
              <w:rPr>
                <w:sz w:val="18"/>
              </w:rPr>
              <w:t>用真实报警样本试运行，统计读取成功率、按钮触发成功率、纠正检测一致率、无法判断兜底率和通知成功率。</w:t>
            </w:r>
          </w:p>
        </w:tc>
        <w:tc>
          <w:tcPr>
            <w:tcW w:type="dxa" w:w="2256"/>
            <w:vAlign w:val="top"/>
          </w:tcPr>
          <w:p>
            <w:pPr>
              <w:jc w:val="left"/>
            </w:pPr>
            <w:r>
              <w:rPr>
                <w:sz w:val="18"/>
              </w:rPr>
              <w:t>输出试运行报告、失败样本清单、规则修订记录和首版验收结论。</w:t>
            </w:r>
          </w:p>
        </w:tc>
      </w:tr>
      <w:tr>
        <w:tc>
          <w:tcPr>
            <w:tcW w:type="dxa" w:w="2256"/>
            <w:vAlign w:val="top"/>
          </w:tcPr>
          <w:p>
            <w:pPr>
              <w:jc w:val="left"/>
            </w:pPr>
            <w:r>
              <w:rPr>
                <w:sz w:val="18"/>
              </w:rPr>
              <w:t>P7 二期扩展</w:t>
            </w:r>
          </w:p>
        </w:tc>
        <w:tc>
          <w:tcPr>
            <w:tcW w:type="dxa" w:w="2256"/>
            <w:vAlign w:val="top"/>
          </w:tcPr>
          <w:p>
            <w:pPr>
              <w:jc w:val="left"/>
            </w:pPr>
            <w:r>
              <w:rPr>
                <w:sz w:val="18"/>
              </w:rPr>
              <w:t>另行确认</w:t>
            </w:r>
          </w:p>
        </w:tc>
        <w:tc>
          <w:tcPr>
            <w:tcW w:type="dxa" w:w="2256"/>
            <w:vAlign w:val="top"/>
          </w:tcPr>
          <w:p>
            <w:pPr>
              <w:jc w:val="left"/>
            </w:pPr>
            <w:r>
              <w:rPr>
                <w:sz w:val="18"/>
              </w:rPr>
              <w:t>自动报表、设备巡检、风险画像、申诉辅助和管理看板。</w:t>
            </w:r>
          </w:p>
        </w:tc>
        <w:tc>
          <w:tcPr>
            <w:tcW w:type="dxa" w:w="2256"/>
            <w:vAlign w:val="top"/>
          </w:tcPr>
          <w:p>
            <w:pPr>
              <w:jc w:val="left"/>
            </w:pPr>
            <w:r>
              <w:rPr>
                <w:sz w:val="18"/>
              </w:rPr>
              <w:t>另行立项、报价和验收。</w:t>
            </w:r>
          </w:p>
        </w:tc>
      </w:tr>
    </w:tbl>
    <w:p>
      <w:pPr>
        <w:pStyle w:val="3"/>
      </w:pPr>
      <w:r>
        <w:t>13.5 阶段0建议</w:t>
      </w:r>
    </w:p>
    <w:p>
      <w:pPr/>
      <w:r>
        <w:t>建议项目先进入阶段0现场验证。若阶段0验证通过，即可进入首版建设；若页面读取、按钮触发或关键数据存在限制，则可将首版能力调整为“规则知识库+人工处置辅助台账”，避免在未验证条件下承诺自动触发能力。</w:t>
      </w:r>
    </w:p>
    <w:p w14:paraId="78D95380">
      <w:pPr>
        <w:pStyle w:val="2"/>
        <w:keepNext/>
      </w:pPr>
      <w:r>
        <w:t>十四、 待确认事项</w:t>
      </w:r>
    </w:p>
    <w:p w14:paraId="51CA4DA3">
      <w:pPr>
        <w:spacing w:after="160" w:line="360" w:lineRule="auto"/>
        <w:ind w:firstLine="440"/>
      </w:pPr>
      <w:r>
        <w:rPr>
          <w:b w:val="0"/>
          <w:bCs w:val="0"/>
          <w:i w:val="0"/>
          <w:iCs w:val="0"/>
          <w:sz w:val="22"/>
          <w:szCs w:val="22"/>
        </w:rPr>
        <w:t>以下事项需在合同签订前或试运行阶段与客户逐项确认，未确认前不作为既定验收口径：</w:t>
      </w:r>
    </w:p>
    <w:tbl>
      <w:tblPr>
        <w:tblStyle w:val="15"/>
        <w:tblW w:w="93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C19B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1F3A5F"/>
            <w:tcMar>
              <w:top w:w="100" w:type="dxa"/>
              <w:left w:w="120" w:type="dxa"/>
              <w:bottom w:w="100" w:type="dxa"/>
              <w:right w:w="120" w:type="dxa"/>
            </w:tcMar>
            <w:vAlign w:val="top"/>
          </w:tcPr>
          <w:p w14:paraId="13CA62A4">
            <w:pPr>
              <w:jc w:val="center"/>
            </w:pPr>
            <w:r>
              <w:rPr>
                <w:b/>
                <w:bCs/>
                <w:color w:val="FFFFFF"/>
                <w:sz w:val="18"/>
                <w:szCs w:val="20"/>
              </w:rPr>
              <w:t>类别</w:t>
            </w:r>
          </w:p>
        </w:tc>
        <w:tc>
          <w:tcPr>
            <w:tcW w:w="7160" w:type="dxa"/>
            <w:tcBorders>
              <w:top w:val="single" w:color="BFBFBF" w:sz="4" w:space="0"/>
              <w:left w:val="single" w:color="BFBFBF" w:sz="4" w:space="0"/>
              <w:bottom w:val="single" w:color="BFBFBF" w:sz="4" w:space="0"/>
              <w:right w:val="single" w:color="BFBFBF" w:sz="4" w:space="0"/>
            </w:tcBorders>
            <w:shd w:val="clear" w:color="auto" w:fill="1F3A5F"/>
            <w:tcMar>
              <w:top w:w="100" w:type="dxa"/>
              <w:left w:w="120" w:type="dxa"/>
              <w:bottom w:w="100" w:type="dxa"/>
              <w:right w:w="120" w:type="dxa"/>
            </w:tcMar>
            <w:vAlign w:val="top"/>
          </w:tcPr>
          <w:p w14:paraId="212D4D21">
            <w:pPr>
              <w:jc w:val="center"/>
            </w:pPr>
            <w:r>
              <w:rPr>
                <w:b/>
                <w:bCs/>
                <w:color w:val="FFFFFF"/>
                <w:sz w:val="18"/>
                <w:szCs w:val="20"/>
              </w:rPr>
              <w:t>关键问题</w:t>
            </w:r>
          </w:p>
        </w:tc>
      </w:tr>
      <w:tr w14:paraId="413C1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591CB9C3">
            <w:pPr>
              <w:jc w:val="left"/>
            </w:pPr>
            <w:r>
              <w:rPr>
                <w:b w:val="0"/>
                <w:bCs w:val="0"/>
                <w:color w:val="000000"/>
                <w:sz w:val="18"/>
                <w:szCs w:val="20"/>
              </w:rPr>
              <w:t>页面与字段类</w:t>
            </w:r>
          </w:p>
        </w:tc>
        <w:tc>
          <w:tcPr>
            <w:tcW w:w="7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0C710257">
            <w:pPr>
              <w:jc w:val="left"/>
            </w:pPr>
            <w:r>
              <w:rPr>
                <w:b w:val="0"/>
                <w:bCs w:val="0"/>
                <w:color w:val="000000"/>
                <w:sz w:val="18"/>
                <w:szCs w:val="20"/>
              </w:rPr>
              <w:t>各类报警页面的真实按钮名称与操作路径；速度、停车、报警解除、视频状态等字段能否稳定读取；省平台页面字段稳定性</w:t>
            </w:r>
          </w:p>
        </w:tc>
      </w:tr>
      <w:tr w14:paraId="0383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5011D20A">
            <w:pPr>
              <w:jc w:val="left"/>
            </w:pPr>
            <w:r>
              <w:rPr>
                <w:b w:val="0"/>
                <w:bCs w:val="0"/>
                <w:color w:val="000000"/>
                <w:sz w:val="18"/>
                <w:szCs w:val="20"/>
              </w:rPr>
              <w:t>话术与提醒类</w:t>
            </w:r>
          </w:p>
        </w:tc>
        <w:tc>
          <w:tcPr>
            <w:tcW w:w="71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64C06A62">
            <w:pPr>
              <w:jc w:val="left"/>
            </w:pPr>
            <w:r>
              <w:rPr>
                <w:b w:val="0"/>
                <w:bCs w:val="0"/>
                <w:color w:val="000000"/>
                <w:sz w:val="18"/>
                <w:szCs w:val="20"/>
              </w:rPr>
              <w:t>生理疲劳是否必须停车休息及具体时长；超时驾驶停车休息20分钟的页面可见字段；夜间异动是否按固定阈值直接判定；驾驶员身份识别是否纳入首版自动提醒；电子围栏/超员/设备故障是否需司机提醒还是仅内部确认</w:t>
            </w:r>
          </w:p>
        </w:tc>
      </w:tr>
      <w:tr w14:paraId="4E64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583C581C">
            <w:pPr>
              <w:jc w:val="left"/>
            </w:pPr>
            <w:r>
              <w:rPr>
                <w:b w:val="0"/>
                <w:bCs w:val="0"/>
                <w:color w:val="000000"/>
                <w:sz w:val="18"/>
                <w:szCs w:val="20"/>
              </w:rPr>
              <w:t>通知与权限类</w:t>
            </w:r>
          </w:p>
        </w:tc>
        <w:tc>
          <w:tcPr>
            <w:tcW w:w="7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6121352D">
            <w:pPr>
              <w:jc w:val="left"/>
            </w:pPr>
            <w:r>
              <w:rPr>
                <w:b w:val="0"/>
                <w:bCs w:val="0"/>
                <w:color w:val="000000"/>
                <w:sz w:val="18"/>
                <w:szCs w:val="20"/>
              </w:rPr>
              <w:t>值班人员短信接收人、模板、详情页访问方式与有效期、手机号权限；企业负责人通讯录维护机制、通知边界、一键拨打是否可用；插件是否允许自动触发文本下发或语音对讲</w:t>
            </w:r>
          </w:p>
        </w:tc>
      </w:tr>
      <w:tr w14:paraId="33EC5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669D07DF">
            <w:pPr>
              <w:jc w:val="left"/>
            </w:pPr>
            <w:r>
              <w:rPr>
                <w:b w:val="0"/>
                <w:bCs w:val="0"/>
                <w:color w:val="000000"/>
                <w:sz w:val="18"/>
                <w:szCs w:val="20"/>
              </w:rPr>
              <w:t>台账与留痕类</w:t>
            </w:r>
          </w:p>
        </w:tc>
        <w:tc>
          <w:tcPr>
            <w:tcW w:w="7160" w:type="dxa"/>
            <w:tcBorders>
              <w:top w:val="single" w:color="BFBFBF" w:sz="4" w:space="0"/>
              <w:left w:val="single" w:color="BFBFBF" w:sz="4" w:space="0"/>
              <w:bottom w:val="single" w:color="BFBFBF" w:sz="4" w:space="0"/>
              <w:right w:val="single" w:color="BFBFBF" w:sz="4" w:space="0"/>
            </w:tcBorders>
            <w:shd w:val="clear" w:color="auto" w:fill="F2F5FA"/>
            <w:tcMar>
              <w:top w:w="100" w:type="dxa"/>
              <w:left w:w="120" w:type="dxa"/>
              <w:bottom w:w="100" w:type="dxa"/>
              <w:right w:w="120" w:type="dxa"/>
            </w:tcMar>
            <w:vAlign w:val="top"/>
          </w:tcPr>
          <w:p w14:paraId="304B8832">
            <w:pPr>
              <w:jc w:val="left"/>
            </w:pPr>
            <w:r>
              <w:rPr>
                <w:b w:val="0"/>
                <w:bCs w:val="0"/>
                <w:color w:val="000000"/>
                <w:sz w:val="18"/>
                <w:szCs w:val="20"/>
              </w:rPr>
              <w:t>AI处理记录台账字段与保存周期；第六章分层留痕设计中个人级下钻的审批流程；司机语音回复识别是否纳入首版</w:t>
            </w:r>
          </w:p>
        </w:tc>
      </w:tr>
      <w:tr w14:paraId="62C9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286AEA0B">
            <w:pPr>
              <w:jc w:val="left"/>
            </w:pPr>
            <w:r>
              <w:rPr>
                <w:b w:val="0"/>
                <w:bCs w:val="0"/>
                <w:color w:val="000000"/>
                <w:sz w:val="18"/>
                <w:szCs w:val="20"/>
              </w:rPr>
              <w:t>范围与命名类</w:t>
            </w:r>
          </w:p>
        </w:tc>
        <w:tc>
          <w:tcPr>
            <w:tcW w:w="7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20" w:type="dxa"/>
              <w:bottom w:w="100" w:type="dxa"/>
              <w:right w:w="120" w:type="dxa"/>
            </w:tcMar>
            <w:vAlign w:val="top"/>
          </w:tcPr>
          <w:p w14:paraId="01803D8A">
            <w:pPr>
              <w:jc w:val="left"/>
            </w:pPr>
            <w:r>
              <w:rPr>
                <w:b w:val="0"/>
                <w:bCs w:val="0"/>
                <w:color w:val="000000"/>
                <w:sz w:val="18"/>
                <w:szCs w:val="20"/>
              </w:rPr>
              <w:t>本项目最终统一名称；试运行期样本数量与人工复核方式；真实报警样本是否覆盖首版报警类型；各类“待业务确认”事项的判定标准</w:t>
            </w:r>
          </w:p>
        </w:tc>
      </w:tr>
      <w:tr>
        <w:tc>
          <w:tcPr>
            <w:tcW w:type="dxa" w:w="2200"/>
            <w:vAlign w:val="top"/>
          </w:tcPr>
          <w:p>
            <w:pPr>
              <w:jc w:val="left"/>
            </w:pPr>
            <w:r>
              <w:rPr>
                <w:sz w:val="18"/>
              </w:rPr>
              <w:t>车辆类型与规则类</w:t>
            </w:r>
          </w:p>
        </w:tc>
        <w:tc>
          <w:tcPr>
            <w:tcW w:type="dxa" w:w="7160"/>
            <w:vAlign w:val="top"/>
          </w:tcPr>
          <w:p>
            <w:pPr>
              <w:jc w:val="left"/>
            </w:pPr>
            <w:r>
              <w:rPr>
                <w:sz w:val="18"/>
              </w:rPr>
              <w:t>危货车、城乡公交、农村客运/客运班线的车辆清单、字段来源、核载/站立区白名单、线路/电子围栏和速度阈值最终口径。</w:t>
            </w:r>
          </w:p>
        </w:tc>
      </w:tr>
      <w:tr>
        <w:tc>
          <w:tcPr>
            <w:tcW w:type="dxa" w:w="2200"/>
            <w:vAlign w:val="top"/>
          </w:tcPr>
          <w:p>
            <w:pPr>
              <w:jc w:val="left"/>
            </w:pPr>
            <w:r>
              <w:rPr>
                <w:sz w:val="18"/>
              </w:rPr>
              <w:t>危货专属能力类</w:t>
            </w:r>
          </w:p>
        </w:tc>
        <w:tc>
          <w:tcPr>
            <w:tcW w:type="dxa" w:w="7160"/>
            <w:vAlign w:val="top"/>
          </w:tcPr>
          <w:p>
            <w:pPr>
              <w:jc w:val="left"/>
            </w:pPr>
            <w:r>
              <w:rPr>
                <w:sz w:val="18"/>
              </w:rPr>
              <w:t>押运员身份识别、电子运单报警、异地经营提醒是否纳入首版；若纳入，页面字段、证据链、处置动作和企业通知规则如何确认。</w:t>
            </w:r>
          </w:p>
        </w:tc>
      </w:tr>
      <w:tr>
        <w:tc>
          <w:tcPr>
            <w:tcW w:type="dxa" w:w="2200"/>
            <w:vAlign w:val="top"/>
          </w:tcPr>
          <w:p>
            <w:pPr>
              <w:jc w:val="left"/>
            </w:pPr>
            <w:r>
              <w:rPr>
                <w:sz w:val="18"/>
              </w:rPr>
              <w:t>城乡公交/农村客运类</w:t>
            </w:r>
          </w:p>
        </w:tc>
        <w:tc>
          <w:tcPr>
            <w:tcW w:type="dxa" w:w="7160"/>
            <w:vAlign w:val="top"/>
          </w:tcPr>
          <w:p>
            <w:pPr>
              <w:jc w:val="left"/>
            </w:pPr>
            <w:r>
              <w:rPr>
                <w:sz w:val="18"/>
              </w:rPr>
              <w:t>农村客运是否按客运班线、城乡公交或单独规则配置；夜间异动是否适用；超员和乘客安全带巡检是否进入首版处置闭环。</w:t>
            </w:r>
          </w:p>
        </w:tc>
      </w:tr>
      <w:tr>
        <w:tc>
          <w:tcPr>
            <w:tcW w:type="dxa" w:w="2200"/>
            <w:vAlign w:val="top"/>
          </w:tcPr>
          <w:p>
            <w:pPr>
              <w:jc w:val="left"/>
            </w:pPr>
            <w:r>
              <w:rPr>
                <w:sz w:val="18"/>
              </w:rPr>
              <w:t>企业要求边界类</w:t>
            </w:r>
          </w:p>
        </w:tc>
        <w:tc>
          <w:tcPr>
            <w:tcW w:type="dxa" w:w="7160"/>
            <w:vAlign w:val="top"/>
          </w:tcPr>
          <w:p>
            <w:pPr>
              <w:jc w:val="left"/>
            </w:pPr>
            <w:r>
              <w:rPr>
                <w:sz w:val="18"/>
              </w:rPr>
              <w:t>企业要求中的即时处置、升级时限、企业通知和台账留痕进入首版；离线统计、轨迹完整率、设备巡检、日报周报月报和风险车辆管理是否作为二期或代运营服务。</w:t>
            </w:r>
          </w:p>
        </w:tc>
      </w:tr>
    </w:tbl>
    <w:p w14:paraId="49B8FC84">
      <w:pPr>
        <w:pStyle w:val="2"/>
        <w:keepNext/>
      </w:pPr>
      <w:r>
        <w:t>十五、 后续演进</w:t>
      </w:r>
    </w:p>
    <w:p w14:paraId="1CD66B89">
      <w:pPr>
        <w:spacing w:after="160" w:line="360" w:lineRule="auto"/>
        <w:ind w:firstLine="440"/>
      </w:pPr>
      <w:r>
        <w:rPr>
          <w:b w:val="0"/>
          <w:bCs w:val="0"/>
          <w:i w:val="0"/>
          <w:iCs w:val="0"/>
          <w:sz w:val="22"/>
          <w:szCs w:val="22"/>
        </w:rPr>
        <w:t>规则稳定后，把“已经确认规则、重复发生、人工只是机械核对”的工作逐步交给AI自动处理；仍然不清楚、风险高、涉及责任边界的事项继续保留人工确认。可放到后续版本的能力包括：</w:t>
      </w:r>
    </w:p>
    <w:p w14:paraId="4D0D54EC">
      <w:pPr>
        <w:pStyle w:val="20"/>
        <w:numPr>
          <w:ilvl w:val="0"/>
          <w:numId w:val="1"/>
        </w:numPr>
        <w:spacing w:after="100" w:line="340" w:lineRule="auto"/>
      </w:pPr>
      <w:r>
        <w:rPr>
          <w:b w:val="0"/>
          <w:bCs w:val="0"/>
          <w:sz w:val="22"/>
          <w:szCs w:val="22"/>
        </w:rPr>
        <w:t>自动外呼和录音归档；</w:t>
      </w:r>
    </w:p>
    <w:p w14:paraId="1FA9DC11">
      <w:pPr>
        <w:pStyle w:val="20"/>
        <w:numPr>
          <w:ilvl w:val="0"/>
          <w:numId w:val="1"/>
        </w:numPr>
        <w:spacing w:after="100" w:line="340" w:lineRule="auto"/>
      </w:pPr>
      <w:r>
        <w:rPr>
          <w:b w:val="0"/>
          <w:bCs w:val="0"/>
          <w:sz w:val="22"/>
          <w:szCs w:val="22"/>
        </w:rPr>
        <w:t>企业微信或短信平台深度集成；</w:t>
      </w:r>
    </w:p>
    <w:p w14:paraId="19160FE8">
      <w:pPr>
        <w:pStyle w:val="20"/>
        <w:numPr>
          <w:ilvl w:val="0"/>
          <w:numId w:val="1"/>
        </w:numPr>
        <w:spacing w:after="100" w:line="340" w:lineRule="auto"/>
      </w:pPr>
      <w:r>
        <w:rPr>
          <w:b w:val="0"/>
          <w:bCs w:val="0"/>
          <w:sz w:val="22"/>
          <w:szCs w:val="22"/>
        </w:rPr>
        <w:t>正式日报、月报、管理看板；</w:t>
      </w:r>
    </w:p>
    <w:p w14:paraId="7AF91083">
      <w:pPr>
        <w:pStyle w:val="20"/>
        <w:numPr>
          <w:ilvl w:val="0"/>
          <w:numId w:val="1"/>
        </w:numPr>
        <w:spacing w:after="100" w:line="340" w:lineRule="auto"/>
      </w:pPr>
      <w:r>
        <w:rPr>
          <w:b w:val="0"/>
          <w:bCs w:val="0"/>
          <w:sz w:val="22"/>
          <w:szCs w:val="22"/>
        </w:rPr>
        <w:t>自动申诉辅助、正误报智能复核引擎；</w:t>
      </w:r>
    </w:p>
    <w:p w14:paraId="57EA0700">
      <w:pPr>
        <w:pStyle w:val="20"/>
        <w:numPr>
          <w:ilvl w:val="0"/>
          <w:numId w:val="1"/>
        </w:numPr>
        <w:spacing w:after="100" w:line="340" w:lineRule="auto"/>
      </w:pPr>
      <w:r>
        <w:rPr>
          <w:b w:val="0"/>
          <w:bCs w:val="0"/>
          <w:sz w:val="22"/>
          <w:szCs w:val="22"/>
        </w:rPr>
        <w:t>企业风险画像和排名；</w:t>
      </w:r>
    </w:p>
    <w:p w14:paraId="11877D13">
      <w:pPr>
        <w:pStyle w:val="20"/>
        <w:numPr>
          <w:ilvl w:val="0"/>
          <w:numId w:val="1"/>
        </w:numPr>
        <w:spacing w:after="100" w:line="340" w:lineRule="auto"/>
      </w:pPr>
      <w:r>
        <w:rPr>
          <w:b w:val="0"/>
          <w:bCs w:val="0"/>
          <w:sz w:val="22"/>
          <w:szCs w:val="22"/>
        </w:rPr>
        <w:t>与业务任务系统联动派单、跟进和闭环；</w:t>
      </w:r>
    </w:p>
    <w:p w14:paraId="53D45E8B">
      <w:pPr>
        <w:pStyle w:val="20"/>
        <w:numPr>
          <w:ilvl w:val="0"/>
          <w:numId w:val="1"/>
        </w:numPr>
        <w:spacing w:after="100" w:line="340" w:lineRule="auto"/>
      </w:pPr>
      <w:r>
        <w:rPr>
          <w:b w:val="0"/>
          <w:bCs w:val="0"/>
          <w:sz w:val="22"/>
          <w:szCs w:val="22"/>
        </w:rPr>
        <w:t>移动端远程接手完整工作流；</w:t>
      </w:r>
    </w:p>
    <w:p w14:paraId="559FA773">
      <w:pPr>
        <w:pStyle w:val="20"/>
        <w:numPr>
          <w:ilvl w:val="0"/>
          <w:numId w:val="1"/>
        </w:numPr>
        <w:spacing w:after="100" w:line="340" w:lineRule="auto"/>
      </w:pPr>
      <w:r>
        <w:rPr>
          <w:b w:val="0"/>
          <w:bCs w:val="0"/>
          <w:sz w:val="22"/>
          <w:szCs w:val="22"/>
        </w:rPr>
        <w:t>车辆巡检。</w:t>
      </w:r>
    </w:p>
    <w:sectPr>
      <w:headerReference r:id="rId3" w:type="default"/>
      <w:footerReference r:id="rId4"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51BD1">
    <w:pPr>
      <w:jc w:val="center"/>
    </w:pPr>
    <w:r>
      <w:rPr>
        <w:color w:val="595959"/>
        <w:sz w:val="16"/>
        <w:szCs w:val="16"/>
      </w:rPr>
      <w:t xml:space="preserve">第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E43C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F7A8F"/>
    <w:multiLevelType w:val="singleLevel"/>
    <w:tmpl w:val="97DF7A8F"/>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523805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黑体" w:hAnsi="黑体" w:eastAsia="黑体" w:cs="黑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黑体" w:hAnsi="黑体" w:eastAsia="黑体" w:cs="黑体"/>
      <w:sz w:val="22"/>
      <w:szCs w:val="22"/>
    </w:rPr>
  </w:style>
  <w:style w:type="paragraph" w:styleId="2">
    <w:name w:val="heading 1"/>
    <w:next w:val="1"/>
    <w:qFormat/>
    <w:uiPriority w:val="0"/>
    <w:pPr>
      <w:pBdr>
        <w:bottom w:val="single" w:color="1F3864" w:sz="6" w:space="4"/>
      </w:pBdr>
      <w:spacing w:before="360" w:after="200"/>
      <w:outlineLvl w:val="0"/>
    </w:pPr>
    <w:rPr>
      <w:rFonts w:ascii="微软雅黑" w:hAnsi="微软雅黑" w:eastAsia="微软雅黑" w:cs="微软雅黑"/>
      <w:b/>
      <w:bCs/>
      <w:color w:val="1F3864"/>
      <w:sz w:val="30"/>
      <w:szCs w:val="30"/>
    </w:rPr>
  </w:style>
  <w:style w:type="paragraph" w:styleId="3">
    <w:name w:val="heading 2"/>
    <w:next w:val="1"/>
    <w:qFormat/>
    <w:uiPriority w:val="0"/>
    <w:pPr>
      <w:spacing w:before="240" w:after="140"/>
      <w:outlineLvl w:val="1"/>
    </w:pPr>
    <w:rPr>
      <w:rFonts w:ascii="微软雅黑" w:hAnsi="微软雅黑" w:eastAsia="微软雅黑" w:cs="微软雅黑"/>
      <w:b/>
      <w:bCs/>
      <w:color w:val="1F3864"/>
      <w:sz w:val="24"/>
      <w:szCs w:val="24"/>
    </w:rPr>
  </w:style>
  <w:style w:type="paragraph" w:styleId="4">
    <w:name w:val="heading 3"/>
    <w:next w:val="1"/>
    <w:qFormat/>
    <w:uiPriority w:val="0"/>
    <w:rPr>
      <w:rFonts w:ascii="黑体" w:hAnsi="黑体" w:eastAsia="黑体" w:cs="黑体"/>
      <w:color w:val="1F4D78"/>
      <w:sz w:val="24"/>
      <w:szCs w:val="24"/>
    </w:rPr>
  </w:style>
  <w:style w:type="paragraph" w:styleId="5">
    <w:name w:val="heading 4"/>
    <w:next w:val="1"/>
    <w:qFormat/>
    <w:uiPriority w:val="0"/>
    <w:rPr>
      <w:rFonts w:ascii="黑体" w:hAnsi="黑体" w:eastAsia="黑体" w:cs="黑体"/>
      <w:i/>
      <w:iCs/>
      <w:color w:val="2E74B5"/>
      <w:sz w:val="22"/>
      <w:szCs w:val="22"/>
    </w:rPr>
  </w:style>
  <w:style w:type="paragraph" w:styleId="6">
    <w:name w:val="heading 5"/>
    <w:next w:val="1"/>
    <w:qFormat/>
    <w:uiPriority w:val="0"/>
    <w:rPr>
      <w:rFonts w:ascii="黑体" w:hAnsi="黑体" w:eastAsia="黑体" w:cs="黑体"/>
      <w:color w:val="2E74B5"/>
      <w:sz w:val="22"/>
      <w:szCs w:val="22"/>
    </w:rPr>
  </w:style>
  <w:style w:type="paragraph" w:styleId="7">
    <w:name w:val="heading 6"/>
    <w:next w:val="1"/>
    <w:qFormat/>
    <w:uiPriority w:val="0"/>
    <w:rPr>
      <w:rFonts w:ascii="黑体" w:hAnsi="黑体" w:eastAsia="黑体" w:cs="黑体"/>
      <w:color w:val="1F4D78"/>
      <w:sz w:val="22"/>
      <w:szCs w:val="22"/>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endnote text"/>
    <w:link w:val="22"/>
    <w:semiHidden/>
    <w:unhideWhenUsed/>
    <w:uiPriority w:val="99"/>
    <w:pPr>
      <w:spacing w:after="0" w:line="240" w:lineRule="auto"/>
    </w:pPr>
    <w:rPr>
      <w:rFonts w:ascii="黑体" w:hAnsi="黑体" w:eastAsia="黑体" w:cs="黑体"/>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iPriority w:val="0"/>
  </w:style>
  <w:style w:type="paragraph" w:styleId="12">
    <w:name w:val="footnote text"/>
    <w:link w:val="21"/>
    <w:semiHidden/>
    <w:unhideWhenUsed/>
    <w:uiPriority w:val="99"/>
    <w:pPr>
      <w:spacing w:after="0" w:line="240" w:lineRule="auto"/>
    </w:pPr>
    <w:rPr>
      <w:rFonts w:ascii="黑体" w:hAnsi="黑体" w:eastAsia="黑体" w:cs="黑体"/>
      <w:sz w:val="20"/>
      <w:szCs w:val="20"/>
    </w:rPr>
  </w:style>
  <w:style w:type="paragraph" w:styleId="13">
    <w:name w:val="toc 2"/>
    <w:basedOn w:val="1"/>
    <w:next w:val="1"/>
    <w:uiPriority w:val="0"/>
    <w:pPr>
      <w:ind w:left="420" w:leftChars="200"/>
    </w:pPr>
  </w:style>
  <w:style w:type="paragraph" w:styleId="14">
    <w:name w:val="Title"/>
    <w:qFormat/>
    <w:uiPriority w:val="0"/>
    <w:rPr>
      <w:rFonts w:ascii="黑体" w:hAnsi="黑体" w:eastAsia="黑体" w:cs="黑体"/>
      <w:sz w:val="56"/>
      <w:szCs w:val="56"/>
    </w:rPr>
  </w:style>
  <w:style w:type="character" w:styleId="17">
    <w:name w:val="endnote reference"/>
    <w:semiHidden/>
    <w:unhideWhenUsed/>
    <w:qFormat/>
    <w:uiPriority w:val="99"/>
    <w:rPr>
      <w:vertAlign w:val="superscript"/>
    </w:rPr>
  </w:style>
  <w:style w:type="character" w:styleId="18">
    <w:name w:val="Hyperlink"/>
    <w:unhideWhenUsed/>
    <w:uiPriority w:val="99"/>
    <w:rPr>
      <w:color w:val="0563C1"/>
      <w:u w:val="single"/>
    </w:rPr>
  </w:style>
  <w:style w:type="character" w:styleId="19">
    <w:name w:val="footnote reference"/>
    <w:semiHidden/>
    <w:unhideWhenUsed/>
    <w:uiPriority w:val="99"/>
    <w:rPr>
      <w:vertAlign w:val="superscript"/>
    </w:rPr>
  </w:style>
  <w:style w:type="paragraph" w:styleId="20">
    <w:name w:val="List Paragraph"/>
    <w:qFormat/>
    <w:uiPriority w:val="0"/>
    <w:rPr>
      <w:rFonts w:ascii="黑体" w:hAnsi="黑体" w:eastAsia="黑体" w:cs="黑体"/>
      <w:sz w:val="22"/>
      <w:szCs w:val="22"/>
    </w:rPr>
  </w:style>
  <w:style w:type="character" w:customStyle="1" w:styleId="21">
    <w:name w:val="Footnote Text Char"/>
    <w:link w:val="12"/>
    <w:semiHidden/>
    <w:unhideWhenUsed/>
    <w:uiPriority w:val="99"/>
    <w:rPr>
      <w:sz w:val="20"/>
      <w:szCs w:val="20"/>
    </w:rPr>
  </w:style>
  <w:style w:type="character" w:customStyle="1" w:styleId="22">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4442</Words>
  <Characters>4529</Characters>
  <TotalTime>10</TotalTime>
  <ScaleCrop>false</ScaleCrop>
  <LinksUpToDate>false</LinksUpToDate>
  <CharactersWithSpaces>4680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2026-06-21T13:14:00Z</dcterms:created>
  <dc:creator>Un-named</dc:creator>
  <cp:lastModifiedBy>admin</cp:lastModifiedBy>
  <dcterms:modified xsi:type="dcterms:W3CDTF">2026-06-21T13:29:19Z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eyJoZGlkIjoiMzEwNTM5NzYwMDRjMzkwZTVkZjY2ODkwMGIxNGU0OTUiLCJ1c2VySWQiOiIyNjM2OTkyNjMifQ==</vt:lpwstr>
  </property>
  <property fmtid="{D5CDD505-2E9C-101B-9397-08002B2CF9AE}" pid="3" name="KSOProductBuildVer">
    <vt:lpwstr>2052-12.1.0.26895</vt:lpwstr>
  </property>
  <property fmtid="{D5CDD505-2E9C-101B-9397-08002B2CF9AE}" pid="4" name="ICV">
    <vt:lpwstr>E998C61E025240988ACACFC51304A801_12</vt:lpwstr>
  </property>
</Properties>
</file>