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B371B"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pPr>
        <w:spacing w:line="400" w:lineRule="exact"/>
        <w:ind w:firstLine="480"/>
      </w:pPr>
      <w:r>
        <w:rPr>
          <w:rFonts w:ascii="宋体" w:hAnsi="宋体"/>
          <w:sz w:val="24"/>
          <w:color w:val="FF0000"/>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594B4392"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76C2822"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4E718D0F"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753D6937"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501B5D8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4E01B206"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是因为它构成了朝会仪程的实际环节；记百戏即记礼仪，记礼仪即记制度。杂技的技艺本身并非书写重心，其作为国家仪典组成部分的制度功能，才是史家措意所在。</w:t>
      </w:r>
    </w:p>
    <w:p>
      <w:pPr>
        <w:spacing w:line="400" w:lineRule="exact"/>
        <w:ind w:firstLine="480"/>
      </w:pPr>
      <w:r>
        <w:rPr>
          <w:rFonts w:ascii="宋体" w:hAnsi="宋体"/>
          <w:sz w:val="24"/>
          <w:color w:val="FF0000"/>
        </w:rPr>
        <w:t xml:space="preserve">《史记·大宛列传》的记载则为汉代百戏书写提供了另一重要线索。司马迁载武帝招待外国宾客时，“大角抵，出奇戏诸怪物，多聚观者……而觳抵奇戏岁增变，甚盛益兴，自此始”。“自此始”三字值得注意：它标志着正史首次以编年的方式，为百戏演出的制度化兴盛确立了一个明确的时间起点。武帝朝以百戏夸示外宾的做法自此成为常例，并被后世史家反复援引，成为汉代杂技书写中被征引频率最高的文本之一。</w:t>
      </w:r>
    </w:p>
    <w:p w14:paraId="48EBE0BC"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1C1975F3"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6D53DC48"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5D9A4934"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61DA3C25"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628EDE26"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31A1811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39D820BA"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14:paraId="5E41A7BB"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17CC8D79"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1829465" w14:textId="77777777" w:rsidR="00367BFF" w:rsidRPr="00367BFF" w:rsidRDefault="00367BFF" w:rsidP="00367BFF">
      <w:pPr>
        <w:spacing w:line="400" w:lineRule="exact"/>
        <w:ind w:firstLine="480"/>
      </w:pPr>
      <w:r w:rsidRPr="00367BFF">
        <w:rPr>
          <w:rFonts w:ascii="宋体" w:hAnsi="宋体"/>
          <w:sz w:val="24"/>
        </w:rPr>
        <w:t>以高絙（走绳）技艺为例，《文献通考》引蔡质《汉官典仪》载东汉正月朝贺大典的百戏演出：</w:t>
      </w:r>
    </w:p>
    <w:p w14:paraId="14858DA2" w14:textId="77777777" w:rsidR="00367BFF" w:rsidRPr="00367BFF" w:rsidRDefault="00367BFF" w:rsidP="00367BFF">
      <w:pPr>
        <w:spacing w:line="400" w:lineRule="exact"/>
        <w:ind w:firstLine="480"/>
      </w:pPr>
      <w:r w:rsidRPr="00367BFF">
        <w:rPr>
          <w:rFonts w:ascii="楷体" w:eastAsia="楷体" w:hAnsi="楷体"/>
          <w:sz w:val="24"/>
        </w:rPr>
        <w:lastRenderedPageBreak/>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5F567B24"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20AB6BAC"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技艺始终被置于礼仪制度的框架之内加以叙述，其被书写的理由，在于它是王朝政治秩序与文化气象的一个组成部分。</w:t>
      </w:r>
    </w:p>
    <w:p>
      <w:pPr>
        <w:spacing w:line="400" w:lineRule="exact"/>
        <w:ind w:firstLine="480"/>
      </w:pPr>
      <w:r>
        <w:rPr>
          <w:rFonts w:ascii="宋体" w:hAnsi="宋体"/>
          <w:sz w:val="24"/>
          <w:color w:val="FF0000"/>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p>
    <w:p>
      <w:pPr>
        <w:spacing w:line="400" w:lineRule="exact"/>
        <w:ind w:firstLine="480"/>
      </w:pPr>
      <w:r>
        <w:rPr>
          <w:rFonts w:ascii="宋体" w:hAnsi="宋体"/>
          <w:sz w:val="24"/>
          <w:color w:val="FF0000"/>
        </w:rPr>
        <w:t xml:space="preserve">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p>
    <w:p w14:paraId="6B4E6878"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3A0AAC45"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14:paraId="29AEE240"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52A78CF"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F7CF9D"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B18D770" w14:textId="77777777" w:rsidR="00367BFF" w:rsidRPr="00367BFF" w:rsidRDefault="00367BFF" w:rsidP="00367BFF">
      <w:pPr>
        <w:spacing w:line="400" w:lineRule="exact"/>
        <w:ind w:firstLine="480"/>
      </w:pPr>
      <w:r w:rsidRPr="00367BFF">
        <w:rPr>
          <w:rFonts w:ascii="宋体" w:hAnsi="宋体"/>
          <w:sz w:val="24"/>
        </w:rPr>
        <w:lastRenderedPageBreak/>
        <w:t>天兴六年（403），道武帝拓跋珪诏令太乐、总章、鼓吹三署增修杂伎，这条记载包含三层值得深入辨析的信息。</w:t>
      </w:r>
    </w:p>
    <w:p w14:paraId="352927CE"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2E9B9F38"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36D456C6" w14:textId="77777777" w:rsidR="00367BFF" w:rsidRPr="00367BFF" w:rsidRDefault="00367BFF" w:rsidP="00367BFF">
      <w:pPr>
        <w:spacing w:line="400" w:lineRule="exact"/>
        <w:ind w:firstLine="480"/>
      </w:pPr>
      <w:r w:rsidRPr="00367BFF">
        <w:rPr>
          <w:rFonts w:ascii="宋体" w:hAnsi="宋体"/>
          <w:sz w:val="24"/>
        </w:rPr>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40CA2E2F" w14:textId="77777777" w:rsidR="00367BFF" w:rsidRPr="00367BFF" w:rsidRDefault="00367BFF" w:rsidP="00367BFF">
      <w:pPr>
        <w:spacing w:line="400" w:lineRule="exact"/>
        <w:ind w:firstLine="480"/>
      </w:pPr>
      <w:r w:rsidRPr="00367BFF">
        <w:rPr>
          <w:rFonts w:ascii="楷体" w:eastAsia="楷体" w:hAnsi="楷体"/>
          <w:color w:val="FF0000"/>
          <w:sz w:val="24"/>
        </w:rPr>
        <w:t>（二）禁令与实践：杂技在宫廷宴享中的矛盾书写</w:t>
      </w:r>
    </w:p>
    <w:p w14:paraId="275A888F"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D899963" w14:textId="77777777" w:rsidR="00367BFF" w:rsidRPr="00367BFF" w:rsidRDefault="00367BFF" w:rsidP="00367BFF">
      <w:pPr>
        <w:spacing w:line="400" w:lineRule="exact"/>
        <w:ind w:firstLine="480"/>
      </w:pPr>
      <w:r w:rsidRPr="00367BFF">
        <w:rPr>
          <w:rFonts w:ascii="宋体" w:hAnsi="宋体"/>
          <w:sz w:val="24"/>
        </w:rPr>
        <w:lastRenderedPageBreak/>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1FF2D056"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pPr>
        <w:spacing w:line="400" w:lineRule="exact"/>
        <w:ind w:firstLine="480"/>
      </w:pPr>
      <w:r>
        <w:rPr>
          <w:rFonts w:ascii="楷体" w:eastAsia="楷体" w:hAnsi="楷体"/>
          <w:sz w:val="24"/>
          <w:color w:val="FF0000"/>
        </w:rPr>
        <w:t xml:space="preserve">南梁武帝朝会宴的百戏曲目可为这种“禁而不止”提供更直接的佐证。据《隋书·音乐志》所载，梁元会宴乐除鞦、铎、拂、巾四种杂舞与白综外，其余演出项目几乎全为百戏，包括舞盘伎、舞轮伎、须弥山伎、跳铃伎、跳剑伎、掷倒伎、猕猴幢伎、缘高絘伎、变黄龙弄龟伎等三十余种，是现存文献中对单次朝会百戏节目记录最为完整的清单。这份清单的史料价值在于：它以条列的方式逐一标明每项伎艺的名目，使后人得以窥见南朝宫廷百戏在节目编排上已具有高度的组织性与多样性，其制度化程度远非零散的禁令所能遏止。</w:t>
      </w:r>
    </w:p>
    <w:p w14:paraId="4A406341"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14:paraId="012DB520"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3EA4C44F"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EB2A3A4"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2CF5ABA5"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67C6927C"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w:t>
      </w:r>
      <w:r>
        <w:rPr>
          <w:rFonts w:ascii="宋体" w:hAnsi="宋体"/>
          <w:sz w:val="24"/>
        </w:rPr>
        <w:lastRenderedPageBreak/>
        <w:t>乎完全缺席，至此时期方始露出端倪。《魏书》中一则宗室逾制的轶事，无意间保留了关于“百戏衣”的珍贵信息：</w:t>
      </w:r>
    </w:p>
    <w:p w14:paraId="25804D08"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FB023F2"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49757B35"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3B046DF5"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33FB1158" w14:textId="77777777" w:rsidR="00367BFF" w:rsidRPr="00367BFF" w:rsidRDefault="00367BFF" w:rsidP="00367BFF">
      <w:pPr>
        <w:spacing w:line="400" w:lineRule="exact"/>
        <w:ind w:firstLine="480"/>
      </w:pPr>
      <w:r>
        <w:rPr>
          <w:rFonts w:ascii="宋体" w:hAnsi="宋体"/>
          <w:sz w:val="24"/>
        </w:rPr>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pPr>
        <w:spacing w:line="400" w:lineRule="exact"/>
        <w:ind w:firstLine="480"/>
      </w:pPr>
      <w:r>
        <w:rPr>
          <w:rFonts w:ascii="宋体" w:hAnsi="宋体"/>
          <w:sz w:val="24"/>
          <w:color w:val="FF0000"/>
        </w:rPr>
        <w:t xml:space="preserve">隋唐时百戏在宴乐中的“重兴”除正史与《教坊记》外，亦见于《明皇杂录》《乐府杂录》等对酺宴、广场百戏的记载，杂技书写的载体与层次更为丰富。</w:t>
      </w:r>
    </w:p>
    <w:p w14:paraId="28239D39"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79535A83" w14:textId="77777777" w:rsidR="00367BFF" w:rsidRPr="00367BFF" w:rsidRDefault="00367BFF" w:rsidP="00367BFF">
      <w:pPr>
        <w:spacing w:line="400" w:lineRule="exact"/>
        <w:ind w:firstLine="480"/>
      </w:pPr>
      <w:r w:rsidRPr="00367BFF">
        <w:rPr>
          <w:rFonts w:ascii="宋体" w:hAnsi="宋体"/>
          <w:sz w:val="24"/>
        </w:rPr>
        <w:lastRenderedPageBreak/>
        <w:t>隋炀帝大业年间的百戏盛会，是杂技记载由简略走向详细的一个重要节点。《隋书·音乐下》详载大业二年（606）突厥启民可汗（染干）来朝时的演出情况：</w:t>
      </w:r>
      <w:r>
        <w:rPr>
          <w:rStyle w:val="a30"/>
        </w:rPr>
        <w:footnoteReference w:id="7"/>
      </w:r>
    </w:p>
    <w:p w14:paraId="3DCCDB91"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426E6245"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922B38F"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pPr>
        <w:spacing w:line="400" w:lineRule="exact"/>
        <w:ind w:firstLine="480"/>
      </w:pPr>
      <w:r>
        <w:rPr>
          <w:rFonts w:ascii="宋体" w:hAnsi="宋体"/>
          <w:sz w:val="24"/>
          <w:color w:val="FF0000"/>
        </w:rPr>
        <w:t xml:space="preserve">此后数年间，隋炀帝以百戏宴外蓩的规模持续升级。大业三年秋，宴启民及其部落三千五百人，奏百戏之乐；五年六月，于观风行殿盛陈文物，奏九部乐，设鱼龙蔓延，蛮夷陪列者三十余国；六年正月，诸夷大献方物，突厥启民以下皆国主亲来朝贺，“乃于天津街盛陈百戏，自海内凡有奇伎，无不总萃……金石匈革之声，闻数十里外。弹弦擫管以上，一万八千人。大列炬火，光烛天地，百戏之盛，振古无比。自是每年以为常”。“振古无比”四字是史家对百戏演出规模所作的绝对化评价，它不仅标示了隋代百戏在演出史上的巅峰地位，也折射出书写者面对这一前所未有的盛况时难以自抑的惊叹——杂技书写在此已不止于客观记录，而开始带有鲜明的情感色彩。</w:t>
      </w:r>
    </w:p>
    <w:p w14:paraId="00BD1908"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w:t>
      </w:r>
      <w:r>
        <w:rPr>
          <w:rFonts w:ascii="宋体" w:hAnsi="宋体"/>
          <w:sz w:val="24"/>
        </w:rPr>
        <w:lastRenderedPageBreak/>
        <w:t>则以极简的笔墨记录了竿上舞者在两根竿之间凌空飞换的动作，较之北魏文献中仅以“缘橦”二字概括的写法，描写的精细程度已有明显提升。</w:t>
      </w:r>
    </w:p>
    <w:p w14:paraId="536B109B"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4CDA0DE8"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14:paraId="12D88F5A" w14:textId="77777777" w:rsidR="00367BFF" w:rsidRPr="00367BFF" w:rsidRDefault="00367BFF" w:rsidP="00367BFF">
      <w:pPr>
        <w:spacing w:line="400" w:lineRule="exact"/>
        <w:ind w:firstLine="480"/>
      </w:pPr>
      <w:r w:rsidRPr="00367BFF">
        <w:rPr>
          <w:rFonts w:ascii="宋体" w:hAnsi="宋体"/>
          <w:sz w:val="24"/>
        </w:rPr>
        <w:t>《教坊记》中关于小儿竿技的一段记述，更是将盛唐杂技记载的细致程度推到了一个新的高度：</w:t>
      </w:r>
      <w:r>
        <w:rPr>
          <w:rStyle w:val="a30"/>
        </w:rPr>
        <w:footnoteReference w:id="9"/>
      </w:r>
    </w:p>
    <w:p w14:paraId="34666B4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6D7A9AD5"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w:t>
      </w:r>
      <w:r>
        <w:rPr>
          <w:rFonts w:ascii="宋体" w:hAnsi="宋体"/>
          <w:sz w:val="24"/>
        </w:rPr>
        <w:t>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sz w:val="24"/>
          <w:color w:val="FF0000"/>
        </w:rPr>
        <w:t xml:space="preserve">这种带有明确写作构思与情感引导的记述表明，盛唐时期的杂技书写已深刻介入了观演双方的心理互动，从单纯的制度性记录蜕变为兼具文学性与现场感的叙事。</w:t>
      </w:r>
    </w:p>
    <w:p w14:paraId="7F77667B"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770EAA35"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322EF98C"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559DA0D9" w14:textId="77777777" w:rsidR="00367BFF" w:rsidRPr="00367BFF" w:rsidRDefault="00367BFF" w:rsidP="00367BFF">
      <w:pPr>
        <w:spacing w:line="400" w:lineRule="exact"/>
        <w:ind w:firstLine="480"/>
      </w:pPr>
      <w:r w:rsidRPr="00367BFF">
        <w:rPr>
          <w:rFonts w:ascii="楷体" w:eastAsia="楷体" w:hAnsi="楷体"/>
          <w:color w:val="FF0000"/>
          <w:sz w:val="24"/>
        </w:rPr>
        <w:t>（二）国家衰落与杂技书写的情感转向</w:t>
      </w:r>
    </w:p>
    <w:p w14:paraId="1B3086FE"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2B48E7C9"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01204F15"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w:t>
      </w:r>
      <w:r>
        <w:rPr>
          <w:rFonts w:ascii="宋体" w:hAnsi="宋体"/>
          <w:sz w:val="24"/>
        </w:rPr>
        <w:lastRenderedPageBreak/>
        <w:t>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p>
    <w:p w14:paraId="77D6782F"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236FE5E"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2DC6E9F6"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33F1" w14:textId="77777777" w:rsidR="00413BB5" w:rsidRDefault="00413BB5" w:rsidP="00C86BBE">
      <w:r>
        <w:separator/>
      </w:r>
    </w:p>
  </w:endnote>
  <w:endnote w:type="continuationSeparator" w:id="0">
    <w:p w14:paraId="5A5ECE0D" w14:textId="77777777" w:rsidR="00413BB5" w:rsidRDefault="00413BB5"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FC57" w14:textId="77777777" w:rsidR="00413BB5" w:rsidRDefault="00413BB5" w:rsidP="00C86BBE">
      <w:r>
        <w:separator/>
      </w:r>
    </w:p>
  </w:footnote>
  <w:footnote w:type="continuationSeparator" w:id="0">
    <w:p w14:paraId="42E22768" w14:textId="77777777" w:rsidR="00413BB5" w:rsidRDefault="00413BB5" w:rsidP="00C86BBE">
      <w:r>
        <w:continuationSeparator/>
      </w:r>
    </w:p>
  </w:footnote>
  <w:footnote w:id="1">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4812</Words>
  <Characters>4813</Characters>
  <Application>Microsoft Office Word</Application>
  <DocSecurity>0</DocSecurity>
  <PresentationFormat/>
  <Lines>160</Lines>
  <Paragraphs>68</Paragraphs>
  <Slides>0</Slides>
  <Notes>0</Notes>
  <HiddenSlides>0</HiddenSlides>
  <MMClips>0</MMClips>
  <ScaleCrop>false</ScaleCrop>
  <Manager/>
  <Company/>
  <LinksUpToDate>false</LinksUpToDate>
  <CharactersWithSpaces>9557</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6</cp:revision>
  <dcterms:created xsi:type="dcterms:W3CDTF">2026-02-25T16:01:00Z</dcterms:created>
  <dcterms:modified xsi:type="dcterms:W3CDTF">2026-02-28T15:46:00Z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