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B371B" w14:textId="77777777" w:rsidR="005849FD" w:rsidRDefault="005849FD" w:rsidP="002A3D45">
      <w:pPr>
        <w:pStyle w:val="2"/>
        <w:keepNext w:val="0"/>
        <w:keepLines w:val="0"/>
      </w:pPr>
      <w:bookmarkStart w:id="0" w:name="_Toc221654618"/>
      <w:bookmarkStart w:id="1" w:name="_Toc222956372"/>
      <w:r>
        <w:t>第二节 杂技的历史书写</w:t>
      </w:r>
      <w:bookmarkEnd w:id="0"/>
      <w:bookmarkEnd w:id="1"/>
    </w:p>
    <w:p w14:paraId="0EDE0272" w14:textId="77777777" w:rsidR="005849FD" w:rsidRDefault="005849FD" w:rsidP="002A3D45">
      <w:pPr>
        <w:spacing w:line="400" w:lineRule="exact"/>
        <w:ind w:firstLine="480"/>
      </w:pPr>
      <w:r>
        <w:rPr>
          <w:rFonts w:ascii="宋体" w:hAnsi="宋体"/>
          <w:sz w:val="24"/>
        </w:rPr>
        <w:t>杂技类百戏的历史书写，从汉代的制度性记录到隋唐的繁盛记载，呈现出由简到繁、从附属到专题的演变轨迹。</w:t>
      </w:r>
    </w:p>
    <w:p>
      <w:pPr>
        <w:spacing w:line="400" w:lineRule="exact"/>
        <w:ind w:firstLine="480"/>
      </w:pPr>
      <w:r>
        <w:rPr>
          <w:rFonts w:ascii="宋体" w:hAnsi="宋体"/>
          <w:sz w:val="24"/>
          <w:color w:val="FF0000"/>
        </w:rPr>
        <w:t>秦汉文献中常将“角抵”与“百戏”混用或并提。随着演艺形态的发展，汉代以后“角抵”范畴逐渐内缩，单指力量相较的竞技；而“百戏”则由最初的数量修饰词，演变为涵盖杂技、幻术、动物戏等综合性演出的总称。《隋书·音乐志》将百戏定性为“秦角抵之流”，这种名实的消长与界定，本身即构成了历代乐志书写的重要线索。</w:t>
      </w:r>
      <w:r>
        <w:rPr>
          <w:rStyle w:val="a30"/>
        </w:rPr>
        <w:footnoteReference w:id="12"/>
      </w:r>
    </w:p>
    <w:p w14:paraId="761077A6" w14:textId="77777777" w:rsidR="005849FD" w:rsidRDefault="005849FD" w:rsidP="002A3D45">
      <w:pPr>
        <w:spacing w:before="140" w:after="140"/>
        <w:rPr>
          <w:rFonts w:ascii="黑体" w:eastAsia="黑体" w:hAnsi="黑体"/>
          <w:color w:val="000000"/>
          <w:sz w:val="28"/>
          <w:szCs w:val="28"/>
        </w:rPr>
      </w:pPr>
      <w:r>
        <w:rPr>
          <w:rFonts w:ascii="黑体" w:eastAsia="黑体" w:hAnsi="黑体"/>
          <w:color w:val="000000"/>
          <w:sz w:val="28"/>
          <w:szCs w:val="28"/>
        </w:rPr>
        <w:t>一、正史中的杂技记载</w:t>
      </w:r>
    </w:p>
    <w:p w14:paraId="594B4392" w14:textId="77777777" w:rsidR="00367BFF" w:rsidRPr="00367BFF" w:rsidRDefault="00367BFF" w:rsidP="00367BFF">
      <w:pPr>
        <w:spacing w:before="140" w:after="140"/>
      </w:pPr>
      <w:r w:rsidRPr="00367BFF">
        <w:rPr>
          <w:rFonts w:ascii="黑体" w:eastAsia="黑体" w:hAnsi="黑体"/>
          <w:color w:val="000000"/>
          <w:sz w:val="28"/>
          <w:szCs w:val="28"/>
        </w:rPr>
        <w:t>一、汉代：杂技的制度化书写</w:t>
      </w:r>
    </w:p>
    <w:p w14:paraId="376C2822" w14:textId="77777777" w:rsidR="00367BFF" w:rsidRPr="00367BFF" w:rsidRDefault="00367BFF" w:rsidP="00367BFF">
      <w:pPr>
        <w:spacing w:line="400" w:lineRule="exact"/>
        <w:ind w:firstLine="480"/>
      </w:pPr>
      <w:r w:rsidRPr="00367BFF">
        <w:rPr>
          <w:rFonts w:ascii="宋体" w:hAnsi="宋体"/>
          <w:sz w:val="24"/>
        </w:rPr>
        <w:t>汉代是中国杂技制度化发展的肇始阶段。这一时期，杂技的相关记载散见于正史纪传、注疏及政书之中，从未以独立篇章的形式出现，而是附着于朝贡往来、宫廷宴飨、朝会仪典等政治事件的记录之中。这一文献现象本身即具有重要的认识价值：它既说明杂技在时人的知识分类体系中尚未获得自足的门类地位，也表明彼时书写者关注的并非技艺本身，而是技艺在特定政治情境中被展演这一事实及其所承载的礼仪与外交功能。与后世魏晋南北朝禁而不止的矛盾性记载、隋唐全景铺陈式的盛况描写不同，汉代杂技的书写始终围绕国家礼仪与对外交流两条线索展开，呈现出鲜明的制度化特征。</w:t>
      </w:r>
    </w:p>
    <w:p w14:paraId="4E718D0F" w14:textId="77777777" w:rsidR="00367BFF" w:rsidRPr="00367BFF" w:rsidRDefault="00367BFF" w:rsidP="00367BFF">
      <w:pPr>
        <w:spacing w:line="400" w:lineRule="exact"/>
        <w:ind w:firstLine="480"/>
      </w:pPr>
      <w:r w:rsidRPr="00367BFF">
        <w:rPr>
          <w:rFonts w:ascii="楷体" w:eastAsia="楷体" w:hAnsi="楷体"/>
          <w:color w:val="FF0000"/>
          <w:sz w:val="24"/>
        </w:rPr>
        <w:t>（一）政治仪轨与杂技书写的依附性</w:t>
      </w:r>
    </w:p>
    <w:p w14:paraId="753D6937" w14:textId="77777777" w:rsidR="00367BFF" w:rsidRPr="00367BFF" w:rsidRDefault="00367BFF" w:rsidP="00367BFF">
      <w:pPr>
        <w:spacing w:line="400" w:lineRule="exact"/>
        <w:ind w:firstLine="480"/>
      </w:pPr>
      <w:r w:rsidRPr="00367BFF">
        <w:rPr>
          <w:rFonts w:ascii="宋体" w:hAnsi="宋体"/>
          <w:sz w:val="24"/>
        </w:rPr>
        <w:t>汉代正史中的杂技记载，几乎无一例外地依附于某一政治事件或礼仪场合。史家提及杂技百戏，从来不是为了记录技艺的精妙，而是将其作为评判帝王贤愚、标识国政盛衰的一个侧面。</w:t>
      </w:r>
    </w:p>
    <w:p w14:paraId="501B5D85" w14:textId="77777777" w:rsidR="00367BFF" w:rsidRPr="00367BFF" w:rsidRDefault="00367BFF" w:rsidP="00367BFF">
      <w:pPr>
        <w:spacing w:line="400" w:lineRule="exact"/>
        <w:ind w:firstLine="480"/>
      </w:pPr>
      <w:r>
        <w:rPr>
          <w:rFonts w:ascii="宋体" w:hAnsi="宋体"/>
          <w:sz w:val="24"/>
        </w:rPr>
        <w:t>《史记·李斯列传》载秦二世“居甘泉宫，方作觳抵优俳之观”，是较早将杂技纳入正史的记录。细审文脉可知，此条记载的叙事重心并非觳抵表演的具体内容。太史公不曾描摹任何技艺细节，其着意之处在于以秦二世沉溺声色的行为，映衬其荒于朝政、终至亡国的结局。杂技在此仅充当政治评价的注脚，是正史“借艺言政”笔法的早期范例。</w:t>
      </w:r>
      <w:r>
        <w:rPr>
          <w:rStyle w:val="a30"/>
        </w:rPr>
        <w:footnoteReference w:id="1"/>
      </w:r>
    </w:p>
    <w:p w14:paraId="4E01B206" w14:textId="77777777" w:rsidR="00367BFF" w:rsidRPr="00367BFF" w:rsidRDefault="00367BFF" w:rsidP="00367BFF">
      <w:pPr>
        <w:spacing w:line="400" w:lineRule="exact"/>
        <w:ind w:firstLine="480"/>
      </w:pPr>
      <w:r>
        <w:rPr>
          <w:rFonts w:ascii="宋体" w:hAnsi="宋体"/>
          <w:sz w:val="24"/>
        </w:rPr>
        <w:t>至《汉书》，百戏的相关记载明显增多，但这种依附性并未改变，反而更加鲜明。汉武帝以降，大一统王朝日趋稳固，宫廷朝贺与宴飨活动成为彰显国力、接待外邦的重要场合，杂技作为百戏之核心内容被纳入其中。《汉书》对这些场景的记录，本质上是对礼乐制度与政治秩序的文本建构：史家之所以提及百戏，是因为它构成了朝会仪程的实际环节；记百戏即记礼仪，记礼仪即记制度。杂技的技艺本身并非书写重心，其作为国家仪典组成部分的制度功能，才是史家措意所在。</w:t>
      </w:r>
    </w:p>
    <w:p w14:paraId="48EBE0BC" w14:textId="77777777" w:rsidR="00367BFF" w:rsidRPr="00367BFF" w:rsidRDefault="00367BFF" w:rsidP="00367BFF">
      <w:pPr>
        <w:spacing w:line="400" w:lineRule="exact"/>
        <w:ind w:firstLine="480"/>
      </w:pPr>
      <w:r w:rsidRPr="00367BFF">
        <w:rPr>
          <w:rFonts w:ascii="楷体" w:eastAsia="楷体" w:hAnsi="楷体"/>
          <w:color w:val="FF0000"/>
          <w:sz w:val="24"/>
        </w:rPr>
        <w:t>（二）朝贡语境与域外技艺的政治化书写</w:t>
      </w:r>
    </w:p>
    <w:p w14:paraId="1C1975F3" w14:textId="77777777" w:rsidR="00367BFF" w:rsidRPr="00367BFF" w:rsidRDefault="00367BFF" w:rsidP="00367BFF">
      <w:pPr>
        <w:spacing w:line="400" w:lineRule="exact"/>
        <w:ind w:firstLine="480"/>
      </w:pPr>
      <w:r>
        <w:rPr>
          <w:rFonts w:ascii="宋体" w:hAnsi="宋体"/>
          <w:sz w:val="24"/>
        </w:rPr>
        <w:t>汉代杂技书写的另一突出面向，是对域外技艺的记载。丝绸之路开通之后，西域及更远地区的杂技幻术经由朝贡渠道传入中原，相关信息被正史与注疏文献所保存，使得汉代杂技书写呈现出中外并存的格局。这在后世文献中并不多见。魏晋以降的记载多以本土技艺为主，汉代文献中域外技艺的频繁出现则折射出丝路初辟之际中原王朝对异域文化既惊异又包容的态度。</w:t>
      </w:r>
    </w:p>
    <w:p w14:paraId="6D53DC48" w14:textId="77777777" w:rsidR="00367BFF" w:rsidRPr="00367BFF" w:rsidRDefault="00367BFF" w:rsidP="00367BFF">
      <w:pPr>
        <w:spacing w:line="400" w:lineRule="exact"/>
        <w:ind w:firstLine="480"/>
      </w:pPr>
      <w:r w:rsidRPr="00367BFF">
        <w:rPr>
          <w:rFonts w:ascii="宋体" w:hAnsi="宋体"/>
          <w:sz w:val="24"/>
        </w:rPr>
        <w:t>《后汉书·西域传》注引鱼豢《魏略》云：</w:t>
      </w:r>
    </w:p>
    <w:p w14:paraId="5D9A4934" w14:textId="77777777" w:rsidR="00367BFF" w:rsidRPr="00367BFF" w:rsidRDefault="00367BFF" w:rsidP="00367BFF">
      <w:pPr>
        <w:spacing w:line="400" w:lineRule="exact"/>
        <w:ind w:firstLine="480"/>
      </w:pPr>
      <w:r w:rsidRPr="00367BFF">
        <w:rPr>
          <w:rFonts w:ascii="楷体" w:eastAsia="楷体" w:hAnsi="楷体"/>
          <w:sz w:val="24"/>
        </w:rPr>
        <w:t>“大秦国俗多奇幻，口中吐火，自缚自解，跳十二丸，巧妙非常。”</w:t>
      </w:r>
    </w:p>
    <w:p w14:paraId="61DA3C25" w14:textId="77777777" w:rsidR="00367BFF" w:rsidRPr="00367BFF" w:rsidRDefault="00367BFF" w:rsidP="00367BFF">
      <w:pPr>
        <w:spacing w:line="400" w:lineRule="exact"/>
        <w:ind w:firstLine="480"/>
      </w:pPr>
      <w:r w:rsidRPr="00367BFF">
        <w:rPr>
          <w:rFonts w:ascii="宋体" w:hAnsi="宋体"/>
          <w:sz w:val="24"/>
        </w:rPr>
        <w:t>此条虽出自三国人鱼豢之手，所述却是汉代已有流传的域外技艺。“奇幻”“巧妙”的措辞，体现了中原人对这类技艺的基本认知。而《后汉书·南蛮·西南夷列传第七十六》则提供了更为完整的史实：</w:t>
      </w:r>
    </w:p>
    <w:p w14:paraId="628EDE26" w14:textId="77777777" w:rsidR="00367BFF" w:rsidRPr="00367BFF" w:rsidRDefault="00367BFF" w:rsidP="00367BFF">
      <w:pPr>
        <w:spacing w:line="400" w:lineRule="exact"/>
        <w:ind w:firstLine="480"/>
      </w:pPr>
      <w:r w:rsidRPr="00367BFF">
        <w:rPr>
          <w:rFonts w:ascii="楷体" w:eastAsia="楷体" w:hAnsi="楷体"/>
          <w:sz w:val="24"/>
        </w:rPr>
        <w:t>永宁元年，掸国王雍由调复遣使者诣阙朝贺，献乐及幻人，能变化吐火，自支解，易牛马头。又善跳丸，数乃至千。自言我海西人。海西即大秦也，掸国西南通大秦。明年元会，安帝作乐于庭，封雍由调为汉大都尉，赐印绶、金银、彩缯各有差也。</w:t>
      </w:r>
    </w:p>
    <w:p w14:paraId="31A18114" w14:textId="77777777" w:rsidR="00367BFF" w:rsidRPr="00367BFF" w:rsidRDefault="00367BFF" w:rsidP="00367BFF">
      <w:pPr>
        <w:spacing w:line="400" w:lineRule="exact"/>
        <w:ind w:firstLine="480"/>
      </w:pPr>
      <w:r>
        <w:rPr>
          <w:rFonts w:ascii="宋体" w:hAnsi="宋体"/>
          <w:sz w:val="24"/>
        </w:rPr>
        <w:t>两处记载可以互证：掸国使者所献的吐火、自支解、跳丸等技艺，系经由西域辗转传入的域外杂技。值得注意的是，《后汉书》这段记载的叙事结构并非单纯罗列技艺，而是将幻术表演与掸国朝贡、安帝元会作乐、封赏赐印等政治事件编织为一体。“自言我海西人。海西即大秦也，掸国西南通大秦”，史家特意交代幻人的身份来源与地理路线，为这批域外技艺标注了空间坐标；“明年元会，安帝作乐于庭”则说明掸国所献幻人已被纳入次年元旦朝会的演出仪程，其在宫廷中的地位由此可见。</w:t>
      </w:r>
    </w:p>
    <w:p w14:paraId="39D820BA" w14:textId="77777777" w:rsidR="00367BFF" w:rsidRPr="00367BFF" w:rsidRDefault="00367BFF" w:rsidP="00367BFF">
      <w:pPr>
        <w:spacing w:line="400" w:lineRule="exact"/>
        <w:ind w:firstLine="480"/>
      </w:pPr>
      <w:r w:rsidRPr="00367BFF">
        <w:rPr>
          <w:rFonts w:ascii="宋体" w:hAnsi="宋体"/>
          <w:sz w:val="24"/>
        </w:rPr>
        <w:t>换言之，域外杂技在正史中并非作为奇闻逸事被记录，而是被置于朝贡与外交的叙事框架之下。幻人技艺越是“奇幻”“巧妙”，便越能衬托汉王朝吸引远方、威服殊俗的文化辐射力。这种将域外文化元素编入官方叙事的做法，既保存了杂技东传的具体史实，客观上也成为汉代大一统格局与对外开放态势的文本印记。</w:t>
      </w:r>
    </w:p>
    <w:p w14:paraId="5E41A7BB" w14:textId="77777777" w:rsidR="00367BFF" w:rsidRPr="00367BFF" w:rsidRDefault="00367BFF" w:rsidP="00367BFF">
      <w:pPr>
        <w:spacing w:line="400" w:lineRule="exact"/>
        <w:ind w:firstLine="480"/>
      </w:pPr>
      <w:r w:rsidRPr="00367BFF">
        <w:rPr>
          <w:rFonts w:ascii="楷体" w:eastAsia="楷体" w:hAnsi="楷体"/>
          <w:color w:val="FF0000"/>
          <w:sz w:val="24"/>
        </w:rPr>
        <w:t>（三）宴享空间与仪典百戏的实录性记录</w:t>
      </w:r>
    </w:p>
    <w:p w14:paraId="17CC8D79" w14:textId="77777777" w:rsidR="00367BFF" w:rsidRPr="00367BFF" w:rsidRDefault="00367BFF" w:rsidP="00367BFF">
      <w:pPr>
        <w:spacing w:line="400" w:lineRule="exact"/>
        <w:ind w:firstLine="480"/>
      </w:pPr>
      <w:r w:rsidRPr="00367BFF">
        <w:rPr>
          <w:rFonts w:ascii="宋体" w:hAnsi="宋体"/>
          <w:sz w:val="24"/>
        </w:rPr>
        <w:t>除正史纪传中的片段记载外，汉代亦有部分文献对宫廷百戏的仪典场景和具体技艺留下了较为详尽的记录，其叙述之完整、细节之具体，远超一般纪传中的寥寥数语，为后人复原汉代百戏演出的实况提供了重要依据。</w:t>
      </w:r>
    </w:p>
    <w:p w14:paraId="71829465" w14:textId="77777777" w:rsidR="00367BFF" w:rsidRPr="00367BFF" w:rsidRDefault="00367BFF" w:rsidP="00367BFF">
      <w:pPr>
        <w:spacing w:line="400" w:lineRule="exact"/>
        <w:ind w:firstLine="480"/>
      </w:pPr>
      <w:r w:rsidRPr="00367BFF">
        <w:rPr>
          <w:rFonts w:ascii="宋体" w:hAnsi="宋体"/>
          <w:sz w:val="24"/>
        </w:rPr>
        <w:t>以高絙（走绳）技艺为例，《文献通考》引蔡质《汉官典仪》载东汉正月朝贺大典的百戏演出：</w:t>
      </w:r>
    </w:p>
    <w:p w14:paraId="14858DA2" w14:textId="77777777" w:rsidR="00367BFF" w:rsidRPr="00367BFF" w:rsidRDefault="00367BFF" w:rsidP="00367BFF">
      <w:pPr>
        <w:spacing w:line="400" w:lineRule="exact"/>
        <w:ind w:firstLine="480"/>
      </w:pPr>
      <w:r w:rsidRPr="00367BFF">
        <w:rPr>
          <w:rFonts w:ascii="楷体" w:eastAsia="楷体" w:hAnsi="楷体"/>
          <w:sz w:val="24"/>
        </w:rPr>
        <w:lastRenderedPageBreak/>
        <w:t>正月旦，天子幸德阳殿，临轩。公、卿、将、大夫、百官各陪位朝贺。……舍利兽从西方来，戏于庭极，乃毕入殿前，激水化为比目鱼，跳跃嗽水，作雾障日。毕，化成黄龙，长八丈，出水遨戏于庭，炫耀日光。以两大丝绳系两柱间，相去数丈。两倡女对舞，行于绳上，对面道逢，切肩不倾。</w:t>
      </w:r>
    </w:p>
    <w:p w14:paraId="5F567B24" w14:textId="77777777" w:rsidR="00367BFF" w:rsidRPr="00367BFF" w:rsidRDefault="00367BFF" w:rsidP="00367BFF">
      <w:pPr>
        <w:spacing w:line="400" w:lineRule="exact"/>
        <w:ind w:firstLine="480"/>
      </w:pPr>
      <w:r>
        <w:rPr>
          <w:rFonts w:ascii="宋体" w:hAnsi="宋体"/>
          <w:sz w:val="24"/>
        </w:rPr>
        <w:t>这段文献的价值在于它完整呈现了一次正月朝贺中百戏演出的先后流程：自天子临轩、百官朝贺起，依次为舍利兽戏、激水化鱼、黄龙出水等大型鱼龙变幻之戏，最后以高絙走索收束。就技艺细节而言，“以两大丝绳系两柱间，相去数丈”交代了道具布设与空间规模；“两倡女对舞，行于绳上”点明表演者为女性，且系双人对舞而非单人独技；“对面道逢，切肩不倾”八字尤为传神，两位女伎在悬空绳索上迎面而行，交错时肩臂几乎相触而不失平衡，技艺之精与配合之默契，一览无余。</w:t>
      </w:r>
    </w:p>
    <w:p w14:paraId="20AB6BAC" w14:textId="77777777" w:rsidR="00367BFF" w:rsidRPr="00367BFF" w:rsidRDefault="00367BFF" w:rsidP="00367BFF">
      <w:pPr>
        <w:spacing w:line="400" w:lineRule="exact"/>
        <w:ind w:firstLine="480"/>
      </w:pPr>
      <w:r>
        <w:rPr>
          <w:rFonts w:ascii="宋体" w:hAnsi="宋体"/>
          <w:sz w:val="24"/>
        </w:rPr>
        <w:t>更需指出的是，高絙在此并非孤立的技艺展示，而是整套朝贺百戏中的一个环节。其前有舍利兽戏铺垫，继以鱼龙变幻营造奇观，高絙压轴则将观赏性推至顶点，其后当接天子封赏之礼收束全程。史家之所以不厌其详地记录每一节目的先后与内容，不是出于对技艺本身的赏鉴兴趣，而是因为这些演出构成了国家朝贺仪程的实际内容；记百戏即记仪典，记仪典即记制度。这正是汉代杂技书写的根本特征：技艺始终被置于礼仪制度的框架之内加以叙述，其被书写的理由，在于它是王朝政治秩序与文化气象的一个组成部分。</w:t>
      </w:r>
    </w:p>
    <w:p>
      <w:pPr>
        <w:spacing w:line="400" w:lineRule="exact"/>
        <w:ind w:firstLine="480"/>
      </w:pPr>
      <w:r>
        <w:rPr>
          <w:rFonts w:ascii="宋体" w:hAnsi="宋体"/>
          <w:sz w:val="24"/>
          <w:color w:val="FF0000"/>
        </w:rPr>
        <w:t>百戏作为以视觉为主的宴乐演出，其强烈的观赏性不仅契合了汉代帝国夸示国力、营造奇观的需要，也促使文献书写产生了一种“视觉化趋向”：从汉赋的辞藻铺陈，转向对尺寸、空间与动作细节的实录性记载。除文字文献外，汉画像石、壁画、陶俑等图像与实物遗存亦构成了平行的“图像书写”。乐舞百戏图是汉画像石的常见主题，常与宴饮、庖厨图同列，以直观的视觉面貌填补了文字记录在展演空间与使用范围上的留白，二者形成了互证互补的关系。</w:t>
      </w:r>
      <w:r>
        <w:rPr>
          <w:rStyle w:val="a30"/>
        </w:rPr>
        <w:footnoteReference w:id="13"/>
      </w:r>
    </w:p>
    <w:p>
      <w:pPr>
        <w:spacing w:line="400" w:lineRule="exact"/>
        <w:ind w:firstLine="480"/>
      </w:pPr>
      <w:r>
        <w:rPr>
          <w:rFonts w:ascii="宋体" w:hAnsi="宋体"/>
          <w:sz w:val="24"/>
          <w:color w:val="FF0000"/>
        </w:rPr>
        <w:t xml:space="preserve">汉代宴享用乐在制度上常归入“黄门鼓吹”或“散乐”名下，百戏作为散乐之一，在司马彪《续汉书·礼乐志》刘昭注引蔡质《汉仪》中即以“九宾散乐”之名与朝会仪程同载，所述舍利兽、鱼龙、高絙等节目与《汉官典仪》所记正月朝贺百戏相印证，共同构成汉代朝会宴享中百戏的仪式性书写。</w:t>
      </w:r>
      <w:r>
        <w:rPr>
          <w:rStyle w:val="a30"/>
        </w:rPr>
        <w:footnoteReference w:id="14"/>
      </w:r>
    </w:p>
    <w:p w14:paraId="6B4E6878" w14:textId="77777777" w:rsidR="00367BFF" w:rsidRPr="00367BFF" w:rsidRDefault="00367BFF" w:rsidP="00367BFF">
      <w:pPr>
        <w:spacing w:before="140" w:after="140"/>
      </w:pPr>
      <w:r w:rsidRPr="00367BFF">
        <w:rPr>
          <w:rFonts w:ascii="黑体" w:eastAsia="黑体" w:hAnsi="黑体"/>
          <w:color w:val="000000"/>
          <w:sz w:val="28"/>
          <w:szCs w:val="28"/>
        </w:rPr>
        <w:t>二、魏晋南北朝：杂技的禁断与承续</w:t>
      </w:r>
    </w:p>
    <w:p w14:paraId="3A0AAC45" w14:textId="77777777" w:rsidR="00367BFF" w:rsidRPr="00367BFF" w:rsidRDefault="00367BFF" w:rsidP="00367BFF">
      <w:pPr>
        <w:spacing w:line="400" w:lineRule="exact"/>
        <w:ind w:firstLine="480"/>
      </w:pPr>
      <w:r w:rsidRPr="00367BFF">
        <w:rPr>
          <w:rFonts w:ascii="宋体" w:hAnsi="宋体"/>
          <w:sz w:val="24"/>
        </w:rPr>
        <w:t>魏晋南北朝是杂技书写发生明显转变的时期。与汉代将百戏统摄于朝贺仪典的整体性叙述不同，这一阶段的文献记载呈现出内在的紧张：一方面，禁断百戏的诏令屡见于正史帝纪；另一方面，宫廷演出的实况描写却不绝于书。这种矛盾性记载本身即构成该时段杂技书写的显著特征，折射出百戏在礼乐秩序与宫廷娱乐之间的暧昧位置。与此同时，拓跋鲜卑入主中原后对百戏的制度性接纳，以及南朝帝王亲习杂技的个案，又为这一时期的书写增添了新的面向。</w:t>
      </w:r>
    </w:p>
    <w:p w14:paraId="29AEE240" w14:textId="77777777" w:rsidR="00367BFF" w:rsidRPr="00367BFF" w:rsidRDefault="00367BFF" w:rsidP="00367BFF">
      <w:pPr>
        <w:spacing w:line="400" w:lineRule="exact"/>
        <w:ind w:firstLine="480"/>
      </w:pPr>
      <w:r w:rsidRPr="00367BFF">
        <w:rPr>
          <w:rFonts w:ascii="楷体" w:eastAsia="楷体" w:hAnsi="楷体"/>
          <w:color w:val="FF0000"/>
          <w:sz w:val="24"/>
        </w:rPr>
        <w:t>（一）官署乐制与百戏的制度化接纳</w:t>
      </w:r>
    </w:p>
    <w:p w14:paraId="352A78CF" w14:textId="77777777" w:rsidR="00367BFF" w:rsidRPr="00367BFF" w:rsidRDefault="00367BFF" w:rsidP="00367BFF">
      <w:pPr>
        <w:spacing w:line="400" w:lineRule="exact"/>
        <w:ind w:firstLine="480"/>
      </w:pPr>
      <w:r w:rsidRPr="00367BFF">
        <w:rPr>
          <w:rFonts w:ascii="宋体" w:hAnsi="宋体"/>
          <w:sz w:val="24"/>
        </w:rPr>
        <w:t>北魏一朝对杂技百戏的制度化管理，在延续汉晋格局的基础上有所拓展。《魏书·乐志》载：</w:t>
      </w:r>
      <w:r>
        <w:rPr>
          <w:rStyle w:val="a30"/>
        </w:rPr>
        <w:footnoteReference w:id="2"/>
      </w:r>
    </w:p>
    <w:p w14:paraId="1AF7CF9D" w14:textId="77777777" w:rsidR="00367BFF" w:rsidRPr="00367BFF" w:rsidRDefault="00367BFF" w:rsidP="00367BFF">
      <w:pPr>
        <w:spacing w:line="400" w:lineRule="exact"/>
        <w:ind w:firstLine="480"/>
      </w:pPr>
      <w:r w:rsidRPr="00367BFF">
        <w:rPr>
          <w:rFonts w:ascii="楷体" w:eastAsia="楷体" w:hAnsi="楷体"/>
          <w:sz w:val="24"/>
        </w:rPr>
        <w:t>六年冬，诏太乐、总章、鼓吹增修杂伎，造五兵、角抵、麒麟、凤凰、仙人、长蛇、白象、白虎及诸畏兽、鱼龙、辟邪、鹿马仙车、高絙百尺、长跷、缘橦、跳丸、五案以备百戏。大飨设之于殿庭，如汉晋之旧也。太宗初，又增修之，撰合大曲，更为钟鼓之节。</w:t>
      </w:r>
    </w:p>
    <w:p w14:paraId="6B18D770" w14:textId="77777777" w:rsidR="00367BFF" w:rsidRPr="00367BFF" w:rsidRDefault="00367BFF" w:rsidP="00367BFF">
      <w:pPr>
        <w:spacing w:line="400" w:lineRule="exact"/>
        <w:ind w:firstLine="480"/>
      </w:pPr>
      <w:r w:rsidRPr="00367BFF">
        <w:rPr>
          <w:rFonts w:ascii="宋体" w:hAnsi="宋体"/>
          <w:sz w:val="24"/>
        </w:rPr>
        <w:lastRenderedPageBreak/>
        <w:t>天兴六年（403），道武帝拓跋珪诏令太乐、总章、鼓吹三署增修杂伎，这条记载包含三层值得深入辨析的信息。</w:t>
      </w:r>
    </w:p>
    <w:p w14:paraId="352927CE" w14:textId="77777777" w:rsidR="00367BFF" w:rsidRPr="00367BFF" w:rsidRDefault="00367BFF" w:rsidP="00367BFF">
      <w:pPr>
        <w:spacing w:line="400" w:lineRule="exact"/>
        <w:ind w:firstLine="480"/>
      </w:pPr>
      <w:r w:rsidRPr="00367BFF">
        <w:rPr>
          <w:rFonts w:ascii="宋体" w:hAnsi="宋体"/>
          <w:sz w:val="24"/>
        </w:rPr>
        <w:t>首先，从管理归属来看，承担此次增修任务的太乐、总章、鼓吹三署均为北魏朝廷掌管乐舞的正式职能机构。杂技百戏被纳入其职掌范围，表明它并非游离于国家仪典之外的散漫娱乐，而是以官方行政力量加以组织和维系的制度性安排。过往学界在讨论北魏宫廷乐署时，往往侧重其在雅乐恢复方面的努力，但从这条材料来看，乐署的实际职能远不限于此，杂技百戏同样在其运作范围之内。天平二年（535），皇帝又特命时任尚书右仆射、营构大将的高隆之“缮治三署乐器、衣服及百戏之属”，朝廷不惜动用高级行政官员来专门修缮百戏器具与服饰，进一步印证了百戏在北魏宫廷仪典体系中的实际分量。百戏在传统礼乐话语中长期被视作“俳优鄙艺”，其制度地位与它所获得的实际待遇之间的落差，折射出拓跋鲜卑统治者对宫廷娱乐的态度：尽管政治制度层面积极推进汉化、尊崇雅乐，但在娱乐实践中并不以华夏儒者的雅俗判分为约束，对民间俗曲百戏始终保持开放与接纳的姿态。</w:t>
      </w:r>
    </w:p>
    <w:p w14:paraId="2E9B9F38" w14:textId="77777777" w:rsidR="00367BFF" w:rsidRPr="00367BFF" w:rsidRDefault="00367BFF" w:rsidP="00367BFF">
      <w:pPr>
        <w:spacing w:line="400" w:lineRule="exact"/>
        <w:ind w:firstLine="480"/>
      </w:pPr>
      <w:r w:rsidRPr="00367BFF">
        <w:rPr>
          <w:rFonts w:ascii="宋体" w:hAnsi="宋体"/>
          <w:sz w:val="24"/>
        </w:rPr>
        <w:t>其次，从节目内容来看，诏令所列名目在前代基础上有显著的扩充与新创。如“五兵”一目，所指为传说中蚩尤所创之戈、矛、戟、酋矛、夷矛五种兵器类表演，文中明确以“造”字冠之，当系此次新增之节目，而非对旧有项目的简单沿袭。傅起凤、傅腾龙在《中国杂技史》中据此推测“五兵角抵”属于以兵器为道具的技艺表演，结合汉代画像石中已经出现的弄丸弄剑图像来看，兵器入百戏并非毫无渊源，北魏将其正式列入诏令，更可能是在既有民间传统基础上加以提炼和规范化的结果。</w:t>
      </w:r>
    </w:p>
    <w:p w14:paraId="36D456C6" w14:textId="77777777" w:rsidR="00367BFF" w:rsidRPr="00367BFF" w:rsidRDefault="00367BFF" w:rsidP="00367BFF">
      <w:pPr>
        <w:spacing w:line="400" w:lineRule="exact"/>
        <w:ind w:firstLine="480"/>
      </w:pPr>
      <w:r w:rsidRPr="00367BFF">
        <w:rPr>
          <w:rFonts w:ascii="宋体" w:hAnsi="宋体"/>
          <w:sz w:val="24"/>
        </w:rPr>
        <w:t>再次，从体制形态来看，太宗明元帝时期“撰合大曲，更为钟鼓之节”的举措，开启了百戏与大型乐舞体制融合的新阶段。所谓“大曲”，并非单纯的器乐演奏或声乐吟唱，而是一种将歌、舞、乐融为一体的多段式综合表演结构。《乐府诗集·相和歌辞》大序所云“诸调曲皆有辞、有声，而大曲又有艳、有趋、有乱”，即揭示了大曲内部具有解、艳、趋、乱、和、送等分段衔接的乐章组织。北魏时期的大曲大体是在相和歌及清商曲的基础上衍化成型的，将杂技诸伎撰合于此种体制之中，意味着器乐演奏、歌唱、舞蹈与技艺表演在同一演出框架内实现了合流。这种多元表演形态的汇聚，客观上为后世更加成熟的综合性舞台艺术提供了重要的结构性前提，虽然其当时具体的编排程式与演出面貌已难以详考。</w:t>
      </w:r>
    </w:p>
    <w:p w14:paraId="40CA2E2F" w14:textId="77777777" w:rsidR="00367BFF" w:rsidRPr="00367BFF" w:rsidRDefault="00367BFF" w:rsidP="00367BFF">
      <w:pPr>
        <w:spacing w:line="400" w:lineRule="exact"/>
        <w:ind w:firstLine="480"/>
      </w:pPr>
      <w:r w:rsidRPr="00367BFF">
        <w:rPr>
          <w:rFonts w:ascii="楷体" w:eastAsia="楷体" w:hAnsi="楷体"/>
          <w:color w:val="FF0000"/>
          <w:sz w:val="24"/>
        </w:rPr>
        <w:t>（二）礼法禁令与宴享实践的背离书写</w:t>
      </w:r>
    </w:p>
    <w:p w14:paraId="275A888F" w14:textId="77777777" w:rsidR="00367BFF" w:rsidRPr="00367BFF" w:rsidRDefault="00367BFF" w:rsidP="00367BFF">
      <w:pPr>
        <w:spacing w:line="400" w:lineRule="exact"/>
        <w:ind w:firstLine="480"/>
      </w:pPr>
      <w:r>
        <w:rPr>
          <w:rFonts w:ascii="宋体" w:hAnsi="宋体"/>
          <w:sz w:val="24"/>
        </w:rPr>
        <w:t>如果说北魏的杂技书写侧重于制度层面的增修与规范，那么魏晋南北朝其他政权的文献则在另一个维度上展开，即禁令与实践之间的持续背离。</w:t>
      </w:r>
    </w:p>
    <w:p w14:paraId="3D899963" w14:textId="77777777" w:rsidR="00367BFF" w:rsidRPr="00367BFF" w:rsidRDefault="00367BFF" w:rsidP="00367BFF">
      <w:pPr>
        <w:spacing w:line="400" w:lineRule="exact"/>
        <w:ind w:firstLine="480"/>
      </w:pPr>
      <w:r w:rsidRPr="00367BFF">
        <w:rPr>
          <w:rFonts w:ascii="宋体" w:hAnsi="宋体"/>
          <w:sz w:val="24"/>
        </w:rPr>
        <w:lastRenderedPageBreak/>
        <w:t>《晋书·武帝纪》载，泰始元年（265）十二月，晋武帝下令禁乐府靡丽百戏之伎。然而《南齐书·乐志》所记晋代中朝元会之仪，却展示出截然不同的实况：</w:t>
      </w:r>
      <w:r>
        <w:rPr>
          <w:rStyle w:val="a30"/>
        </w:rPr>
        <w:footnoteReference w:id="3"/>
      </w:r>
      <w:r>
        <w:rPr>
          <w:rStyle w:val="a30"/>
        </w:rPr>
        <w:footnoteReference w:id="4"/>
      </w:r>
    </w:p>
    <w:p w14:paraId="1FF2D056" w14:textId="77777777" w:rsidR="00367BFF" w:rsidRPr="00367BFF" w:rsidRDefault="00367BFF" w:rsidP="00367BFF">
      <w:pPr>
        <w:spacing w:line="400" w:lineRule="exact"/>
        <w:ind w:firstLine="480"/>
      </w:pPr>
      <w:r w:rsidRPr="00367BFF">
        <w:rPr>
          <w:rFonts w:ascii="楷体" w:eastAsia="楷体" w:hAnsi="楷体"/>
          <w:sz w:val="24"/>
        </w:rPr>
        <w:t>晋代中朝元会，设卧骑、倒骑、颠骑，自东华门驰往神虎门，此亦角抵杂戏之流也。</w:t>
      </w:r>
    </w:p>
    <w:p w14:paraId="4A406341" w14:textId="77777777" w:rsidR="00367BFF" w:rsidRPr="00367BFF" w:rsidRDefault="00367BFF" w:rsidP="00367BFF">
      <w:pPr>
        <w:spacing w:line="400" w:lineRule="exact"/>
        <w:ind w:firstLine="480"/>
      </w:pPr>
      <w:r w:rsidRPr="00367BFF">
        <w:rPr>
          <w:rFonts w:ascii="宋体" w:hAnsi="宋体"/>
          <w:sz w:val="24"/>
        </w:rPr>
        <w:t>卧骑、倒骑、颠骑三项均为马上杂技，表演者须在疾驰的马背上完成仰卧、倒坐、翻转等高难度动作，而表演路线“自东华门驰往神虎门”，横贯宫城，规模不可谓不大。这些技艺被径称为“角抵杂戏之流”，与武帝所禁之“靡丽百戏”实为同类。禁令在前，元会照演在后，两条出自不同文献的记载相互照映，共同勾勒出禁断与实践之间深刻背离的面貌。禁令的措辞借助礼乐话语将百戏归入“靡丽”“淫侈”之列，以正风俗、崇节俭为由加以革除；而宫廷演出的实际延续则表明，百戏在朝会宴飨中所承担的仪典功能与娱乐价值，远非一纸诏书所能抹除。</w:t>
      </w:r>
    </w:p>
    <w:p w14:paraId="012DB520" w14:textId="77777777" w:rsidR="00367BFF" w:rsidRPr="00367BFF" w:rsidRDefault="00367BFF" w:rsidP="00367BFF">
      <w:pPr>
        <w:spacing w:line="400" w:lineRule="exact"/>
        <w:ind w:firstLine="480"/>
      </w:pPr>
      <w:r w:rsidRPr="00367BFF">
        <w:rPr>
          <w:rFonts w:ascii="宋体" w:hAnsi="宋体"/>
          <w:sz w:val="24"/>
        </w:rPr>
        <w:t>这种禁而不止的格局，在南朝帝王身上表现得更为极端。南齐末帝萧宝卷对杂技的痴迷几乎到了不顾身体的程度。他不仅日常观赏百戏，更亲身习练竿木类高难技艺。据《南史》所载：</w:t>
      </w:r>
      <w:r>
        <w:rPr>
          <w:rStyle w:val="a30"/>
        </w:rPr>
        <w:footnoteReference w:id="5"/>
      </w:r>
    </w:p>
    <w:p w14:paraId="3EA4C44F" w14:textId="77777777" w:rsidR="00367BFF" w:rsidRPr="00367BFF" w:rsidRDefault="00367BFF" w:rsidP="00367BFF">
      <w:pPr>
        <w:spacing w:line="400" w:lineRule="exact"/>
        <w:ind w:firstLine="480"/>
      </w:pPr>
      <w:r w:rsidRPr="00367BFF">
        <w:rPr>
          <w:rFonts w:ascii="楷体" w:eastAsia="楷体" w:hAnsi="楷体"/>
          <w:sz w:val="24"/>
        </w:rPr>
        <w:t>能担幢，初学担幢，每倾倒，在幢杪者，必致踠伤。其后，白虎幢七丈五尺，齿上担之，折齿不倦。</w:t>
      </w:r>
    </w:p>
    <w:p w14:paraId="2EB2A3A4" w14:textId="77777777" w:rsidR="00367BFF" w:rsidRPr="00367BFF" w:rsidRDefault="00367BFF" w:rsidP="00367BFF">
      <w:pPr>
        <w:spacing w:line="400" w:lineRule="exact"/>
        <w:ind w:firstLine="480"/>
      </w:pPr>
      <w:r>
        <w:rPr>
          <w:rFonts w:ascii="宋体" w:hAnsi="宋体"/>
          <w:sz w:val="24"/>
        </w:rPr>
        <w:t>“担幢”即肩扛或手持长竿，由体态轻盈且有舞蹈功底者攀援其上翻腾跳跃，持竿者须同时驾驭力量与平衡，方能保竿不坠，此技后世又称“缘橦”或“顶竿”，属杂技中难度极高的一类。萧宝卷初学时技法尚未纯熟，竿上之人常因倾倒而遭踠伤；其后日渐精进，竟在传统肩扛手持之外另辟新径，以口齿咬持七丈五尺的白虎幢木，大幅提升了平衡与力量的双重难度，弄得齿牙折损、口中流血仍乐此不疲。从技艺演进的角度观之，“齿上担幢”是对既有“担幢”技法的一次显著改进，以口部支撑替代肩臂承力，表演的惊险性与视觉冲击力随之陡增。《南史》的书写本意在于讽谏荒主、为亡国张本，然而史家无意间保存了一则从初学到精熟再到创新的完整习艺过程，为杂技史研究留下了极为罕见的帝王亲操实录。</w:t>
      </w:r>
      <w:r>
        <w:rPr>
          <w:rStyle w:val="a30"/>
        </w:rPr>
        <w:footnoteReference w:id="6"/>
      </w:r>
    </w:p>
    <w:p w14:paraId="2CF5ABA5" w14:textId="77777777" w:rsidR="00367BFF" w:rsidRPr="00367BFF" w:rsidRDefault="00367BFF" w:rsidP="00367BFF">
      <w:pPr>
        <w:spacing w:line="400" w:lineRule="exact"/>
        <w:ind w:firstLine="480"/>
      </w:pPr>
      <w:r w:rsidRPr="00367BFF">
        <w:rPr>
          <w:rFonts w:ascii="楷体" w:eastAsia="楷体" w:hAnsi="楷体"/>
          <w:color w:val="FF0000"/>
          <w:sz w:val="24"/>
        </w:rPr>
        <w:t>（三）物质文化视角下的百戏衣饰书写</w:t>
      </w:r>
    </w:p>
    <w:p w14:paraId="67C6927C" w14:textId="77777777" w:rsidR="00367BFF" w:rsidRPr="00367BFF" w:rsidRDefault="00367BFF" w:rsidP="00367BFF">
      <w:pPr>
        <w:spacing w:line="400" w:lineRule="exact"/>
        <w:ind w:firstLine="480"/>
      </w:pPr>
      <w:r>
        <w:rPr>
          <w:rFonts w:ascii="宋体" w:hAnsi="宋体"/>
          <w:sz w:val="24"/>
        </w:rPr>
        <w:t>值得注意的是，魏晋南北朝时期的杂技书写并未止步于制度沿革与演出实况，而是进一步触及了百戏的物质形态，尤其是服饰。这一维度在汉代文献中几</w:t>
      </w:r>
      <w:r>
        <w:rPr>
          <w:rFonts w:ascii="宋体" w:hAnsi="宋体"/>
          <w:sz w:val="24"/>
        </w:rPr>
        <w:lastRenderedPageBreak/>
        <w:t>乎完全缺席，至此时期方始露出端倪。《魏书》中一则宗室逾制的轶事，无意间保留了关于“百戏衣”的珍贵信息：</w:t>
      </w:r>
    </w:p>
    <w:p w14:paraId="25804D08" w14:textId="77777777" w:rsidR="00367BFF" w:rsidRPr="00367BFF" w:rsidRDefault="00367BFF" w:rsidP="00367BFF">
      <w:pPr>
        <w:spacing w:line="400" w:lineRule="exact"/>
        <w:ind w:firstLine="480"/>
      </w:pPr>
      <w:r w:rsidRPr="00367BFF">
        <w:rPr>
          <w:rFonts w:ascii="楷体" w:eastAsia="楷体" w:hAnsi="楷体"/>
          <w:sz w:val="24"/>
        </w:rPr>
        <w:t>（乐浪王万寿）子忠，肃宗时，复前爵，位太常少卿。出帝泛舟天渊池，命宗室诸王陪宴。忠愚而无智，性好衣服，遂著红罗襦，绣作领，碧细，锦为缘。帝谓曰：“朝廷衣冠，应有常式，何为著百戏衣？”忠曰：“臣少来所爱，情存绮罗，歌衣舞服，是臣所愿。”帝曰：“人之无良，乃至此乎！”</w:t>
      </w:r>
    </w:p>
    <w:p w14:paraId="1FB023F2" w14:textId="77777777" w:rsidR="00367BFF" w:rsidRPr="00367BFF" w:rsidRDefault="00367BFF" w:rsidP="00367BFF">
      <w:pPr>
        <w:spacing w:line="400" w:lineRule="exact"/>
        <w:ind w:firstLine="480"/>
      </w:pPr>
      <w:r>
        <w:rPr>
          <w:rFonts w:ascii="宋体" w:hAnsi="宋体"/>
          <w:sz w:val="24"/>
        </w:rPr>
        <w:t>出帝一望即辨出忠所穿为“百戏衣”，可知百戏服饰在当时已形成相对固定且辨识度极高的形制特征，与日常冠服迥然有别。据文中所述，忠身上所穿为红罗短襦、绣花衣领、碧色细布、锦缎滚边，红与碧大胆并置，锦、绣、罗等不同质地的面料拼合使用，整体效果浓艳纷繁、华丽夺目。这与朝廷冠服强调等级有序、色彩节制的规制截然不同。出帝斥之以“朝廷衣冠，应有常式”，恰好从反面勾勒出百戏衣的特殊定位：它自外于朝廷服制的等级序列，遵循的是另一套以色彩张力和视觉效果为导向的审美逻辑，服务于舞台表演中远距离观赏的需要。忠以“歌衣舞服，是臣所愿”作答，语虽戏谑，却也折射出百戏服饰在当时社会中的某种感染力，其绮丽绚烂的视觉效果足以令人心生向往，甚至不惜逾越服制。</w:t>
      </w:r>
    </w:p>
    <w:p w14:paraId="49757B35" w14:textId="77777777" w:rsidR="00367BFF" w:rsidRPr="00367BFF" w:rsidRDefault="00367BFF" w:rsidP="00367BFF">
      <w:pPr>
        <w:spacing w:line="400" w:lineRule="exact"/>
        <w:ind w:firstLine="480"/>
      </w:pPr>
      <w:r w:rsidRPr="00367BFF">
        <w:rPr>
          <w:rFonts w:ascii="宋体" w:hAnsi="宋体"/>
          <w:sz w:val="24"/>
        </w:rPr>
        <w:t>这条材料虽不过寥寥数行，却将杂技百戏的文献书写从仪典程序和技艺名目，推进到了演出者着装与物质文化的层面。汉代百戏记载大多着眼于宏观的制度安排与节目陈列，对表演者个体的装束面貌几乎不著一字；而北魏此条轶闻的出现，标志着杂技书写开始触及更为具象、更为生活化的细节，为后人复原百戏演出的完整面貌提供了一重此前未曾显露的维度。</w:t>
      </w:r>
    </w:p>
    <w:p w14:paraId="3B046DF5" w14:textId="77777777" w:rsidR="00367BFF" w:rsidRPr="00367BFF" w:rsidRDefault="00367BFF" w:rsidP="00367BFF">
      <w:pPr>
        <w:spacing w:before="140" w:after="140"/>
      </w:pPr>
      <w:r w:rsidRPr="00367BFF">
        <w:rPr>
          <w:rFonts w:ascii="黑体" w:eastAsia="黑体" w:hAnsi="黑体"/>
          <w:color w:val="000000"/>
          <w:sz w:val="28"/>
          <w:szCs w:val="28"/>
        </w:rPr>
        <w:t>三、隋唐：杂技记载的丰富与细化</w:t>
      </w:r>
    </w:p>
    <w:p w14:paraId="33FB1158" w14:textId="77777777" w:rsidR="00367BFF" w:rsidRPr="00367BFF" w:rsidRDefault="00367BFF" w:rsidP="00367BFF">
      <w:pPr>
        <w:spacing w:line="400" w:lineRule="exact"/>
        <w:ind w:firstLine="480"/>
      </w:pPr>
      <w:r>
        <w:rPr>
          <w:rFonts w:ascii="宋体" w:hAnsi="宋体"/>
          <w:sz w:val="24"/>
        </w:rPr>
        <w:t>隋唐两代是杂技在史籍中记载最为丰富的时期。与魏晋南北朝文献多在制度沿革或禁令颁行的语境中附带提及百戏不同，隋唐史料对杂技的记述呈现出明显的细化趋势：节目名目不再仅以类名笼统概括，而是逐一记录其演出过程、技术细节与现场反应；书写者的态度与情感也不再隐藏在制度性话语之后，而是通过叙述方式的变化得以体现。这种记载方式的转变，既与隋唐百戏本身在规模和技艺上的空前发展有关，也与这一时期文献体例的变化密切相关：笔记体著述日渐兴盛，为杂技这类难以完全纳入正史志书体例的表演艺术提供了更为灵活的记录空间。</w:t>
      </w:r>
    </w:p>
    <w:p>
      <w:pPr>
        <w:spacing w:line="400" w:lineRule="exact"/>
        <w:ind w:firstLine="480"/>
      </w:pPr>
      <w:r>
        <w:rPr>
          <w:rFonts w:ascii="宋体" w:hAnsi="宋体"/>
          <w:sz w:val="24"/>
          <w:color w:val="FF0000"/>
        </w:rPr>
        <w:t xml:space="preserve">隋唐时百戏在宴乐中的“重兴”除正史与《教坊记》外，亦见于《明皇杂录》《乐府杂录》等对酺宴、广场百戏的记载，杂技书写的载体与层次更为丰富。</w:t>
      </w:r>
      <w:r>
        <w:rPr>
          <w:rStyle w:val="a30"/>
        </w:rPr>
        <w:footnoteReference w:id="15"/>
      </w:r>
    </w:p>
    <w:p w14:paraId="28239D39" w14:textId="77777777" w:rsidR="00367BFF" w:rsidRPr="00367BFF" w:rsidRDefault="00367BFF" w:rsidP="00367BFF">
      <w:pPr>
        <w:spacing w:line="400" w:lineRule="exact"/>
        <w:ind w:firstLine="480"/>
      </w:pPr>
      <w:r w:rsidRPr="00367BFF">
        <w:rPr>
          <w:rFonts w:ascii="楷体" w:eastAsia="楷体" w:hAnsi="楷体"/>
          <w:color w:val="FF0000"/>
          <w:sz w:val="24"/>
        </w:rPr>
        <w:t>（一）节庆宴享与百戏的宏大叙事</w:t>
      </w:r>
    </w:p>
    <w:p w14:paraId="79535A83" w14:textId="77777777" w:rsidR="00367BFF" w:rsidRPr="00367BFF" w:rsidRDefault="00367BFF" w:rsidP="00367BFF">
      <w:pPr>
        <w:spacing w:line="400" w:lineRule="exact"/>
        <w:ind w:firstLine="480"/>
      </w:pPr>
      <w:r w:rsidRPr="00367BFF">
        <w:rPr>
          <w:rFonts w:ascii="宋体" w:hAnsi="宋体"/>
          <w:sz w:val="24"/>
        </w:rPr>
        <w:lastRenderedPageBreak/>
        <w:t>隋炀帝大业年间的百戏盛会，是杂技记载由简略走向详细的一个重要节点。《隋书·音乐下》详载大业二年（606）突厥启民可汗（染干）来朝时的演出情况：</w:t>
      </w:r>
      <w:r>
        <w:rPr>
          <w:rStyle w:val="a30"/>
        </w:rPr>
        <w:footnoteReference w:id="7"/>
      </w:r>
    </w:p>
    <w:p w14:paraId="3DCCDB91" w14:textId="77777777" w:rsidR="00367BFF" w:rsidRPr="00367BFF" w:rsidRDefault="00367BFF" w:rsidP="00367BFF">
      <w:pPr>
        <w:spacing w:line="400" w:lineRule="exact"/>
        <w:ind w:firstLine="480"/>
      </w:pPr>
      <w:r w:rsidRPr="00367BFF">
        <w:rPr>
          <w:rFonts w:ascii="楷体" w:eastAsia="楷体" w:hAnsi="楷体"/>
          <w:sz w:val="24"/>
        </w:rPr>
        <w:t>及大业二年，突厥染干来朝，炀帝欲夸之，总追四方散乐，大集东都。初于芳华苑积翠池侧，帝帷宫女观之。有舍利先来，戏于场内，须臾跳跃，激水满衢，鼋鼍龟鳖，水人虫鱼，遍覆于地。又有大鲸鱼，喷雾翳日，倏忽化成黄龙，长七八丈，耸踊而出，名曰黄龙变。又以绳系两柱，相去十丈，遣二倡女对舞绳上，相逢切肩而过，歌舞不辍。又为夏育扛鼎，取车轮石臼大瓮器等，各于掌上而跳弄之。并二人戴竿，其上有舞，忽然腾透而换易之。又有神鳌负山，幻人吐火，千变万化，旷古莫俦。染干大骇之，自是皆于太常教习。每岁正月，万国来朝，留至十五日，于端门外，建国门内，绵亘八里，列为戏场。</w:t>
      </w:r>
    </w:p>
    <w:p w14:paraId="426E6245" w14:textId="77777777" w:rsidR="00367BFF" w:rsidRPr="00367BFF" w:rsidRDefault="00367BFF" w:rsidP="00367BFF">
      <w:pPr>
        <w:spacing w:line="400" w:lineRule="exact"/>
        <w:ind w:firstLine="480"/>
      </w:pPr>
      <w:r w:rsidRPr="00367BFF">
        <w:rPr>
          <w:rFonts w:ascii="宋体" w:hAnsi="宋体"/>
          <w:sz w:val="24"/>
        </w:rPr>
        <w:t>这段文字是现存史籍中对单次百戏演出描写最为完整的段落之一，其叙述方式和包含的信息值得从多个层面加以分析。</w:t>
      </w:r>
    </w:p>
    <w:p w14:paraId="2922B38F" w14:textId="77777777" w:rsidR="00367BFF" w:rsidRPr="00367BFF" w:rsidRDefault="00367BFF" w:rsidP="00367BFF">
      <w:pPr>
        <w:spacing w:line="400" w:lineRule="exact"/>
        <w:ind w:firstLine="480"/>
      </w:pPr>
      <w:r>
        <w:rPr>
          <w:rFonts w:ascii="宋体" w:hAnsi="宋体"/>
          <w:sz w:val="24"/>
        </w:rPr>
        <w:t>从演出背景来看，此次百戏汇演的直接目的是“夸之”，即炀帝意图以百戏的宏大场面向突厥来使展示国力。“总追四方散乐，大集东都”一句点明了演出人员的来源：并非仅依靠东都洛阳本地的太常乐署班底，而是将分散在各地的民间散乐全部征集而来。这一做法本身说明了隋代散乐百戏的存在方式：大量技艺精湛的杂技艺人平时分散于各地，并不完全依附于宫廷乐署体制，只有朝廷以行政力量统一征召，才能汇聚成如此大的演出规模。也就是说，宫廷百戏的兴盛并非单纯依靠官方机构的内部培养，而是建立在广泛的民间技艺基础之上。</w:t>
      </w:r>
    </w:p>
    <w:p w14:paraId="00BD1908" w14:textId="77777777" w:rsidR="00367BFF" w:rsidRPr="00367BFF" w:rsidRDefault="00367BFF" w:rsidP="00367BFF">
      <w:pPr>
        <w:spacing w:line="400" w:lineRule="exact"/>
        <w:ind w:firstLine="480"/>
      </w:pPr>
      <w:r>
        <w:rPr>
          <w:rFonts w:ascii="宋体" w:hAnsi="宋体"/>
          <w:sz w:val="24"/>
        </w:rPr>
        <w:t>从节目内容来看，这段文字以“又”字连缀，依次列举了水戏幻化（舍利戏水、黄龙变）、绳技（二倡女对舞绳上）、力技（夏育扛鼎、掌上跳弄重物）、竿技（戴竿腾透换易）、幻术（神鳌负山、幻人吐火）等多个类别。其中“黄龙变”一目值得特别注意：大鲸鱼先以喷雾营造弥漫之势，随即“倏忽化成黄龙，长七八丈，耸踊而出”，在观者眼前完成鱼龙之间的瞬间变化。这与汉代张衡《西京赋》所写“鱼龙曼延”的描述前后相通，但远比张衡的赋体铺陈更为具体，不仅交代了变化的起始形态（鲸鱼）、过渡手段（喷雾翳日）和最终结果（黄龙耸踊），还给出了七八丈这样的尺寸数据，使得表演的视觉规模有了较为具体的参照。这种从修辞性描写向实录性记载的转变，是隋唐杂技书写区别于汉代赋体叙述的一个重要特征。绳技一目中“相逢切肩而过，歌舞不辍”八字，以简短的篇幅便呈现了两名倡女在十丈高空的绳索上相向而行、擦肩交会而舞姿不乱的场面，信息量远超此前各类文献中对绳技的概括性提及。竿技一目“忽然腾透而换易之”，</w:t>
      </w:r>
      <w:r>
        <w:rPr>
          <w:rFonts w:ascii="宋体" w:hAnsi="宋体"/>
          <w:sz w:val="24"/>
        </w:rPr>
        <w:lastRenderedPageBreak/>
        <w:t>则以极简的笔墨记录了竿上舞者在两根竿之间凌空飞换的动作，较之北魏文献中仅以“缘橦”二字概括的写法，描写的精细程度已有明显提升。</w:t>
      </w:r>
    </w:p>
    <w:p w14:paraId="536B109B" w14:textId="77777777" w:rsidR="00367BFF" w:rsidRPr="00367BFF" w:rsidRDefault="00367BFF" w:rsidP="00367BFF">
      <w:pPr>
        <w:spacing w:line="400" w:lineRule="exact"/>
        <w:ind w:firstLine="480"/>
      </w:pPr>
      <w:r>
        <w:rPr>
          <w:rFonts w:ascii="宋体" w:hAnsi="宋体"/>
          <w:sz w:val="24"/>
        </w:rPr>
        <w:t>从演出效果来看，“染干大骇之”四字值得关注。百戏在此不仅是宫廷娱乐，而且被明确赋予了外交展示的功能；突厥来使的“大骇”正是炀帝“欲夸之”意图的实现。而文末“自是皆于太常教习”一句，则揭示了此次盛会的另一重后果：演出结束后，原本分散各地的民间散乐并未遣返原籍，而是被统一纳入太常寺进行常规教习训练。这意味着大业二年的百戏汇演不仅是一场外交性质的一次性表演，也成为隋代将散乐百戏正式纳入国家乐署体制的一个契机。“每岁正月，万国来朝，留至十五日”的常态化安排，以及“端门外、建国门内，绵亘八里”的固定演出空间，均表明百戏自此由偶发的征召式演出转变为年度性的制度化活动。八里之长的戏场规模，即便考虑到史书记载中可能存在的夸大成分，也足以说明隋代百戏在空间组织上已达到相当高的水平。</w:t>
      </w:r>
    </w:p>
    <w:p w14:paraId="4CDA0DE8" w14:textId="77777777" w:rsidR="00367BFF" w:rsidRPr="00367BFF" w:rsidRDefault="00367BFF" w:rsidP="00367BFF">
      <w:pPr>
        <w:spacing w:line="400" w:lineRule="exact"/>
        <w:ind w:firstLine="480"/>
      </w:pPr>
      <w:r>
        <w:rPr>
          <w:rFonts w:ascii="宋体" w:hAnsi="宋体"/>
          <w:sz w:val="24"/>
        </w:rPr>
        <w:t>入唐之后，百戏的制度化管理进一步完善。唐代设左右教坊，将各类表演技艺分别管辖，杂技百戏不再附属于太常寺的雅乐系统，而是在教坊体制下获得了相对独立的组织空间。《旧唐书》《新唐书》均有关于教坊制度的详细记载。崔令钦所撰《教坊记》以笔记体裁专门记录教坊的演出情况与日常运作，为杂技记载提供了正史志书所不能容纳的具体细节。其中关于竿技的一则记载值得注意：“上偏私在左厢，故楼下戏，右厢竿木多失落。”玄宗观赏楼下百戏时，目光偏向左教坊一侧，右教坊的竿技艺人因此频频失手。这条记录看似只是一则演出轶事，实际上说明了两个问题：第一，竿技在盛唐时期隶属右教坊管辖，左右教坊各有分工，杂技门类的行政归属已有明确划分；第二，帝王的注视方向直接影响到演出质量，这从侧面反映了教坊艺人高度依附于皇权好恶的处境，御前演出的压力之大，以至于天子目光的些许偏移便足以干扰技艺发挥。</w:t>
      </w:r>
      <w:r>
        <w:rPr>
          <w:rStyle w:val="a30"/>
        </w:rPr>
        <w:footnoteReference w:id="8"/>
      </w:r>
    </w:p>
    <w:p w14:paraId="12D88F5A" w14:textId="77777777" w:rsidR="00367BFF" w:rsidRPr="00367BFF" w:rsidRDefault="00367BFF" w:rsidP="00367BFF">
      <w:pPr>
        <w:spacing w:line="400" w:lineRule="exact"/>
        <w:ind w:firstLine="480"/>
      </w:pPr>
      <w:r w:rsidRPr="00367BFF">
        <w:rPr>
          <w:rFonts w:ascii="宋体" w:hAnsi="宋体"/>
          <w:sz w:val="24"/>
        </w:rPr>
        <w:t>《教坊记》中关于小儿竿技的一段记述，更是将盛唐杂技记载的细致程度推到了一个新的高度：</w:t>
      </w:r>
      <w:r>
        <w:rPr>
          <w:rStyle w:val="a30"/>
        </w:rPr>
        <w:footnoteReference w:id="9"/>
      </w:r>
    </w:p>
    <w:p w14:paraId="34666B43" w14:textId="77777777" w:rsidR="00367BFF" w:rsidRPr="00367BFF" w:rsidRDefault="00367BFF" w:rsidP="00367BFF">
      <w:pPr>
        <w:spacing w:line="400" w:lineRule="exact"/>
        <w:ind w:firstLine="480"/>
      </w:pPr>
      <w:r w:rsidRPr="00367BFF">
        <w:rPr>
          <w:rFonts w:ascii="楷体" w:eastAsia="楷体" w:hAnsi="楷体"/>
          <w:sz w:val="24"/>
        </w:rPr>
        <w:t>上于天津桥南设帐殿，酺三日。教坊一小儿，筋斗绝伦，乃衣以彩缯，梳洗，杂于内妓中。少顷，缘长竿上，倒立，寻复去手。久之，垂手抱竿，翻身而下。乐人等皆舍所执，宛转于地，大呼万岁，百官拜庆。中使宣旨云：“此技尤难，近教坊教成。”其实乃小儿也。</w:t>
      </w:r>
    </w:p>
    <w:p w14:paraId="6D7A9AD5" w14:textId="77777777" w:rsidR="00367BFF" w:rsidRPr="00367BFF" w:rsidRDefault="00367BFF" w:rsidP="00367BFF">
      <w:pPr>
        <w:spacing w:line="400" w:lineRule="exact"/>
        <w:ind w:firstLine="480"/>
      </w:pPr>
      <w:r>
        <w:rPr>
          <w:rFonts w:ascii="宋体" w:hAnsi="宋体"/>
          <w:sz w:val="24"/>
        </w:rPr>
        <w:t>这段记述的突出之处，在于它几乎以一种戏剧化的节奏来安排整场演出的叙述。先写准备：小儿被穿上彩色丝织衣物、精心梳洗，混在内妓之中，有意隐藏其真实身份；再写攀升：“缘长竿上，倒立”已属高难技巧，“寻复去手”则在倒立的基础上进一步撤去手部支撑，难度又增一层；接写高潮：“久之”二字延</w:t>
      </w:r>
      <w:r>
        <w:rPr>
          <w:rFonts w:ascii="宋体" w:hAnsi="宋体"/>
          <w:sz w:val="24"/>
        </w:rPr>
        <w:t>长了悬停的时间感，使旁观者的紧张感随之积累，而后“垂手抱竿，翻身而下”以干脆利落的动作结束全程；最后写反响：乐人放下手中乐器伏地欢呼，百官拜庆，中使宣旨揭开谜底：“其实乃小儿也。”书写者有意将小儿的真实身份保留到最后一句才予以揭示，使整段叙述形成了“设悬、展演、揭晓”的完整结构。小儿体态轻便、身形灵活，适合在竿顶完成倒立和无手悬停等对平衡能力要求极高的动作，而教坊特意将其装扮为成年女妓的样貌混入队列，本身就是一种经过设计的表演策略；观众在不知情的状态下观看高难技艺，等到谜底揭开，得知表演者竟是年幼孩童，惊叹之情随之加倍。这种叙述方式已不再是对演出事实的简单记录，而是带有明确的写作构思和情感引导，说明杂技书写在盛唐时期已从单纯的制度性记录发展为兼具文学性与现场感的叙事，</w:t>
      </w:r>
      <w:r>
        <w:rPr>
          <w:rFonts w:ascii="宋体" w:hAnsi="宋体"/>
          <w:sz w:val="24"/>
          <w:color w:val="FF0000"/>
        </w:rPr>
        <w:t xml:space="preserve">这种带有明确写作构思与情感引导的记述表明，盛唐时期的杂技书写已深刻介入了观演双方的心理互动，从单纯的制度性记录蜕变为兼具文学性与现场感的叙事。</w:t>
      </w:r>
      <w:r>
        <w:rPr>
          <w:rStyle w:val="a30"/>
        </w:rPr>
        <w:footnoteReference w:id="16"/>
      </w:r>
    </w:p>
    <w:p w14:paraId="7F77667B" w14:textId="77777777" w:rsidR="00367BFF" w:rsidRPr="00367BFF" w:rsidRDefault="00367BFF" w:rsidP="00367BFF">
      <w:pPr>
        <w:spacing w:line="400" w:lineRule="exact"/>
        <w:ind w:firstLine="480"/>
      </w:pPr>
      <w:r w:rsidRPr="00367BFF">
        <w:rPr>
          <w:rFonts w:ascii="宋体" w:hAnsi="宋体"/>
          <w:sz w:val="24"/>
        </w:rPr>
        <w:t>此外，《封氏闻见记》《朝野佥载》等唐代笔记亦保存了不少杂技表演的第一手材料。《尚书故实》载有一则故事：</w:t>
      </w:r>
    </w:p>
    <w:p w14:paraId="770EAA35" w14:textId="77777777" w:rsidR="00367BFF" w:rsidRPr="00367BFF" w:rsidRDefault="00367BFF" w:rsidP="00367BFF">
      <w:pPr>
        <w:spacing w:line="400" w:lineRule="exact"/>
        <w:ind w:firstLine="480"/>
      </w:pPr>
      <w:r w:rsidRPr="00367BFF">
        <w:rPr>
          <w:rFonts w:ascii="楷体" w:eastAsia="楷体" w:hAnsi="楷体"/>
          <w:sz w:val="24"/>
        </w:rPr>
        <w:t>章仇兼琼镇蜀日，佛寺设大会，百戏在庭。有十岁童儿（一作女童）舞于竿杪。忽有物状如雕鹗，掠之而去。群众大骇，因而罢乐。后数日，其父母见在高塔之上，梯而取之，则神如痴，久之方语，云：‘见如壁画飞天夜叉者将入塔由，日饲果实饮馔之味，亦不知其所自。’旬日方精神如初。</w:t>
      </w:r>
    </w:p>
    <w:p w14:paraId="322EF98C" w14:textId="77777777" w:rsidR="00367BFF" w:rsidRPr="00367BFF" w:rsidRDefault="00367BFF" w:rsidP="00367BFF">
      <w:pPr>
        <w:spacing w:line="400" w:lineRule="exact"/>
        <w:ind w:firstLine="480"/>
      </w:pPr>
      <w:r>
        <w:rPr>
          <w:rFonts w:ascii="宋体" w:hAnsi="宋体"/>
          <w:sz w:val="24"/>
        </w:rPr>
        <w:t>长竿戏的难度既高，对表演者的要求也相应严格，表演过程中的危险性不言而喻。这则记载虽然带有志怪色彩（以“飞天夜叉”的传奇叙事来解释儿童失踪的缘由），但其背后所反映的问题却是真实的：在高竿之上演出的幼童极易遭遇意外，围观者只能将无法解释的突发事件归于神异。这类记载的存在，从另一个侧面说明了长竿戏的高风险性质，以及当时社会对这种风险的认知方式。</w:t>
      </w:r>
    </w:p>
    <w:p w14:paraId="559DA0D9" w14:textId="77777777" w:rsidR="00367BFF" w:rsidRPr="00367BFF" w:rsidRDefault="00367BFF" w:rsidP="00367BFF">
      <w:pPr>
        <w:spacing w:line="400" w:lineRule="exact"/>
        <w:ind w:firstLine="480"/>
      </w:pPr>
      <w:r w:rsidRPr="00367BFF">
        <w:rPr>
          <w:rFonts w:ascii="楷体" w:eastAsia="楷体" w:hAnsi="楷体"/>
          <w:color w:val="FF0000"/>
          <w:sz w:val="24"/>
        </w:rPr>
        <w:t>（二）国家衰落与杂技书写的情感转向</w:t>
      </w:r>
    </w:p>
    <w:p w14:paraId="1B3086FE" w14:textId="77777777" w:rsidR="00367BFF" w:rsidRPr="00367BFF" w:rsidRDefault="00367BFF" w:rsidP="00367BFF">
      <w:pPr>
        <w:spacing w:line="400" w:lineRule="exact"/>
        <w:ind w:firstLine="480"/>
      </w:pPr>
      <w:r w:rsidRPr="00367BFF">
        <w:rPr>
          <w:rFonts w:ascii="宋体" w:hAnsi="宋体"/>
          <w:sz w:val="24"/>
        </w:rPr>
        <w:t>安史之乱的爆发，使盛唐百戏的繁荣景象发生了根本性的转变。姚汝能《安禄山事迹》中的一段记载，集中呈现了这场战乱对宫廷杂技艺人的打击：</w:t>
      </w:r>
      <w:r>
        <w:rPr>
          <w:rStyle w:val="a30"/>
        </w:rPr>
        <w:footnoteReference w:id="10"/>
      </w:r>
    </w:p>
    <w:p w14:paraId="2B48E7C9" w14:textId="77777777" w:rsidR="00367BFF" w:rsidRPr="00367BFF" w:rsidRDefault="00367BFF" w:rsidP="00367BFF">
      <w:pPr>
        <w:spacing w:line="400" w:lineRule="exact"/>
        <w:ind w:firstLine="480"/>
      </w:pPr>
      <w:r w:rsidRPr="00367BFF">
        <w:rPr>
          <w:rFonts w:ascii="楷体" w:eastAsia="楷体" w:hAnsi="楷体"/>
          <w:sz w:val="24"/>
        </w:rPr>
        <w:t>其乐人本玄宗所赐，皆非人间之伎，转相教习，得五百余人。或一人肩负首戴二十四人，戴竿长百余尺，至于竿杪，人腾掷如猿狖、飞鸟之势，竟为奇绝，累日不惮，观者汗流目眩。于是此辈歼矣。</w:t>
      </w:r>
    </w:p>
    <w:p w14:paraId="01204F15" w14:textId="77777777" w:rsidR="00367BFF" w:rsidRPr="00367BFF" w:rsidRDefault="00367BFF" w:rsidP="00367BFF">
      <w:pPr>
        <w:spacing w:line="400" w:lineRule="exact"/>
        <w:ind w:firstLine="480"/>
      </w:pPr>
      <w:r>
        <w:rPr>
          <w:rFonts w:ascii="宋体" w:hAnsi="宋体"/>
          <w:sz w:val="24"/>
        </w:rPr>
        <w:t>这段文字的叙述结构值得注意。前半段集中描写技艺的高超：先以“皆非人间之伎”总括其技艺水准，继而以“一人肩负首戴二十四人”的具体数字呈现竿技的规模，再以“腾掷如猿狖、飞鸟之势”的比喻刻画竿上表演者凌空翻腾的灵活身姿，“累日不惮”说明其体力的持久，“观者汗流目眩”则从旁观者的身体反应来反衬演出的惊险。如此层层推进，将五百余名乐伎的技艺水平渲染至极。然而就在此处，笔锋突然一转，仅以“于是此辈歼矣”五字作结。彼时安禄山精</w:t>
      </w:r>
      <w:r>
        <w:rPr>
          <w:rFonts w:ascii="宋体" w:hAnsi="宋体"/>
          <w:sz w:val="24"/>
        </w:rPr>
        <w:lastRenderedPageBreak/>
        <w:t>锐尽出南下，后方空虚，奚、契丹二部乘隙袭扰范阳，这批乐伎原系玄宗所赐、历经府中数年转相传授而技艺日精，竟在此次兵祸中全部遇难。前文的浓墨重彩与末句的简短冷峻之间形成了强烈的反差，技艺的精妙与命运的残酷在几行之内骤然碰撞。这种写法并非偶然，书写者显然借助叙述节奏的急剧转换来传达深切的惋惜：技艺愈是精绝，其毁灭便愈令人痛惜。从杂技书写的发展来看，这段记载标志着一个值得注意的变化：书写者不再仅仅作为事实的客观记录者，而是通过叙述方式的选择来表达自身的情感判断，杂技书写由此获得了一种此前较为少见的主观维度。</w:t>
      </w:r>
      <w:r>
        <w:rPr>
          <w:rStyle w:val="a30"/>
        </w:rPr>
        <w:footnoteReference w:id="17"/>
      </w:r>
    </w:p>
    <w:p w14:paraId="77D6782F" w14:textId="77777777" w:rsidR="00367BFF" w:rsidRPr="00367BFF" w:rsidRDefault="00367BFF" w:rsidP="00367BFF">
      <w:pPr>
        <w:spacing w:line="400" w:lineRule="exact"/>
        <w:ind w:firstLine="480"/>
      </w:pPr>
      <w:r>
        <w:rPr>
          <w:rFonts w:ascii="宋体" w:hAnsi="宋体"/>
          <w:sz w:val="24"/>
        </w:rPr>
        <w:t>安史之乱对百戏的影响不仅表现为艺人群体的骤然消亡，还在此后数十年间持续动摇着宫廷杂技的制度基础。代宗驾崩、德宗即位（779）之时，朝廷正处于战后恢复的困难阶段：连年战乱使国库空虚，而周边各国的朝贡往来也远不及开元、天宝年间之盛。教坊赖以维持的两大条件，即充足的财力供养与频繁的外交仪典需求，同时削弱，其规模的缩减已成必然。《旧唐书·德宗纪》载其即位之初的一系列裁减措施：</w:t>
      </w:r>
    </w:p>
    <w:p w14:paraId="6236FE5E" w14:textId="77777777" w:rsidR="00367BFF" w:rsidRPr="00367BFF" w:rsidRDefault="00367BFF" w:rsidP="00367BFF">
      <w:pPr>
        <w:spacing w:line="400" w:lineRule="exact"/>
        <w:ind w:firstLine="480"/>
      </w:pPr>
      <w:r w:rsidRPr="00367BFF">
        <w:rPr>
          <w:rFonts w:ascii="楷体" w:eastAsia="楷体" w:hAnsi="楷体"/>
          <w:sz w:val="24"/>
        </w:rPr>
        <w:t>德宗皇帝……去无名之费，罢不急之官，出永巷之嫔嫱，放文单之驯象，减太官之膳，戒服玩之奢，解鹰犬而放伶伦，止榷酤而绝贡奉。</w:t>
      </w:r>
      <w:r>
        <w:rPr>
          <w:rStyle w:val="a30"/>
        </w:rPr>
        <w:footnoteReference w:id="11"/>
      </w:r>
    </w:p>
    <w:p w14:paraId="2DC6E9F6" w14:textId="77777777" w:rsidR="00367BFF" w:rsidRPr="00367BFF" w:rsidRDefault="00367BFF" w:rsidP="00367BFF">
      <w:pPr>
        <w:spacing w:line="400" w:lineRule="exact"/>
        <w:ind w:firstLine="480"/>
      </w:pPr>
      <w:r>
        <w:rPr>
          <w:rFonts w:ascii="宋体" w:hAnsi="宋体"/>
          <w:sz w:val="24"/>
        </w:rPr>
        <w:t>“放伶伦”即遣散宫廷乐舞艺人。这道政令将百戏伶人与鹰犬、驯象并列在裁撤项目之中，其措辞方式值得注意：在德宗朝的行政话语中，宫廷百戏已从汉隋以来外交仪典中重要的组成部分，降为与禽兽玩好同类的非必要开支。这一定位的变化本身便反映出安史之乱后朝廷对百戏功能认识的转变：当国力衰退、外交活动减少时，百戏所承担的政治展示功能随之消退，其在朝廷话语中的位置便迅速从仪典需要变为奢侈浪费。盛唐时期教坊体制下以国家行政力量系统培养、管理杂技人才的模式，至此已难以继续维持。大量技艺精湛的艺人被遣出宫廷流入民间，百戏的重心从宫廷再度向市井转移，为此后晚唐五代民间杂技的发展埋下了伏笔。</w:t>
      </w:r>
    </w:p>
    <w:sectPr w:rsidR="00367BFF" w:rsidRPr="00367BFF" w:rsidSect="00C86BBE">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C33F1" w14:textId="77777777" w:rsidR="00413BB5" w:rsidRDefault="00413BB5" w:rsidP="00C86BBE">
      <w:r>
        <w:separator/>
      </w:r>
    </w:p>
  </w:endnote>
  <w:endnote w:type="continuationSeparator" w:id="0">
    <w:p w14:paraId="5A5ECE0D" w14:textId="77777777" w:rsidR="00413BB5" w:rsidRDefault="00413BB5" w:rsidP="00C86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9FC57" w14:textId="77777777" w:rsidR="00413BB5" w:rsidRDefault="00413BB5" w:rsidP="00C86BBE">
      <w:r>
        <w:separator/>
      </w:r>
    </w:p>
  </w:footnote>
  <w:footnote w:type="continuationSeparator" w:id="0">
    <w:p w14:paraId="42E22768" w14:textId="77777777" w:rsidR="00413BB5" w:rsidRDefault="00413BB5" w:rsidP="00C86BBE">
      <w:r>
        <w:continuationSeparator/>
      </w:r>
    </w:p>
  </w:footnote>
  <w:footnote w:id="1">
    <w:p w14:paraId="0D3996E7"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[汉]司马迁：《史记》卷八七《李斯列传》，北京：中华书局1959年版，第2562页。</w:t>
      </w:r>
    </w:p>
  </w:footnote>
  <w:footnote w:id="2">
    <w:p w14:paraId="755EE066"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[北齐]魏收：《魏书》卷一〇九《乐志五》，北京：中华书局1974年版，第2829页。</w:t>
      </w:r>
    </w:p>
  </w:footnote>
  <w:footnote w:id="3">
    <w:p w14:paraId="53D3AA01"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[唐]房玄龄等撰：《晋书》卷三《武帝纪》，北京：中华书局1974年版，第56页。</w:t>
      </w:r>
    </w:p>
  </w:footnote>
  <w:footnote w:id="4">
    <w:p w14:paraId="7A2DD96D"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[梁]萧子显：《南齐书》卷九《礼志上》，北京：中华书局1972年版，第125页。</w:t>
      </w:r>
    </w:p>
  </w:footnote>
  <w:footnote w:id="5">
    <w:p w14:paraId="0D192A7B" w14:textId="77777777" w:rsidR="00A87431" w:rsidRDefault="00A87431" w:rsidP="00A87431">
      <w:pPr>
        <w:pStyle w:val="a40"/>
        <w:rPr>
          <w:lang w:eastAsia="zh-CN"/>
        </w:rPr>
      </w:pPr>
      <w:r>
        <w:rPr>
          <w:rStyle w:val="a30"/>
          <w:rFonts w:ascii="宋体" w:hAnsi="宋体"/>
          <w:szCs w:val="18"/>
        </w:rPr>
        <w:footnoteRef/>
      </w:r>
      <w:r>
        <w:rPr>
          <w:rFonts w:ascii="宋体" w:hAnsi="宋体"/>
          <w:szCs w:val="18"/>
          <w:lang w:eastAsia="zh-CN"/>
        </w:rPr>
        <w:t xml:space="preserve"> [唐]李延寿：《南史》卷五《齐本纪下》，北京：中华书局1975年版，第156页。</w:t>
      </w:r>
    </w:p>
  </w:footnote>
  <w:footnote w:id="6">
    <w:p w14:paraId="4BFB2E79"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[唐]李延寿：《南史》卷五《齐本纪下》，北京：中华书局1975年版，第156页。</w:t>
      </w:r>
    </w:p>
  </w:footnote>
  <w:footnote w:id="7">
    <w:p w14:paraId="7E32A5CE"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[唐]魏徵等撰：《隋书》卷十五《音乐志下》，北京：中华书局1973年版，第378页。</w:t>
      </w:r>
    </w:p>
  </w:footnote>
  <w:footnote w:id="8">
    <w:p w14:paraId="780FC578"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[唐]崔令钦撰，任半塘笺订：《教坊记笺订》，北京：中华书局1962年版，第45页。</w:t>
      </w:r>
    </w:p>
  </w:footnote>
  <w:footnote w:id="9">
    <w:p w14:paraId="283CCF14"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[唐]崔令钦撰，任半塘笺订：《教坊记笺订》，北京：中华书局1962年版，第52页。</w:t>
      </w:r>
    </w:p>
  </w:footnote>
  <w:footnote w:id="10">
    <w:p w14:paraId="1017938B"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[唐]姚汝能：《安禄山事迹》卷下，北京：中华书局2006年版，第68页。</w:t>
      </w:r>
    </w:p>
  </w:footnote>
  <w:footnote w:id="11">
    <w:p w14:paraId="7383F437" w14:textId="77777777" w:rsidR="005849FD" w:rsidRDefault="005849FD" w:rsidP="005849FD">
      <w:pPr>
        <w:pStyle w:val="a40"/>
        <w:rPr>
          <w:lang w:eastAsia="zh-CN"/>
        </w:rPr>
      </w:pPr>
      <w:r>
        <w:rPr>
          <w:rStyle w:val="a30"/>
          <w:rFonts w:ascii="宋体" w:hAnsi="宋体"/>
          <w:szCs w:val="18"/>
        </w:rPr>
        <w:footnoteRef/>
      </w:r>
      <w:r>
        <w:rPr>
          <w:rFonts w:ascii="宋体" w:hAnsi="宋体"/>
          <w:szCs w:val="18"/>
          <w:lang w:eastAsia="zh-CN"/>
        </w:rPr>
        <w:t xml:space="preserve"> [后晋]刘昫等撰：《旧唐书》卷十二《德宗纪上》，北京：中华书局1975年版，第321页。</w:t>
      </w:r>
    </w:p>
  </w:footnote>
  <w:footnote w:id="12">
    <w:p>
      <w:pPr>
        <w:pStyle w:val="a40"/>
      </w:pPr>
      <w:r>
        <w:rPr>
          <w:rStyle w:val="a30"/>
        </w:rPr>
        <w:footnoteRef/>
      </w:r>
      <w:r>
        <w:t xml:space="preserve"> </w:t>
      </w:r>
      <w:r>
        <w:t>参见魏云洁：《中国古代宴乐的交流功能研究》，四川大学博士学位论文，2021年，第75页。</w:t>
      </w:r>
    </w:p>
  </w:footnote>
  <w:footnote w:id="13">
    <w:p>
      <w:pPr>
        <w:pStyle w:val="a40"/>
      </w:pPr>
      <w:r>
        <w:rPr>
          <w:rStyle w:val="a30"/>
        </w:rPr>
        <w:footnoteRef/>
      </w:r>
      <w:r>
        <w:t xml:space="preserve"> </w:t>
      </w:r>
      <w:r>
        <w:t>参见魏云洁：《中国古代宴乐的交流功能研究》，四川大学博士学位论文，2021年，第96页。</w:t>
      </w:r>
    </w:p>
  </w:footnote>
  <w:footnote w:id="14">
    <w:p>
      <w:pPr>
        <w:pStyle w:val="a40"/>
      </w:pPr>
      <w:r>
        <w:rPr>
          <w:rStyle w:val="a30"/>
        </w:rPr>
        <w:footnoteRef/>
      </w:r>
      <w:r>
        <w:t xml:space="preserve"> </w:t>
      </w:r>
      <w:r>
        <w:t>相关概念辨析参见魏云洁：《中国古代宴乐的交流功能研究》，四川大学博士学位论文，2021年，第72、105页。</w:t>
      </w:r>
    </w:p>
  </w:footnote>
  <w:footnote w:id="15">
    <w:p>
      <w:pPr>
        <w:pStyle w:val="a40"/>
      </w:pPr>
      <w:r>
        <w:rPr>
          <w:rStyle w:val="a30"/>
        </w:rPr>
        <w:footnoteRef/>
      </w:r>
      <w:r>
        <w:t xml:space="preserve"> </w:t>
      </w:r>
      <w:r>
        <w:t>参见魏云洁：《中国古代宴乐的交流功能研究》，四川大学博士学位论文，2021年，第170-172页。</w:t>
      </w:r>
    </w:p>
  </w:footnote>
  <w:footnote w:id="16">
    <w:p>
      <w:pPr>
        <w:pStyle w:val="a40"/>
      </w:pPr>
      <w:r>
        <w:rPr>
          <w:rStyle w:val="a30"/>
        </w:rPr>
        <w:footnoteRef/>
      </w:r>
      <w:r>
        <w:t xml:space="preserve"> </w:t>
      </w:r>
      <w:r>
        <w:t>参见魏云洁：《中国古代宴乐的交流功能研究》，四川大学博士学位论文，2021年，第106、189页。</w:t>
      </w:r>
    </w:p>
  </w:footnote>
  <w:footnote w:id="17">
    <w:p>
      <w:pPr>
        <w:pStyle w:val="a40"/>
      </w:pPr>
      <w:r>
        <w:rPr>
          <w:rStyle w:val="a30"/>
        </w:rPr>
        <w:footnoteRef/>
      </w:r>
      <w:r>
        <w:t xml:space="preserve"> </w:t>
      </w:r>
      <w:r>
        <w:t>参见魏云洁：《中国古代宴乐的交流功能研究》，四川大学博士学位论文，2021年，第190页。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411860"/>
    <w:multiLevelType w:val="singleLevel"/>
    <w:tmpl w:val="90411860"/>
    <w:lvl w:ilvl="0">
      <w:start w:val="1"/>
      <w:numFmt w:val="decimal"/>
      <w:lvlText w:val="(%1)"/>
      <w:lvlJc w:val="left"/>
      <w:pPr>
        <w:tabs>
          <w:tab w:val="num" w:pos="420"/>
        </w:tabs>
        <w:ind w:left="845" w:hanging="425"/>
      </w:pPr>
      <w:rPr>
        <w:rFonts w:hint="default"/>
      </w:rPr>
    </w:lvl>
  </w:abstractNum>
  <w:abstractNum w:abstractNumId="1" w15:restartNumberingAfterBreak="0">
    <w:nsid w:val="94446560"/>
    <w:multiLevelType w:val="singleLevel"/>
    <w:tmpl w:val="94446560"/>
    <w:lvl w:ilvl="0">
      <w:start w:val="1"/>
      <w:numFmt w:val="chineseCounting"/>
      <w:suff w:val="nothing"/>
      <w:lvlText w:val="（%1）"/>
      <w:lvlJc w:val="left"/>
      <w:rPr>
        <w:rFonts w:hint="eastAsia"/>
      </w:rPr>
    </w:lvl>
  </w:abstractNum>
  <w:abstractNum w:abstractNumId="2" w15:restartNumberingAfterBreak="0">
    <w:nsid w:val="B58D7693"/>
    <w:multiLevelType w:val="singleLevel"/>
    <w:tmpl w:val="B58D7693"/>
    <w:lvl w:ilvl="0">
      <w:start w:val="1"/>
      <w:numFmt w:val="decimal"/>
      <w:lvlText w:val="%1."/>
      <w:lvlJc w:val="left"/>
      <w:pPr>
        <w:tabs>
          <w:tab w:val="num" w:pos="312"/>
        </w:tabs>
      </w:pPr>
    </w:lvl>
  </w:abstractNum>
  <w:abstractNum w:abstractNumId="3" w15:restartNumberingAfterBreak="0">
    <w:nsid w:val="D3323795"/>
    <w:multiLevelType w:val="singleLevel"/>
    <w:tmpl w:val="D3323795"/>
    <w:lvl w:ilvl="0">
      <w:start w:val="1"/>
      <w:numFmt w:val="decimal"/>
      <w:lvlText w:val="(%1)"/>
      <w:lvlJc w:val="left"/>
      <w:pPr>
        <w:tabs>
          <w:tab w:val="num" w:pos="420"/>
        </w:tabs>
        <w:ind w:left="845" w:hanging="425"/>
      </w:pPr>
      <w:rPr>
        <w:rFonts w:hint="default"/>
      </w:rPr>
    </w:lvl>
  </w:abstractNum>
  <w:abstractNum w:abstractNumId="4" w15:restartNumberingAfterBreak="0">
    <w:nsid w:val="E5EA3C1C"/>
    <w:multiLevelType w:val="singleLevel"/>
    <w:tmpl w:val="E5EA3C1C"/>
    <w:lvl w:ilvl="0">
      <w:start w:val="1"/>
      <w:numFmt w:val="decimal"/>
      <w:lvlText w:val="%1."/>
      <w:lvlJc w:val="left"/>
      <w:pPr>
        <w:tabs>
          <w:tab w:val="num" w:pos="312"/>
        </w:tabs>
      </w:pPr>
    </w:lvl>
  </w:abstractNum>
  <w:abstractNum w:abstractNumId="5" w15:restartNumberingAfterBreak="0">
    <w:nsid w:val="0FE86AFC"/>
    <w:multiLevelType w:val="hybridMultilevel"/>
    <w:tmpl w:val="09127996"/>
    <w:lvl w:ilvl="0" w:tplc="667E44B4">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0EE3C44"/>
    <w:multiLevelType w:val="hybridMultilevel"/>
    <w:tmpl w:val="0F36D652"/>
    <w:lvl w:ilvl="0" w:tplc="E438EBDC">
      <w:start w:val="1"/>
      <w:numFmt w:val="decimalEnclosedCircle"/>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 w15:restartNumberingAfterBreak="0">
    <w:nsid w:val="2A215DD7"/>
    <w:multiLevelType w:val="hybridMultilevel"/>
    <w:tmpl w:val="0E2E4CD8"/>
    <w:lvl w:ilvl="0" w:tplc="AC804F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32C3261"/>
    <w:multiLevelType w:val="hybridMultilevel"/>
    <w:tmpl w:val="D536F54E"/>
    <w:lvl w:ilvl="0" w:tplc="D95EA6C2">
      <w:start w:val="1"/>
      <w:numFmt w:val="japaneseCounting"/>
      <w:lvlText w:val="第%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45477CC6"/>
    <w:multiLevelType w:val="hybridMultilevel"/>
    <w:tmpl w:val="C0F029FA"/>
    <w:lvl w:ilvl="0" w:tplc="68C2711A">
      <w:start w:val="1"/>
      <w:numFmt w:val="japaneseCounting"/>
      <w:lvlText w:val="第%1节"/>
      <w:lvlJc w:val="left"/>
      <w:pPr>
        <w:ind w:left="2011" w:hanging="735"/>
      </w:pPr>
      <w:rPr>
        <w:rFonts w:hint="default"/>
      </w:rPr>
    </w:lvl>
    <w:lvl w:ilvl="1" w:tplc="C5749654">
      <w:start w:val="1"/>
      <w:numFmt w:val="japaneseCounting"/>
      <w:lvlText w:val="%2、"/>
      <w:lvlJc w:val="left"/>
      <w:pPr>
        <w:ind w:left="2271" w:hanging="555"/>
      </w:pPr>
      <w:rPr>
        <w:rFonts w:hint="default"/>
      </w:rPr>
    </w:lvl>
    <w:lvl w:ilvl="2" w:tplc="0409001B" w:tentative="1">
      <w:start w:val="1"/>
      <w:numFmt w:val="lowerRoman"/>
      <w:lvlText w:val="%3."/>
      <w:lvlJc w:val="right"/>
      <w:pPr>
        <w:ind w:left="2596" w:hanging="440"/>
      </w:pPr>
    </w:lvl>
    <w:lvl w:ilvl="3" w:tplc="0409000F" w:tentative="1">
      <w:start w:val="1"/>
      <w:numFmt w:val="decimal"/>
      <w:lvlText w:val="%4."/>
      <w:lvlJc w:val="left"/>
      <w:pPr>
        <w:ind w:left="3036" w:hanging="440"/>
      </w:pPr>
    </w:lvl>
    <w:lvl w:ilvl="4" w:tplc="04090019" w:tentative="1">
      <w:start w:val="1"/>
      <w:numFmt w:val="lowerLetter"/>
      <w:lvlText w:val="%5)"/>
      <w:lvlJc w:val="left"/>
      <w:pPr>
        <w:ind w:left="3476" w:hanging="440"/>
      </w:pPr>
    </w:lvl>
    <w:lvl w:ilvl="5" w:tplc="0409001B" w:tentative="1">
      <w:start w:val="1"/>
      <w:numFmt w:val="lowerRoman"/>
      <w:lvlText w:val="%6."/>
      <w:lvlJc w:val="right"/>
      <w:pPr>
        <w:ind w:left="3916" w:hanging="440"/>
      </w:pPr>
    </w:lvl>
    <w:lvl w:ilvl="6" w:tplc="0409000F" w:tentative="1">
      <w:start w:val="1"/>
      <w:numFmt w:val="decimal"/>
      <w:lvlText w:val="%7."/>
      <w:lvlJc w:val="left"/>
      <w:pPr>
        <w:ind w:left="4356" w:hanging="440"/>
      </w:pPr>
    </w:lvl>
    <w:lvl w:ilvl="7" w:tplc="04090019" w:tentative="1">
      <w:start w:val="1"/>
      <w:numFmt w:val="lowerLetter"/>
      <w:lvlText w:val="%8)"/>
      <w:lvlJc w:val="left"/>
      <w:pPr>
        <w:ind w:left="4796" w:hanging="440"/>
      </w:pPr>
    </w:lvl>
    <w:lvl w:ilvl="8" w:tplc="0409001B" w:tentative="1">
      <w:start w:val="1"/>
      <w:numFmt w:val="lowerRoman"/>
      <w:lvlText w:val="%9."/>
      <w:lvlJc w:val="right"/>
      <w:pPr>
        <w:ind w:left="5236" w:hanging="440"/>
      </w:pPr>
    </w:lvl>
  </w:abstractNum>
  <w:abstractNum w:abstractNumId="10" w15:restartNumberingAfterBreak="0">
    <w:nsid w:val="66F515DE"/>
    <w:multiLevelType w:val="hybridMultilevel"/>
    <w:tmpl w:val="9DB6E878"/>
    <w:lvl w:ilvl="0" w:tplc="9A92526E">
      <w:start w:val="1"/>
      <w:numFmt w:val="japaneseCounting"/>
      <w:lvlText w:val="第%1节"/>
      <w:lvlJc w:val="left"/>
      <w:pPr>
        <w:ind w:left="1058" w:hanging="105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8D27BFA"/>
    <w:multiLevelType w:val="hybridMultilevel"/>
    <w:tmpl w:val="BEB23030"/>
    <w:lvl w:ilvl="0" w:tplc="A5E82E68">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72C40A06"/>
    <w:multiLevelType w:val="hybridMultilevel"/>
    <w:tmpl w:val="E3862392"/>
    <w:lvl w:ilvl="0" w:tplc="90DE286A">
      <w:start w:val="1"/>
      <w:numFmt w:val="japaneseCounting"/>
      <w:lvlText w:val="第%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74B933ED"/>
    <w:multiLevelType w:val="hybridMultilevel"/>
    <w:tmpl w:val="9DB6E878"/>
    <w:lvl w:ilvl="0" w:tplc="FFFFFFFF">
      <w:start w:val="1"/>
      <w:numFmt w:val="japaneseCounting"/>
      <w:lvlText w:val="第%1节"/>
      <w:lvlJc w:val="left"/>
      <w:pPr>
        <w:ind w:left="1058" w:hanging="1058"/>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78D5532A"/>
    <w:multiLevelType w:val="hybridMultilevel"/>
    <w:tmpl w:val="B05092B4"/>
    <w:lvl w:ilvl="0" w:tplc="ABDC8D6A">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E62A94D"/>
    <w:multiLevelType w:val="singleLevel"/>
    <w:tmpl w:val="7E62A94D"/>
    <w:lvl w:ilvl="0">
      <w:start w:val="1"/>
      <w:numFmt w:val="decimal"/>
      <w:lvlText w:val="(%1)"/>
      <w:lvlJc w:val="left"/>
      <w:pPr>
        <w:tabs>
          <w:tab w:val="num" w:pos="420"/>
        </w:tabs>
        <w:ind w:left="845" w:hanging="425"/>
      </w:pPr>
      <w:rPr>
        <w:rFonts w:hint="default"/>
      </w:rPr>
    </w:lvl>
  </w:abstractNum>
  <w:num w:numId="1" w16cid:durableId="778836680">
    <w:abstractNumId w:val="1"/>
  </w:num>
  <w:num w:numId="2" w16cid:durableId="745150724">
    <w:abstractNumId w:val="4"/>
  </w:num>
  <w:num w:numId="3" w16cid:durableId="1754424986">
    <w:abstractNumId w:val="15"/>
  </w:num>
  <w:num w:numId="4" w16cid:durableId="1968856361">
    <w:abstractNumId w:val="2"/>
  </w:num>
  <w:num w:numId="5" w16cid:durableId="1179931915">
    <w:abstractNumId w:val="3"/>
  </w:num>
  <w:num w:numId="6" w16cid:durableId="1000083358">
    <w:abstractNumId w:val="0"/>
  </w:num>
  <w:num w:numId="7" w16cid:durableId="1344623730">
    <w:abstractNumId w:val="6"/>
  </w:num>
  <w:num w:numId="8" w16cid:durableId="1647278493">
    <w:abstractNumId w:val="7"/>
  </w:num>
  <w:num w:numId="9" w16cid:durableId="1016154903">
    <w:abstractNumId w:val="12"/>
  </w:num>
  <w:num w:numId="10" w16cid:durableId="149295291">
    <w:abstractNumId w:val="9"/>
  </w:num>
  <w:num w:numId="11" w16cid:durableId="217204515">
    <w:abstractNumId w:val="8"/>
  </w:num>
  <w:num w:numId="12" w16cid:durableId="1270434122">
    <w:abstractNumId w:val="5"/>
  </w:num>
  <w:num w:numId="13" w16cid:durableId="1697461057">
    <w:abstractNumId w:val="14"/>
  </w:num>
  <w:num w:numId="14" w16cid:durableId="104928031">
    <w:abstractNumId w:val="10"/>
  </w:num>
  <w:num w:numId="15" w16cid:durableId="243614976">
    <w:abstractNumId w:val="11"/>
  </w:num>
  <w:num w:numId="16" w16cid:durableId="9618064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6BBE"/>
    <w:rsid w:val="00001A86"/>
    <w:rsid w:val="0000404C"/>
    <w:rsid w:val="0000731E"/>
    <w:rsid w:val="0001071E"/>
    <w:rsid w:val="00014A8D"/>
    <w:rsid w:val="000151B4"/>
    <w:rsid w:val="00015756"/>
    <w:rsid w:val="00015792"/>
    <w:rsid w:val="0001712C"/>
    <w:rsid w:val="00017542"/>
    <w:rsid w:val="000222C4"/>
    <w:rsid w:val="00022C77"/>
    <w:rsid w:val="000255EE"/>
    <w:rsid w:val="00026CC2"/>
    <w:rsid w:val="000310AE"/>
    <w:rsid w:val="0003307B"/>
    <w:rsid w:val="00033EB9"/>
    <w:rsid w:val="0003527B"/>
    <w:rsid w:val="00040AA6"/>
    <w:rsid w:val="0004430D"/>
    <w:rsid w:val="000479BC"/>
    <w:rsid w:val="00047F3E"/>
    <w:rsid w:val="00050334"/>
    <w:rsid w:val="00052187"/>
    <w:rsid w:val="00052F72"/>
    <w:rsid w:val="000544F8"/>
    <w:rsid w:val="00056C02"/>
    <w:rsid w:val="00057796"/>
    <w:rsid w:val="00066E63"/>
    <w:rsid w:val="00071A06"/>
    <w:rsid w:val="00072C12"/>
    <w:rsid w:val="00074460"/>
    <w:rsid w:val="000819B6"/>
    <w:rsid w:val="00082E80"/>
    <w:rsid w:val="00087342"/>
    <w:rsid w:val="0009128C"/>
    <w:rsid w:val="000917DC"/>
    <w:rsid w:val="00091838"/>
    <w:rsid w:val="00091E14"/>
    <w:rsid w:val="00094A42"/>
    <w:rsid w:val="00094AF5"/>
    <w:rsid w:val="00094EFE"/>
    <w:rsid w:val="000951A8"/>
    <w:rsid w:val="000A3CBA"/>
    <w:rsid w:val="000A4FCD"/>
    <w:rsid w:val="000A5C2B"/>
    <w:rsid w:val="000A6195"/>
    <w:rsid w:val="000A79C9"/>
    <w:rsid w:val="000B0219"/>
    <w:rsid w:val="000B24F0"/>
    <w:rsid w:val="000B4CA1"/>
    <w:rsid w:val="000B59D2"/>
    <w:rsid w:val="000B631F"/>
    <w:rsid w:val="000C008C"/>
    <w:rsid w:val="000C0347"/>
    <w:rsid w:val="000C0CBF"/>
    <w:rsid w:val="000C0D0D"/>
    <w:rsid w:val="000C20A8"/>
    <w:rsid w:val="000C70EC"/>
    <w:rsid w:val="000D236E"/>
    <w:rsid w:val="000D50CE"/>
    <w:rsid w:val="000D5BA4"/>
    <w:rsid w:val="000D743B"/>
    <w:rsid w:val="000E1D7B"/>
    <w:rsid w:val="000E2B19"/>
    <w:rsid w:val="000E50BF"/>
    <w:rsid w:val="000E5AFF"/>
    <w:rsid w:val="000F20F1"/>
    <w:rsid w:val="000F3C34"/>
    <w:rsid w:val="0010047D"/>
    <w:rsid w:val="00102D93"/>
    <w:rsid w:val="00106CDB"/>
    <w:rsid w:val="0011178A"/>
    <w:rsid w:val="00111FA7"/>
    <w:rsid w:val="00122B1B"/>
    <w:rsid w:val="00125448"/>
    <w:rsid w:val="00127DEA"/>
    <w:rsid w:val="00127EC2"/>
    <w:rsid w:val="001307DB"/>
    <w:rsid w:val="00134525"/>
    <w:rsid w:val="00135220"/>
    <w:rsid w:val="00140919"/>
    <w:rsid w:val="00146B8F"/>
    <w:rsid w:val="00147B0E"/>
    <w:rsid w:val="00162F9D"/>
    <w:rsid w:val="00165F34"/>
    <w:rsid w:val="0016643E"/>
    <w:rsid w:val="001666A9"/>
    <w:rsid w:val="00171ADA"/>
    <w:rsid w:val="00174272"/>
    <w:rsid w:val="00176146"/>
    <w:rsid w:val="00180AFD"/>
    <w:rsid w:val="00181032"/>
    <w:rsid w:val="00192587"/>
    <w:rsid w:val="00192CD9"/>
    <w:rsid w:val="00193374"/>
    <w:rsid w:val="00195622"/>
    <w:rsid w:val="001A0FBA"/>
    <w:rsid w:val="001A19B5"/>
    <w:rsid w:val="001A5FAD"/>
    <w:rsid w:val="001B0D38"/>
    <w:rsid w:val="001B44FE"/>
    <w:rsid w:val="001B5AA2"/>
    <w:rsid w:val="001C2795"/>
    <w:rsid w:val="001C7077"/>
    <w:rsid w:val="001C7207"/>
    <w:rsid w:val="001D0C41"/>
    <w:rsid w:val="001D31A7"/>
    <w:rsid w:val="001D3FF8"/>
    <w:rsid w:val="001D69AC"/>
    <w:rsid w:val="001E30E9"/>
    <w:rsid w:val="001E503A"/>
    <w:rsid w:val="001E651D"/>
    <w:rsid w:val="001F090D"/>
    <w:rsid w:val="001F5172"/>
    <w:rsid w:val="0020359A"/>
    <w:rsid w:val="00204FB8"/>
    <w:rsid w:val="002069BA"/>
    <w:rsid w:val="00210048"/>
    <w:rsid w:val="00210DE0"/>
    <w:rsid w:val="00211CD8"/>
    <w:rsid w:val="0021285F"/>
    <w:rsid w:val="00212AC2"/>
    <w:rsid w:val="00213AD2"/>
    <w:rsid w:val="002143E4"/>
    <w:rsid w:val="00215B1D"/>
    <w:rsid w:val="0021769D"/>
    <w:rsid w:val="00217C7D"/>
    <w:rsid w:val="00220B88"/>
    <w:rsid w:val="002216FF"/>
    <w:rsid w:val="00225D1D"/>
    <w:rsid w:val="0023087F"/>
    <w:rsid w:val="00232985"/>
    <w:rsid w:val="00234315"/>
    <w:rsid w:val="00235610"/>
    <w:rsid w:val="00241729"/>
    <w:rsid w:val="002418A6"/>
    <w:rsid w:val="00241A8F"/>
    <w:rsid w:val="00242B28"/>
    <w:rsid w:val="002438F2"/>
    <w:rsid w:val="002445EC"/>
    <w:rsid w:val="00252E14"/>
    <w:rsid w:val="0025497F"/>
    <w:rsid w:val="00255570"/>
    <w:rsid w:val="002558A0"/>
    <w:rsid w:val="00255ABD"/>
    <w:rsid w:val="00255B21"/>
    <w:rsid w:val="00261393"/>
    <w:rsid w:val="00262452"/>
    <w:rsid w:val="00263B8D"/>
    <w:rsid w:val="00266BE5"/>
    <w:rsid w:val="00272097"/>
    <w:rsid w:val="00275B9A"/>
    <w:rsid w:val="00275F0E"/>
    <w:rsid w:val="00276532"/>
    <w:rsid w:val="00277F82"/>
    <w:rsid w:val="00280091"/>
    <w:rsid w:val="0028228F"/>
    <w:rsid w:val="00282EE5"/>
    <w:rsid w:val="00283AB5"/>
    <w:rsid w:val="00283F81"/>
    <w:rsid w:val="002844B4"/>
    <w:rsid w:val="002906AC"/>
    <w:rsid w:val="0029583D"/>
    <w:rsid w:val="002A106E"/>
    <w:rsid w:val="002A3D45"/>
    <w:rsid w:val="002A56F6"/>
    <w:rsid w:val="002A5D0A"/>
    <w:rsid w:val="002B346B"/>
    <w:rsid w:val="002C0B08"/>
    <w:rsid w:val="002C39F3"/>
    <w:rsid w:val="002C60A8"/>
    <w:rsid w:val="002C679F"/>
    <w:rsid w:val="002D33D0"/>
    <w:rsid w:val="002D34F4"/>
    <w:rsid w:val="002E03FB"/>
    <w:rsid w:val="002E20F4"/>
    <w:rsid w:val="002E247D"/>
    <w:rsid w:val="002E481C"/>
    <w:rsid w:val="002E72EA"/>
    <w:rsid w:val="002E7E42"/>
    <w:rsid w:val="002F129E"/>
    <w:rsid w:val="002F18F9"/>
    <w:rsid w:val="002F35A3"/>
    <w:rsid w:val="002F554C"/>
    <w:rsid w:val="003001BA"/>
    <w:rsid w:val="00300533"/>
    <w:rsid w:val="00304451"/>
    <w:rsid w:val="003076FD"/>
    <w:rsid w:val="00312BD9"/>
    <w:rsid w:val="003212A6"/>
    <w:rsid w:val="00326825"/>
    <w:rsid w:val="0033075B"/>
    <w:rsid w:val="003348FA"/>
    <w:rsid w:val="00340E3D"/>
    <w:rsid w:val="003423D6"/>
    <w:rsid w:val="0034269E"/>
    <w:rsid w:val="00343FBE"/>
    <w:rsid w:val="003440EF"/>
    <w:rsid w:val="0034606B"/>
    <w:rsid w:val="003462E9"/>
    <w:rsid w:val="00350C29"/>
    <w:rsid w:val="00350EAA"/>
    <w:rsid w:val="00353DCE"/>
    <w:rsid w:val="00355AEA"/>
    <w:rsid w:val="0036168C"/>
    <w:rsid w:val="00362A8F"/>
    <w:rsid w:val="003651B2"/>
    <w:rsid w:val="0036798A"/>
    <w:rsid w:val="00367BFF"/>
    <w:rsid w:val="003731B1"/>
    <w:rsid w:val="00375CFA"/>
    <w:rsid w:val="0037632C"/>
    <w:rsid w:val="00387729"/>
    <w:rsid w:val="003904CA"/>
    <w:rsid w:val="00391003"/>
    <w:rsid w:val="00391DDF"/>
    <w:rsid w:val="003948FD"/>
    <w:rsid w:val="003A2415"/>
    <w:rsid w:val="003A3729"/>
    <w:rsid w:val="003A3E75"/>
    <w:rsid w:val="003A4602"/>
    <w:rsid w:val="003B3FB2"/>
    <w:rsid w:val="003C483C"/>
    <w:rsid w:val="003C540A"/>
    <w:rsid w:val="003D0DDE"/>
    <w:rsid w:val="003D144B"/>
    <w:rsid w:val="003D38A5"/>
    <w:rsid w:val="003D437B"/>
    <w:rsid w:val="003D4585"/>
    <w:rsid w:val="003D5FD7"/>
    <w:rsid w:val="003E56FC"/>
    <w:rsid w:val="003F3081"/>
    <w:rsid w:val="003F5103"/>
    <w:rsid w:val="003F7B04"/>
    <w:rsid w:val="00401DB1"/>
    <w:rsid w:val="00404516"/>
    <w:rsid w:val="00404F14"/>
    <w:rsid w:val="004056DC"/>
    <w:rsid w:val="00405841"/>
    <w:rsid w:val="0041106F"/>
    <w:rsid w:val="00412DD1"/>
    <w:rsid w:val="00413BB5"/>
    <w:rsid w:val="00420E44"/>
    <w:rsid w:val="00424551"/>
    <w:rsid w:val="004257DE"/>
    <w:rsid w:val="004263D2"/>
    <w:rsid w:val="0043029D"/>
    <w:rsid w:val="004332C4"/>
    <w:rsid w:val="0043369D"/>
    <w:rsid w:val="00433779"/>
    <w:rsid w:val="00433F5E"/>
    <w:rsid w:val="004402FB"/>
    <w:rsid w:val="00442206"/>
    <w:rsid w:val="0044304C"/>
    <w:rsid w:val="00450F2C"/>
    <w:rsid w:val="004540D1"/>
    <w:rsid w:val="00454631"/>
    <w:rsid w:val="0045743E"/>
    <w:rsid w:val="004609A9"/>
    <w:rsid w:val="004615A9"/>
    <w:rsid w:val="00462535"/>
    <w:rsid w:val="00462E0B"/>
    <w:rsid w:val="00474335"/>
    <w:rsid w:val="00474F67"/>
    <w:rsid w:val="004757C0"/>
    <w:rsid w:val="0048084F"/>
    <w:rsid w:val="00481BF6"/>
    <w:rsid w:val="00492F80"/>
    <w:rsid w:val="00493EDB"/>
    <w:rsid w:val="00496EA2"/>
    <w:rsid w:val="004A01CF"/>
    <w:rsid w:val="004A3CB5"/>
    <w:rsid w:val="004A4E3D"/>
    <w:rsid w:val="004A6976"/>
    <w:rsid w:val="004A745E"/>
    <w:rsid w:val="004A7AF3"/>
    <w:rsid w:val="004B2D24"/>
    <w:rsid w:val="004B6351"/>
    <w:rsid w:val="004B70DD"/>
    <w:rsid w:val="004C3772"/>
    <w:rsid w:val="004C57FB"/>
    <w:rsid w:val="004C5A5B"/>
    <w:rsid w:val="004C76E1"/>
    <w:rsid w:val="004D0186"/>
    <w:rsid w:val="004D0E39"/>
    <w:rsid w:val="004D469E"/>
    <w:rsid w:val="004D5BE8"/>
    <w:rsid w:val="004D7632"/>
    <w:rsid w:val="004D7C67"/>
    <w:rsid w:val="004E1025"/>
    <w:rsid w:val="004E2500"/>
    <w:rsid w:val="004F26A4"/>
    <w:rsid w:val="004F428D"/>
    <w:rsid w:val="004F5082"/>
    <w:rsid w:val="004F5146"/>
    <w:rsid w:val="004F77DE"/>
    <w:rsid w:val="00502D46"/>
    <w:rsid w:val="00511DEB"/>
    <w:rsid w:val="005146CF"/>
    <w:rsid w:val="00526C08"/>
    <w:rsid w:val="00527FDD"/>
    <w:rsid w:val="00530E37"/>
    <w:rsid w:val="005335D1"/>
    <w:rsid w:val="00534CD9"/>
    <w:rsid w:val="00535820"/>
    <w:rsid w:val="00536C41"/>
    <w:rsid w:val="00540380"/>
    <w:rsid w:val="005454AF"/>
    <w:rsid w:val="00547B72"/>
    <w:rsid w:val="00550793"/>
    <w:rsid w:val="00552140"/>
    <w:rsid w:val="00552E63"/>
    <w:rsid w:val="00554147"/>
    <w:rsid w:val="00555025"/>
    <w:rsid w:val="005557D8"/>
    <w:rsid w:val="005567A0"/>
    <w:rsid w:val="00562AF0"/>
    <w:rsid w:val="0056758D"/>
    <w:rsid w:val="00571080"/>
    <w:rsid w:val="00573EB3"/>
    <w:rsid w:val="005755C2"/>
    <w:rsid w:val="00575E49"/>
    <w:rsid w:val="0058035B"/>
    <w:rsid w:val="0058340F"/>
    <w:rsid w:val="005849FD"/>
    <w:rsid w:val="00584E18"/>
    <w:rsid w:val="00586A08"/>
    <w:rsid w:val="005910DA"/>
    <w:rsid w:val="005A27D0"/>
    <w:rsid w:val="005C028A"/>
    <w:rsid w:val="005C09E0"/>
    <w:rsid w:val="005C3944"/>
    <w:rsid w:val="005D1F3D"/>
    <w:rsid w:val="005D2612"/>
    <w:rsid w:val="005D2939"/>
    <w:rsid w:val="005D48B8"/>
    <w:rsid w:val="005D5555"/>
    <w:rsid w:val="005E2258"/>
    <w:rsid w:val="005E7564"/>
    <w:rsid w:val="005F0C66"/>
    <w:rsid w:val="005F2290"/>
    <w:rsid w:val="005F265A"/>
    <w:rsid w:val="005F5588"/>
    <w:rsid w:val="005F5663"/>
    <w:rsid w:val="00601000"/>
    <w:rsid w:val="0060202B"/>
    <w:rsid w:val="00602041"/>
    <w:rsid w:val="00603CDA"/>
    <w:rsid w:val="006054DD"/>
    <w:rsid w:val="00610B1E"/>
    <w:rsid w:val="00612298"/>
    <w:rsid w:val="00612ABA"/>
    <w:rsid w:val="00614145"/>
    <w:rsid w:val="00616459"/>
    <w:rsid w:val="006169F4"/>
    <w:rsid w:val="00625DAB"/>
    <w:rsid w:val="006327CD"/>
    <w:rsid w:val="00642C98"/>
    <w:rsid w:val="00650FFD"/>
    <w:rsid w:val="006656F3"/>
    <w:rsid w:val="006719D4"/>
    <w:rsid w:val="006721D3"/>
    <w:rsid w:val="00674624"/>
    <w:rsid w:val="00677808"/>
    <w:rsid w:val="006801D9"/>
    <w:rsid w:val="00681FB7"/>
    <w:rsid w:val="00682156"/>
    <w:rsid w:val="006828E1"/>
    <w:rsid w:val="0068458E"/>
    <w:rsid w:val="00684F0C"/>
    <w:rsid w:val="00685535"/>
    <w:rsid w:val="00685A89"/>
    <w:rsid w:val="006918AF"/>
    <w:rsid w:val="00697B81"/>
    <w:rsid w:val="006A113E"/>
    <w:rsid w:val="006A3578"/>
    <w:rsid w:val="006B0B77"/>
    <w:rsid w:val="006B1C59"/>
    <w:rsid w:val="006B7BCE"/>
    <w:rsid w:val="006C077C"/>
    <w:rsid w:val="006C2F19"/>
    <w:rsid w:val="006C5B62"/>
    <w:rsid w:val="006C5E32"/>
    <w:rsid w:val="006C7337"/>
    <w:rsid w:val="006D452A"/>
    <w:rsid w:val="006F09BD"/>
    <w:rsid w:val="006F2875"/>
    <w:rsid w:val="006F7C84"/>
    <w:rsid w:val="007116E8"/>
    <w:rsid w:val="0071523E"/>
    <w:rsid w:val="00717B48"/>
    <w:rsid w:val="00720FC1"/>
    <w:rsid w:val="00722502"/>
    <w:rsid w:val="007232F9"/>
    <w:rsid w:val="007251AE"/>
    <w:rsid w:val="00726650"/>
    <w:rsid w:val="007303D1"/>
    <w:rsid w:val="00735099"/>
    <w:rsid w:val="0073538B"/>
    <w:rsid w:val="007354D5"/>
    <w:rsid w:val="007379A9"/>
    <w:rsid w:val="00741588"/>
    <w:rsid w:val="00746789"/>
    <w:rsid w:val="00746B13"/>
    <w:rsid w:val="0075069C"/>
    <w:rsid w:val="00752E5D"/>
    <w:rsid w:val="007607AC"/>
    <w:rsid w:val="00761595"/>
    <w:rsid w:val="007622E8"/>
    <w:rsid w:val="00764E4E"/>
    <w:rsid w:val="00765BBB"/>
    <w:rsid w:val="00767DEE"/>
    <w:rsid w:val="00770FD9"/>
    <w:rsid w:val="00772088"/>
    <w:rsid w:val="0077449D"/>
    <w:rsid w:val="007815C9"/>
    <w:rsid w:val="00784EAE"/>
    <w:rsid w:val="00791FA7"/>
    <w:rsid w:val="007937E8"/>
    <w:rsid w:val="00793BEA"/>
    <w:rsid w:val="00795B79"/>
    <w:rsid w:val="007A079A"/>
    <w:rsid w:val="007A182B"/>
    <w:rsid w:val="007A1D37"/>
    <w:rsid w:val="007A4E46"/>
    <w:rsid w:val="007A68D7"/>
    <w:rsid w:val="007B0A48"/>
    <w:rsid w:val="007B5675"/>
    <w:rsid w:val="007B5983"/>
    <w:rsid w:val="007C199C"/>
    <w:rsid w:val="007C2598"/>
    <w:rsid w:val="007C3655"/>
    <w:rsid w:val="007C66A3"/>
    <w:rsid w:val="007C7A57"/>
    <w:rsid w:val="007D09DF"/>
    <w:rsid w:val="007D16AA"/>
    <w:rsid w:val="007D5B1E"/>
    <w:rsid w:val="007D6565"/>
    <w:rsid w:val="007D6C81"/>
    <w:rsid w:val="007E5767"/>
    <w:rsid w:val="007E5809"/>
    <w:rsid w:val="007E6858"/>
    <w:rsid w:val="007F2068"/>
    <w:rsid w:val="007F269A"/>
    <w:rsid w:val="007F4F00"/>
    <w:rsid w:val="007F7F72"/>
    <w:rsid w:val="00801563"/>
    <w:rsid w:val="008029B6"/>
    <w:rsid w:val="00805F65"/>
    <w:rsid w:val="00806783"/>
    <w:rsid w:val="00807049"/>
    <w:rsid w:val="00813117"/>
    <w:rsid w:val="008149E6"/>
    <w:rsid w:val="00815069"/>
    <w:rsid w:val="00816264"/>
    <w:rsid w:val="0081676F"/>
    <w:rsid w:val="008179D2"/>
    <w:rsid w:val="00824012"/>
    <w:rsid w:val="00826E8D"/>
    <w:rsid w:val="008301AC"/>
    <w:rsid w:val="00831721"/>
    <w:rsid w:val="00832339"/>
    <w:rsid w:val="008363EE"/>
    <w:rsid w:val="00836ACC"/>
    <w:rsid w:val="00836C82"/>
    <w:rsid w:val="00836C93"/>
    <w:rsid w:val="008403CB"/>
    <w:rsid w:val="00842B83"/>
    <w:rsid w:val="008451C6"/>
    <w:rsid w:val="0084696C"/>
    <w:rsid w:val="00847359"/>
    <w:rsid w:val="00855810"/>
    <w:rsid w:val="00862922"/>
    <w:rsid w:val="00863870"/>
    <w:rsid w:val="00864313"/>
    <w:rsid w:val="00865DDC"/>
    <w:rsid w:val="008666A7"/>
    <w:rsid w:val="00866E4A"/>
    <w:rsid w:val="008802F4"/>
    <w:rsid w:val="00881455"/>
    <w:rsid w:val="00890992"/>
    <w:rsid w:val="00893F79"/>
    <w:rsid w:val="00894413"/>
    <w:rsid w:val="008B0DDF"/>
    <w:rsid w:val="008B2CC3"/>
    <w:rsid w:val="008B71B3"/>
    <w:rsid w:val="008C1E98"/>
    <w:rsid w:val="008C413D"/>
    <w:rsid w:val="008C4F89"/>
    <w:rsid w:val="008E0BA0"/>
    <w:rsid w:val="008E3976"/>
    <w:rsid w:val="008E5473"/>
    <w:rsid w:val="008E768E"/>
    <w:rsid w:val="008F0B01"/>
    <w:rsid w:val="008F17FD"/>
    <w:rsid w:val="008F371A"/>
    <w:rsid w:val="009016EA"/>
    <w:rsid w:val="00903464"/>
    <w:rsid w:val="00903DB6"/>
    <w:rsid w:val="00911E43"/>
    <w:rsid w:val="009163E7"/>
    <w:rsid w:val="009207B6"/>
    <w:rsid w:val="00921AF9"/>
    <w:rsid w:val="009239EC"/>
    <w:rsid w:val="00925A9C"/>
    <w:rsid w:val="0093210E"/>
    <w:rsid w:val="0093216C"/>
    <w:rsid w:val="0093290D"/>
    <w:rsid w:val="00932BB1"/>
    <w:rsid w:val="00933415"/>
    <w:rsid w:val="0094150B"/>
    <w:rsid w:val="009424C3"/>
    <w:rsid w:val="00943D94"/>
    <w:rsid w:val="00950C2C"/>
    <w:rsid w:val="009627F6"/>
    <w:rsid w:val="0096297C"/>
    <w:rsid w:val="00962E12"/>
    <w:rsid w:val="00966A00"/>
    <w:rsid w:val="00967C1A"/>
    <w:rsid w:val="00971690"/>
    <w:rsid w:val="00972B30"/>
    <w:rsid w:val="00974EEC"/>
    <w:rsid w:val="00977CAC"/>
    <w:rsid w:val="00980646"/>
    <w:rsid w:val="009813F2"/>
    <w:rsid w:val="00985004"/>
    <w:rsid w:val="00986D73"/>
    <w:rsid w:val="00987A7E"/>
    <w:rsid w:val="009917F4"/>
    <w:rsid w:val="0099326E"/>
    <w:rsid w:val="009936DC"/>
    <w:rsid w:val="00994D58"/>
    <w:rsid w:val="00995699"/>
    <w:rsid w:val="009A41CD"/>
    <w:rsid w:val="009B321E"/>
    <w:rsid w:val="009B3D2E"/>
    <w:rsid w:val="009C767F"/>
    <w:rsid w:val="009C7F0F"/>
    <w:rsid w:val="009D4CDD"/>
    <w:rsid w:val="009E0D6A"/>
    <w:rsid w:val="009E12BA"/>
    <w:rsid w:val="009E1828"/>
    <w:rsid w:val="009E1C92"/>
    <w:rsid w:val="009E5850"/>
    <w:rsid w:val="009F127B"/>
    <w:rsid w:val="009F2708"/>
    <w:rsid w:val="009F6502"/>
    <w:rsid w:val="00A01564"/>
    <w:rsid w:val="00A0247A"/>
    <w:rsid w:val="00A07605"/>
    <w:rsid w:val="00A11AA6"/>
    <w:rsid w:val="00A11FD6"/>
    <w:rsid w:val="00A12596"/>
    <w:rsid w:val="00A133C3"/>
    <w:rsid w:val="00A255F8"/>
    <w:rsid w:val="00A25D4A"/>
    <w:rsid w:val="00A277BA"/>
    <w:rsid w:val="00A33523"/>
    <w:rsid w:val="00A34B1F"/>
    <w:rsid w:val="00A36C3E"/>
    <w:rsid w:val="00A37F16"/>
    <w:rsid w:val="00A45BFE"/>
    <w:rsid w:val="00A46DF0"/>
    <w:rsid w:val="00A509DC"/>
    <w:rsid w:val="00A528F4"/>
    <w:rsid w:val="00A529AE"/>
    <w:rsid w:val="00A5359F"/>
    <w:rsid w:val="00A5382D"/>
    <w:rsid w:val="00A6180A"/>
    <w:rsid w:val="00A63E66"/>
    <w:rsid w:val="00A7150A"/>
    <w:rsid w:val="00A725DF"/>
    <w:rsid w:val="00A73A29"/>
    <w:rsid w:val="00A7568E"/>
    <w:rsid w:val="00A8236C"/>
    <w:rsid w:val="00A82A18"/>
    <w:rsid w:val="00A83160"/>
    <w:rsid w:val="00A840C1"/>
    <w:rsid w:val="00A84756"/>
    <w:rsid w:val="00A86B53"/>
    <w:rsid w:val="00A87431"/>
    <w:rsid w:val="00A9588A"/>
    <w:rsid w:val="00A9704C"/>
    <w:rsid w:val="00A97560"/>
    <w:rsid w:val="00AA13CD"/>
    <w:rsid w:val="00AA1867"/>
    <w:rsid w:val="00AA1E06"/>
    <w:rsid w:val="00AA30B8"/>
    <w:rsid w:val="00AA3A61"/>
    <w:rsid w:val="00AA3DCC"/>
    <w:rsid w:val="00AA739D"/>
    <w:rsid w:val="00AA7CE4"/>
    <w:rsid w:val="00AC0719"/>
    <w:rsid w:val="00AC5CE8"/>
    <w:rsid w:val="00AC793D"/>
    <w:rsid w:val="00AD0155"/>
    <w:rsid w:val="00AD3ACC"/>
    <w:rsid w:val="00AD466F"/>
    <w:rsid w:val="00AD4EC0"/>
    <w:rsid w:val="00AD6C54"/>
    <w:rsid w:val="00AE09A7"/>
    <w:rsid w:val="00AE1258"/>
    <w:rsid w:val="00AE13B3"/>
    <w:rsid w:val="00AE316B"/>
    <w:rsid w:val="00AE3548"/>
    <w:rsid w:val="00AE6178"/>
    <w:rsid w:val="00AF2308"/>
    <w:rsid w:val="00AF2C53"/>
    <w:rsid w:val="00AF5F2D"/>
    <w:rsid w:val="00AF704F"/>
    <w:rsid w:val="00AF797B"/>
    <w:rsid w:val="00B0503B"/>
    <w:rsid w:val="00B10822"/>
    <w:rsid w:val="00B16C3D"/>
    <w:rsid w:val="00B16E31"/>
    <w:rsid w:val="00B1704C"/>
    <w:rsid w:val="00B20716"/>
    <w:rsid w:val="00B21D96"/>
    <w:rsid w:val="00B232C6"/>
    <w:rsid w:val="00B232FD"/>
    <w:rsid w:val="00B2455F"/>
    <w:rsid w:val="00B25A0A"/>
    <w:rsid w:val="00B26366"/>
    <w:rsid w:val="00B26EFC"/>
    <w:rsid w:val="00B27179"/>
    <w:rsid w:val="00B330C5"/>
    <w:rsid w:val="00B402D9"/>
    <w:rsid w:val="00B407BF"/>
    <w:rsid w:val="00B43651"/>
    <w:rsid w:val="00B451CA"/>
    <w:rsid w:val="00B50B8A"/>
    <w:rsid w:val="00B516A0"/>
    <w:rsid w:val="00B5184E"/>
    <w:rsid w:val="00B5268F"/>
    <w:rsid w:val="00B53223"/>
    <w:rsid w:val="00B55CF2"/>
    <w:rsid w:val="00B60AB7"/>
    <w:rsid w:val="00B63DF0"/>
    <w:rsid w:val="00B64AAC"/>
    <w:rsid w:val="00B67037"/>
    <w:rsid w:val="00B807F4"/>
    <w:rsid w:val="00B81063"/>
    <w:rsid w:val="00B824C1"/>
    <w:rsid w:val="00B92AB1"/>
    <w:rsid w:val="00B94DCE"/>
    <w:rsid w:val="00B94F25"/>
    <w:rsid w:val="00B977FD"/>
    <w:rsid w:val="00B97B68"/>
    <w:rsid w:val="00BA6781"/>
    <w:rsid w:val="00BA7CF4"/>
    <w:rsid w:val="00BB10B4"/>
    <w:rsid w:val="00BB29D7"/>
    <w:rsid w:val="00BB446B"/>
    <w:rsid w:val="00BB61F9"/>
    <w:rsid w:val="00BB6DAD"/>
    <w:rsid w:val="00BB7771"/>
    <w:rsid w:val="00BC254A"/>
    <w:rsid w:val="00BC367A"/>
    <w:rsid w:val="00BC4424"/>
    <w:rsid w:val="00BC52CB"/>
    <w:rsid w:val="00BC6AAD"/>
    <w:rsid w:val="00BD7605"/>
    <w:rsid w:val="00BD78BC"/>
    <w:rsid w:val="00BD7A3B"/>
    <w:rsid w:val="00BE3EA0"/>
    <w:rsid w:val="00BE7522"/>
    <w:rsid w:val="00BF064F"/>
    <w:rsid w:val="00BF198C"/>
    <w:rsid w:val="00BF1CE0"/>
    <w:rsid w:val="00BF433E"/>
    <w:rsid w:val="00BF43EE"/>
    <w:rsid w:val="00BF55F8"/>
    <w:rsid w:val="00BF78C1"/>
    <w:rsid w:val="00BF791E"/>
    <w:rsid w:val="00C02858"/>
    <w:rsid w:val="00C05697"/>
    <w:rsid w:val="00C105BA"/>
    <w:rsid w:val="00C11FF1"/>
    <w:rsid w:val="00C155EB"/>
    <w:rsid w:val="00C16A15"/>
    <w:rsid w:val="00C16D76"/>
    <w:rsid w:val="00C16F12"/>
    <w:rsid w:val="00C1785F"/>
    <w:rsid w:val="00C20339"/>
    <w:rsid w:val="00C21E80"/>
    <w:rsid w:val="00C22E1F"/>
    <w:rsid w:val="00C23295"/>
    <w:rsid w:val="00C24942"/>
    <w:rsid w:val="00C24AF3"/>
    <w:rsid w:val="00C26F80"/>
    <w:rsid w:val="00C30318"/>
    <w:rsid w:val="00C31871"/>
    <w:rsid w:val="00C31B07"/>
    <w:rsid w:val="00C33144"/>
    <w:rsid w:val="00C334EF"/>
    <w:rsid w:val="00C3360D"/>
    <w:rsid w:val="00C35A42"/>
    <w:rsid w:val="00C35B55"/>
    <w:rsid w:val="00C3782B"/>
    <w:rsid w:val="00C4095B"/>
    <w:rsid w:val="00C42B73"/>
    <w:rsid w:val="00C42CE1"/>
    <w:rsid w:val="00C462A9"/>
    <w:rsid w:val="00C47A76"/>
    <w:rsid w:val="00C5317A"/>
    <w:rsid w:val="00C56ECD"/>
    <w:rsid w:val="00C5733F"/>
    <w:rsid w:val="00C61A4F"/>
    <w:rsid w:val="00C66CF3"/>
    <w:rsid w:val="00C67A3A"/>
    <w:rsid w:val="00C72CBD"/>
    <w:rsid w:val="00C7623B"/>
    <w:rsid w:val="00C84F92"/>
    <w:rsid w:val="00C86BBE"/>
    <w:rsid w:val="00C90A47"/>
    <w:rsid w:val="00C92F46"/>
    <w:rsid w:val="00C93810"/>
    <w:rsid w:val="00C9644E"/>
    <w:rsid w:val="00C9739B"/>
    <w:rsid w:val="00CA06FB"/>
    <w:rsid w:val="00CA1B27"/>
    <w:rsid w:val="00CA1BDB"/>
    <w:rsid w:val="00CA2D1F"/>
    <w:rsid w:val="00CA4D2B"/>
    <w:rsid w:val="00CA64F6"/>
    <w:rsid w:val="00CB09A5"/>
    <w:rsid w:val="00CB2361"/>
    <w:rsid w:val="00CB2D8C"/>
    <w:rsid w:val="00CC19FE"/>
    <w:rsid w:val="00CD1D42"/>
    <w:rsid w:val="00CD4A5E"/>
    <w:rsid w:val="00CD57C8"/>
    <w:rsid w:val="00CD5CA0"/>
    <w:rsid w:val="00CD7F5B"/>
    <w:rsid w:val="00CE14E1"/>
    <w:rsid w:val="00CE298F"/>
    <w:rsid w:val="00CE2D38"/>
    <w:rsid w:val="00CE2DC2"/>
    <w:rsid w:val="00CE39E4"/>
    <w:rsid w:val="00CE5925"/>
    <w:rsid w:val="00CE70CC"/>
    <w:rsid w:val="00CF3153"/>
    <w:rsid w:val="00CF3535"/>
    <w:rsid w:val="00CF40BE"/>
    <w:rsid w:val="00D04BA9"/>
    <w:rsid w:val="00D07688"/>
    <w:rsid w:val="00D106C9"/>
    <w:rsid w:val="00D151CB"/>
    <w:rsid w:val="00D15BA8"/>
    <w:rsid w:val="00D21C74"/>
    <w:rsid w:val="00D22EEC"/>
    <w:rsid w:val="00D23EC3"/>
    <w:rsid w:val="00D24CE6"/>
    <w:rsid w:val="00D323CF"/>
    <w:rsid w:val="00D3324D"/>
    <w:rsid w:val="00D419F5"/>
    <w:rsid w:val="00D44B25"/>
    <w:rsid w:val="00D541A8"/>
    <w:rsid w:val="00D54C7D"/>
    <w:rsid w:val="00D65000"/>
    <w:rsid w:val="00D679F3"/>
    <w:rsid w:val="00D722AE"/>
    <w:rsid w:val="00D77246"/>
    <w:rsid w:val="00D801C6"/>
    <w:rsid w:val="00D80B60"/>
    <w:rsid w:val="00D871FA"/>
    <w:rsid w:val="00D927F4"/>
    <w:rsid w:val="00D931D8"/>
    <w:rsid w:val="00D96A2E"/>
    <w:rsid w:val="00D97ACC"/>
    <w:rsid w:val="00DA2696"/>
    <w:rsid w:val="00DA3B91"/>
    <w:rsid w:val="00DA448E"/>
    <w:rsid w:val="00DB025B"/>
    <w:rsid w:val="00DB14E3"/>
    <w:rsid w:val="00DB685E"/>
    <w:rsid w:val="00DB78DC"/>
    <w:rsid w:val="00DB7DEE"/>
    <w:rsid w:val="00DC0053"/>
    <w:rsid w:val="00DC3048"/>
    <w:rsid w:val="00DC38CA"/>
    <w:rsid w:val="00DC40FA"/>
    <w:rsid w:val="00DC4898"/>
    <w:rsid w:val="00DC59DF"/>
    <w:rsid w:val="00DC6D67"/>
    <w:rsid w:val="00DC7571"/>
    <w:rsid w:val="00DD0408"/>
    <w:rsid w:val="00DE105D"/>
    <w:rsid w:val="00DE321B"/>
    <w:rsid w:val="00DE7D74"/>
    <w:rsid w:val="00DF2467"/>
    <w:rsid w:val="00DF667E"/>
    <w:rsid w:val="00E02B11"/>
    <w:rsid w:val="00E10362"/>
    <w:rsid w:val="00E11A52"/>
    <w:rsid w:val="00E1598D"/>
    <w:rsid w:val="00E204D3"/>
    <w:rsid w:val="00E23FE7"/>
    <w:rsid w:val="00E27898"/>
    <w:rsid w:val="00E3022F"/>
    <w:rsid w:val="00E30F81"/>
    <w:rsid w:val="00E328E4"/>
    <w:rsid w:val="00E34A6A"/>
    <w:rsid w:val="00E3553A"/>
    <w:rsid w:val="00E360E5"/>
    <w:rsid w:val="00E36820"/>
    <w:rsid w:val="00E370DD"/>
    <w:rsid w:val="00E4103A"/>
    <w:rsid w:val="00E41719"/>
    <w:rsid w:val="00E41BA7"/>
    <w:rsid w:val="00E41C6A"/>
    <w:rsid w:val="00E455EE"/>
    <w:rsid w:val="00E50419"/>
    <w:rsid w:val="00E543F3"/>
    <w:rsid w:val="00E557C0"/>
    <w:rsid w:val="00E56E52"/>
    <w:rsid w:val="00E57B10"/>
    <w:rsid w:val="00E61284"/>
    <w:rsid w:val="00E65994"/>
    <w:rsid w:val="00E659F2"/>
    <w:rsid w:val="00E66405"/>
    <w:rsid w:val="00E72614"/>
    <w:rsid w:val="00E73E9A"/>
    <w:rsid w:val="00E7749D"/>
    <w:rsid w:val="00E776BB"/>
    <w:rsid w:val="00E834AD"/>
    <w:rsid w:val="00E84D5E"/>
    <w:rsid w:val="00E85681"/>
    <w:rsid w:val="00E90B26"/>
    <w:rsid w:val="00EA0B88"/>
    <w:rsid w:val="00EA4F74"/>
    <w:rsid w:val="00EA6BC7"/>
    <w:rsid w:val="00EB01C0"/>
    <w:rsid w:val="00EB0A03"/>
    <w:rsid w:val="00EB0ECC"/>
    <w:rsid w:val="00EB298C"/>
    <w:rsid w:val="00EB3061"/>
    <w:rsid w:val="00EB4B2E"/>
    <w:rsid w:val="00EC256E"/>
    <w:rsid w:val="00EC5D7B"/>
    <w:rsid w:val="00EC6F6F"/>
    <w:rsid w:val="00ED08F7"/>
    <w:rsid w:val="00ED6EBC"/>
    <w:rsid w:val="00EE218B"/>
    <w:rsid w:val="00EE5061"/>
    <w:rsid w:val="00EE67D1"/>
    <w:rsid w:val="00EE7227"/>
    <w:rsid w:val="00EF0816"/>
    <w:rsid w:val="00EF099E"/>
    <w:rsid w:val="00EF5170"/>
    <w:rsid w:val="00F035C2"/>
    <w:rsid w:val="00F059AB"/>
    <w:rsid w:val="00F0747C"/>
    <w:rsid w:val="00F12828"/>
    <w:rsid w:val="00F13815"/>
    <w:rsid w:val="00F139D1"/>
    <w:rsid w:val="00F158CB"/>
    <w:rsid w:val="00F20A43"/>
    <w:rsid w:val="00F23AAD"/>
    <w:rsid w:val="00F24058"/>
    <w:rsid w:val="00F264E2"/>
    <w:rsid w:val="00F30C2D"/>
    <w:rsid w:val="00F3362A"/>
    <w:rsid w:val="00F35D12"/>
    <w:rsid w:val="00F3746F"/>
    <w:rsid w:val="00F403CD"/>
    <w:rsid w:val="00F42D82"/>
    <w:rsid w:val="00F441FA"/>
    <w:rsid w:val="00F47173"/>
    <w:rsid w:val="00F478D9"/>
    <w:rsid w:val="00F50CE7"/>
    <w:rsid w:val="00F55215"/>
    <w:rsid w:val="00F55DE2"/>
    <w:rsid w:val="00F57D94"/>
    <w:rsid w:val="00F61E5C"/>
    <w:rsid w:val="00F62875"/>
    <w:rsid w:val="00F67FAE"/>
    <w:rsid w:val="00F733E9"/>
    <w:rsid w:val="00F76167"/>
    <w:rsid w:val="00F82564"/>
    <w:rsid w:val="00F8359C"/>
    <w:rsid w:val="00F854A2"/>
    <w:rsid w:val="00F86BF4"/>
    <w:rsid w:val="00F907B8"/>
    <w:rsid w:val="00F952A3"/>
    <w:rsid w:val="00F96856"/>
    <w:rsid w:val="00FA5BAD"/>
    <w:rsid w:val="00FB45BE"/>
    <w:rsid w:val="00FB4C64"/>
    <w:rsid w:val="00FB64FA"/>
    <w:rsid w:val="00FD135F"/>
    <w:rsid w:val="00FD57B9"/>
    <w:rsid w:val="00FD7C31"/>
    <w:rsid w:val="00FE0661"/>
    <w:rsid w:val="00FE3F27"/>
    <w:rsid w:val="00FE569A"/>
    <w:rsid w:val="00FE7728"/>
    <w:rsid w:val="00FF2127"/>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C6493"/>
  <w15:chartTrackingRefBased/>
  <w15:docId w15:val="{D5BF5F2C-6B4D-1549-A1DF-780A01BA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ngXian" w:eastAsia="DengXian" w:hAnsi="DengXi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6BBE"/>
    <w:rPr>
      <w:rFonts w:ascii="Times New Roman" w:eastAsia="宋体" w:hAnsi="Times New Roman"/>
      <w:kern w:val="2"/>
      <w:sz w:val="21"/>
      <w:szCs w:val="24"/>
    </w:rPr>
  </w:style>
  <w:style w:type="paragraph" w:styleId="1">
    <w:name w:val="heading 1"/>
    <w:basedOn w:val="a"/>
    <w:next w:val="a"/>
    <w:link w:val="10"/>
    <w:uiPriority w:val="9"/>
    <w:qFormat/>
    <w:rsid w:val="00C86BBE"/>
    <w:pPr>
      <w:keepNext/>
      <w:keepLines/>
      <w:spacing w:before="300" w:after="300"/>
      <w:jc w:val="center"/>
      <w:outlineLvl w:val="0"/>
    </w:pPr>
    <w:rPr>
      <w:rFonts w:ascii="宋体" w:hAnsi="宋体"/>
      <w:b/>
      <w:color w:val="000000"/>
      <w:sz w:val="30"/>
      <w:szCs w:val="30"/>
    </w:rPr>
  </w:style>
  <w:style w:type="paragraph" w:styleId="2">
    <w:name w:val="heading 2"/>
    <w:basedOn w:val="a"/>
    <w:next w:val="a"/>
    <w:link w:val="20"/>
    <w:uiPriority w:val="9"/>
    <w:unhideWhenUsed/>
    <w:qFormat/>
    <w:rsid w:val="00C86BBE"/>
    <w:pPr>
      <w:keepNext/>
      <w:keepLines/>
      <w:spacing w:before="300" w:after="300"/>
      <w:jc w:val="center"/>
      <w:outlineLvl w:val="1"/>
    </w:pPr>
    <w:rPr>
      <w:rFonts w:ascii="宋体" w:hAnsi="宋体"/>
      <w:b/>
      <w:color w:val="000000"/>
      <w:sz w:val="30"/>
      <w:szCs w:val="30"/>
    </w:rPr>
  </w:style>
  <w:style w:type="paragraph" w:styleId="3">
    <w:name w:val="heading 3"/>
    <w:basedOn w:val="a"/>
    <w:next w:val="a"/>
    <w:link w:val="30"/>
    <w:uiPriority w:val="9"/>
    <w:semiHidden/>
    <w:unhideWhenUsed/>
    <w:qFormat/>
    <w:rsid w:val="00C86BBE"/>
    <w:pPr>
      <w:keepNext/>
      <w:keepLines/>
      <w:spacing w:before="160" w:after="80"/>
      <w:outlineLvl w:val="2"/>
    </w:pPr>
    <w:rPr>
      <w:rFonts w:ascii="等线 Light" w:eastAsia="等线 Light" w:hAnsi="等线 Light"/>
      <w:color w:val="2F5496"/>
      <w:sz w:val="32"/>
      <w:szCs w:val="32"/>
    </w:rPr>
  </w:style>
  <w:style w:type="paragraph" w:styleId="4">
    <w:name w:val="heading 4"/>
    <w:basedOn w:val="a"/>
    <w:next w:val="a"/>
    <w:link w:val="40"/>
    <w:uiPriority w:val="9"/>
    <w:semiHidden/>
    <w:unhideWhenUsed/>
    <w:qFormat/>
    <w:rsid w:val="00C86BBE"/>
    <w:pPr>
      <w:keepNext/>
      <w:keepLines/>
      <w:spacing w:before="80" w:after="40"/>
      <w:outlineLvl w:val="3"/>
    </w:pPr>
    <w:rPr>
      <w:color w:val="2F5496"/>
      <w:sz w:val="28"/>
      <w:szCs w:val="28"/>
    </w:rPr>
  </w:style>
  <w:style w:type="paragraph" w:styleId="5">
    <w:name w:val="heading 5"/>
    <w:basedOn w:val="a"/>
    <w:next w:val="a"/>
    <w:link w:val="50"/>
    <w:uiPriority w:val="9"/>
    <w:semiHidden/>
    <w:unhideWhenUsed/>
    <w:qFormat/>
    <w:rsid w:val="00C86BBE"/>
    <w:pPr>
      <w:keepNext/>
      <w:keepLines/>
      <w:spacing w:before="80" w:after="40"/>
      <w:outlineLvl w:val="4"/>
    </w:pPr>
    <w:rPr>
      <w:color w:val="2F5496"/>
      <w:sz w:val="24"/>
    </w:rPr>
  </w:style>
  <w:style w:type="paragraph" w:styleId="6">
    <w:name w:val="heading 6"/>
    <w:basedOn w:val="a"/>
    <w:next w:val="a"/>
    <w:link w:val="60"/>
    <w:uiPriority w:val="9"/>
    <w:semiHidden/>
    <w:unhideWhenUsed/>
    <w:qFormat/>
    <w:rsid w:val="00C86BBE"/>
    <w:pPr>
      <w:keepNext/>
      <w:keepLines/>
      <w:spacing w:before="40"/>
      <w:outlineLvl w:val="5"/>
    </w:pPr>
    <w:rPr>
      <w:b/>
      <w:bCs/>
      <w:color w:val="2F5496"/>
    </w:rPr>
  </w:style>
  <w:style w:type="paragraph" w:styleId="7">
    <w:name w:val="heading 7"/>
    <w:basedOn w:val="a"/>
    <w:next w:val="a"/>
    <w:link w:val="70"/>
    <w:uiPriority w:val="9"/>
    <w:semiHidden/>
    <w:unhideWhenUsed/>
    <w:qFormat/>
    <w:rsid w:val="00C86BBE"/>
    <w:pPr>
      <w:keepNext/>
      <w:keepLines/>
      <w:spacing w:before="40"/>
      <w:outlineLvl w:val="6"/>
    </w:pPr>
    <w:rPr>
      <w:b/>
      <w:bCs/>
      <w:color w:val="595959"/>
    </w:rPr>
  </w:style>
  <w:style w:type="paragraph" w:styleId="8">
    <w:name w:val="heading 8"/>
    <w:basedOn w:val="a"/>
    <w:next w:val="a"/>
    <w:link w:val="80"/>
    <w:uiPriority w:val="9"/>
    <w:semiHidden/>
    <w:unhideWhenUsed/>
    <w:qFormat/>
    <w:rsid w:val="00C86BBE"/>
    <w:pPr>
      <w:keepNext/>
      <w:keepLines/>
      <w:outlineLvl w:val="7"/>
    </w:pPr>
    <w:rPr>
      <w:color w:val="595959"/>
    </w:rPr>
  </w:style>
  <w:style w:type="paragraph" w:styleId="9">
    <w:name w:val="heading 9"/>
    <w:basedOn w:val="a"/>
    <w:next w:val="a"/>
    <w:link w:val="90"/>
    <w:uiPriority w:val="9"/>
    <w:semiHidden/>
    <w:unhideWhenUsed/>
    <w:qFormat/>
    <w:rsid w:val="00C86BBE"/>
    <w:pPr>
      <w:keepNext/>
      <w:keepLines/>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C86BBE"/>
    <w:rPr>
      <w:rFonts w:ascii="等线 Light" w:eastAsia="等线 Light" w:hAnsi="等线 Light" w:cs="Times New Roman"/>
      <w:color w:val="2F5496"/>
      <w:sz w:val="48"/>
      <w:szCs w:val="48"/>
    </w:rPr>
  </w:style>
  <w:style w:type="character" w:customStyle="1" w:styleId="20">
    <w:name w:val="标题 2 字符"/>
    <w:link w:val="2"/>
    <w:uiPriority w:val="9"/>
    <w:rsid w:val="00C86BBE"/>
    <w:rPr>
      <w:rFonts w:ascii="等线 Light" w:eastAsia="等线 Light" w:hAnsi="等线 Light" w:cs="Times New Roman"/>
      <w:color w:val="2F5496"/>
      <w:sz w:val="40"/>
      <w:szCs w:val="40"/>
    </w:rPr>
  </w:style>
  <w:style w:type="character" w:customStyle="1" w:styleId="30">
    <w:name w:val="标题 3 字符"/>
    <w:link w:val="3"/>
    <w:uiPriority w:val="9"/>
    <w:semiHidden/>
    <w:rsid w:val="00C86BBE"/>
    <w:rPr>
      <w:rFonts w:ascii="等线 Light" w:eastAsia="等线 Light" w:hAnsi="等线 Light" w:cs="Times New Roman"/>
      <w:color w:val="2F5496"/>
      <w:sz w:val="32"/>
      <w:szCs w:val="32"/>
    </w:rPr>
  </w:style>
  <w:style w:type="character" w:customStyle="1" w:styleId="40">
    <w:name w:val="标题 4 字符"/>
    <w:link w:val="4"/>
    <w:uiPriority w:val="9"/>
    <w:semiHidden/>
    <w:rsid w:val="00C86BBE"/>
    <w:rPr>
      <w:rFonts w:cs="Times New Roman"/>
      <w:color w:val="2F5496"/>
      <w:sz w:val="28"/>
      <w:szCs w:val="28"/>
    </w:rPr>
  </w:style>
  <w:style w:type="character" w:customStyle="1" w:styleId="50">
    <w:name w:val="标题 5 字符"/>
    <w:link w:val="5"/>
    <w:uiPriority w:val="9"/>
    <w:semiHidden/>
    <w:rsid w:val="00C86BBE"/>
    <w:rPr>
      <w:rFonts w:cs="Times New Roman"/>
      <w:color w:val="2F5496"/>
      <w:sz w:val="24"/>
    </w:rPr>
  </w:style>
  <w:style w:type="character" w:customStyle="1" w:styleId="60">
    <w:name w:val="标题 6 字符"/>
    <w:link w:val="6"/>
    <w:uiPriority w:val="9"/>
    <w:semiHidden/>
    <w:rsid w:val="00C86BBE"/>
    <w:rPr>
      <w:rFonts w:cs="Times New Roman"/>
      <w:b/>
      <w:bCs/>
      <w:color w:val="2F5496"/>
    </w:rPr>
  </w:style>
  <w:style w:type="character" w:customStyle="1" w:styleId="70">
    <w:name w:val="标题 7 字符"/>
    <w:link w:val="7"/>
    <w:uiPriority w:val="9"/>
    <w:semiHidden/>
    <w:rsid w:val="00C86BBE"/>
    <w:rPr>
      <w:rFonts w:cs="Times New Roman"/>
      <w:b/>
      <w:bCs/>
      <w:color w:val="595959"/>
    </w:rPr>
  </w:style>
  <w:style w:type="character" w:customStyle="1" w:styleId="80">
    <w:name w:val="标题 8 字符"/>
    <w:link w:val="8"/>
    <w:uiPriority w:val="9"/>
    <w:semiHidden/>
    <w:rsid w:val="00C86BBE"/>
    <w:rPr>
      <w:rFonts w:cs="Times New Roman"/>
      <w:color w:val="595959"/>
    </w:rPr>
  </w:style>
  <w:style w:type="character" w:customStyle="1" w:styleId="90">
    <w:name w:val="标题 9 字符"/>
    <w:link w:val="9"/>
    <w:uiPriority w:val="9"/>
    <w:semiHidden/>
    <w:rsid w:val="00C86BBE"/>
    <w:rPr>
      <w:rFonts w:eastAsia="等线 Light" w:cs="Times New Roman"/>
      <w:color w:val="595959"/>
    </w:rPr>
  </w:style>
  <w:style w:type="paragraph" w:styleId="a3">
    <w:name w:val="Title"/>
    <w:basedOn w:val="a"/>
    <w:next w:val="a"/>
    <w:link w:val="a4"/>
    <w:uiPriority w:val="10"/>
    <w:qFormat/>
    <w:rsid w:val="00C86BBE"/>
    <w:pPr>
      <w:spacing w:after="80"/>
      <w:contextualSpacing/>
      <w:jc w:val="center"/>
    </w:pPr>
    <w:rPr>
      <w:rFonts w:ascii="等线 Light" w:eastAsia="等线 Light" w:hAnsi="等线 Light"/>
      <w:spacing w:val="-10"/>
      <w:kern w:val="28"/>
      <w:sz w:val="56"/>
      <w:szCs w:val="56"/>
    </w:rPr>
  </w:style>
  <w:style w:type="character" w:customStyle="1" w:styleId="a4">
    <w:name w:val="标题 字符"/>
    <w:link w:val="a3"/>
    <w:uiPriority w:val="10"/>
    <w:rsid w:val="00C86BBE"/>
    <w:rPr>
      <w:rFonts w:ascii="等线 Light" w:eastAsia="等线 Light" w:hAnsi="等线 Light" w:cs="Times New Roman"/>
      <w:spacing w:val="-10"/>
      <w:kern w:val="28"/>
      <w:sz w:val="56"/>
      <w:szCs w:val="56"/>
    </w:rPr>
  </w:style>
  <w:style w:type="paragraph" w:styleId="a5">
    <w:name w:val="Subtitle"/>
    <w:basedOn w:val="a"/>
    <w:next w:val="a"/>
    <w:link w:val="a6"/>
    <w:uiPriority w:val="11"/>
    <w:qFormat/>
    <w:rsid w:val="00C86BBE"/>
    <w:pPr>
      <w:numPr>
        <w:ilvl w:val="1"/>
      </w:numPr>
      <w:jc w:val="center"/>
    </w:pPr>
    <w:rPr>
      <w:rFonts w:ascii="等线 Light" w:eastAsia="等线 Light" w:hAnsi="等线 Light"/>
      <w:color w:val="595959"/>
      <w:spacing w:val="15"/>
      <w:sz w:val="28"/>
      <w:szCs w:val="28"/>
    </w:rPr>
  </w:style>
  <w:style w:type="character" w:customStyle="1" w:styleId="a6">
    <w:name w:val="副标题 字符"/>
    <w:link w:val="a5"/>
    <w:uiPriority w:val="11"/>
    <w:rsid w:val="00C86BBE"/>
    <w:rPr>
      <w:rFonts w:ascii="等线 Light" w:eastAsia="等线 Light" w:hAnsi="等线 Light" w:cs="Times New Roman"/>
      <w:color w:val="595959"/>
      <w:spacing w:val="15"/>
      <w:sz w:val="28"/>
      <w:szCs w:val="28"/>
    </w:rPr>
  </w:style>
  <w:style w:type="paragraph" w:styleId="a7">
    <w:name w:val="Quote"/>
    <w:basedOn w:val="a"/>
    <w:next w:val="a"/>
    <w:link w:val="a8"/>
    <w:uiPriority w:val="29"/>
    <w:qFormat/>
    <w:rsid w:val="00C86BBE"/>
    <w:pPr>
      <w:spacing w:before="160"/>
      <w:jc w:val="center"/>
    </w:pPr>
    <w:rPr>
      <w:i/>
      <w:iCs/>
      <w:color w:val="404040"/>
    </w:rPr>
  </w:style>
  <w:style w:type="character" w:customStyle="1" w:styleId="a8">
    <w:name w:val="引用 字符"/>
    <w:link w:val="a7"/>
    <w:uiPriority w:val="29"/>
    <w:rsid w:val="00C86BBE"/>
    <w:rPr>
      <w:i/>
      <w:iCs/>
      <w:color w:val="404040"/>
    </w:rPr>
  </w:style>
  <w:style w:type="paragraph" w:styleId="a9">
    <w:name w:val="List Paragraph"/>
    <w:basedOn w:val="a"/>
    <w:uiPriority w:val="34"/>
    <w:qFormat/>
    <w:rsid w:val="00C86BBE"/>
    <w:pPr>
      <w:ind w:left="720"/>
      <w:contextualSpacing/>
    </w:pPr>
  </w:style>
  <w:style w:type="character" w:styleId="aa">
    <w:name w:val="Intense Emphasis"/>
    <w:uiPriority w:val="21"/>
    <w:qFormat/>
    <w:rsid w:val="00C86BBE"/>
    <w:rPr>
      <w:i/>
      <w:iCs/>
      <w:color w:val="2F5496"/>
    </w:rPr>
  </w:style>
  <w:style w:type="paragraph" w:styleId="ab">
    <w:name w:val="Intense Quote"/>
    <w:basedOn w:val="a"/>
    <w:next w:val="a"/>
    <w:link w:val="ac"/>
    <w:uiPriority w:val="30"/>
    <w:qFormat/>
    <w:rsid w:val="00C86BBE"/>
    <w:pPr>
      <w:pBdr>
        <w:top w:val="single" w:sz="4" w:space="10" w:color="2F5496"/>
        <w:bottom w:val="single" w:sz="4" w:space="10" w:color="2F5496"/>
      </w:pBdr>
      <w:spacing w:before="360" w:after="360"/>
      <w:ind w:left="864" w:right="864"/>
      <w:jc w:val="center"/>
    </w:pPr>
    <w:rPr>
      <w:i/>
      <w:iCs/>
      <w:color w:val="2F5496"/>
    </w:rPr>
  </w:style>
  <w:style w:type="character" w:customStyle="1" w:styleId="ac">
    <w:name w:val="明显引用 字符"/>
    <w:link w:val="ab"/>
    <w:uiPriority w:val="30"/>
    <w:rsid w:val="00C86BBE"/>
    <w:rPr>
      <w:i/>
      <w:iCs/>
      <w:color w:val="2F5496"/>
    </w:rPr>
  </w:style>
  <w:style w:type="character" w:styleId="ad">
    <w:name w:val="Intense Reference"/>
    <w:uiPriority w:val="32"/>
    <w:qFormat/>
    <w:rsid w:val="00C86BBE"/>
    <w:rPr>
      <w:b/>
      <w:bCs/>
      <w:smallCaps/>
      <w:color w:val="2F5496"/>
      <w:spacing w:val="5"/>
    </w:rPr>
  </w:style>
  <w:style w:type="paragraph" w:styleId="ae">
    <w:name w:val="header"/>
    <w:basedOn w:val="a"/>
    <w:link w:val="af"/>
    <w:uiPriority w:val="99"/>
    <w:unhideWhenUsed/>
    <w:rsid w:val="00C86BBE"/>
    <w:pPr>
      <w:tabs>
        <w:tab w:val="center" w:pos="4153"/>
        <w:tab w:val="right" w:pos="8306"/>
      </w:tabs>
      <w:snapToGrid w:val="0"/>
      <w:jc w:val="center"/>
    </w:pPr>
    <w:rPr>
      <w:sz w:val="18"/>
      <w:szCs w:val="18"/>
    </w:rPr>
  </w:style>
  <w:style w:type="character" w:customStyle="1" w:styleId="af">
    <w:name w:val="页眉 字符"/>
    <w:link w:val="ae"/>
    <w:uiPriority w:val="99"/>
    <w:rsid w:val="00C86BBE"/>
    <w:rPr>
      <w:sz w:val="18"/>
      <w:szCs w:val="18"/>
    </w:rPr>
  </w:style>
  <w:style w:type="paragraph" w:styleId="af0">
    <w:name w:val="footer"/>
    <w:basedOn w:val="a"/>
    <w:link w:val="af1"/>
    <w:uiPriority w:val="99"/>
    <w:unhideWhenUsed/>
    <w:rsid w:val="00C86BBE"/>
    <w:pPr>
      <w:tabs>
        <w:tab w:val="center" w:pos="4153"/>
        <w:tab w:val="right" w:pos="8306"/>
      </w:tabs>
      <w:snapToGrid w:val="0"/>
    </w:pPr>
    <w:rPr>
      <w:sz w:val="18"/>
      <w:szCs w:val="18"/>
    </w:rPr>
  </w:style>
  <w:style w:type="character" w:customStyle="1" w:styleId="af1">
    <w:name w:val="页脚 字符"/>
    <w:link w:val="af0"/>
    <w:uiPriority w:val="99"/>
    <w:rsid w:val="00C86BBE"/>
    <w:rPr>
      <w:sz w:val="18"/>
      <w:szCs w:val="18"/>
    </w:rPr>
  </w:style>
  <w:style w:type="paragraph" w:styleId="af2">
    <w:name w:val="footnote text"/>
    <w:basedOn w:val="a"/>
    <w:link w:val="af3"/>
    <w:uiPriority w:val="9"/>
    <w:unhideWhenUsed/>
    <w:qFormat/>
    <w:rsid w:val="00C86BBE"/>
    <w:pPr>
      <w:snapToGrid w:val="0"/>
    </w:pPr>
    <w:rPr>
      <w:sz w:val="18"/>
      <w:szCs w:val="18"/>
    </w:rPr>
  </w:style>
  <w:style w:type="character" w:customStyle="1" w:styleId="af3">
    <w:name w:val="脚注文本 字符"/>
    <w:link w:val="af2"/>
    <w:uiPriority w:val="9"/>
    <w:rsid w:val="00C86BBE"/>
    <w:rPr>
      <w:rFonts w:ascii="Times New Roman" w:eastAsia="宋体" w:hAnsi="Times New Roman" w:cs="Times New Roman"/>
      <w:sz w:val="18"/>
      <w:szCs w:val="18"/>
    </w:rPr>
  </w:style>
  <w:style w:type="character" w:styleId="af4">
    <w:name w:val="footnote reference"/>
    <w:unhideWhenUsed/>
    <w:rsid w:val="00C86BBE"/>
    <w:rPr>
      <w:vertAlign w:val="superscript"/>
    </w:rPr>
  </w:style>
  <w:style w:type="character" w:customStyle="1" w:styleId="a30">
    <w:name w:val="a3"/>
    <w:rsid w:val="005849FD"/>
    <w:rPr>
      <w:sz w:val="18"/>
      <w:vertAlign w:val="superscript"/>
    </w:rPr>
  </w:style>
  <w:style w:type="paragraph" w:customStyle="1" w:styleId="a40">
    <w:name w:val="a4"/>
    <w:rsid w:val="005849FD"/>
    <w:pPr>
      <w:spacing w:line="240" w:lineRule="exact"/>
    </w:pPr>
    <w:rPr>
      <w:rFonts w:ascii="Times New Roman" w:eastAsia="宋体" w:hAnsi="Times New Roman"/>
      <w:sz w:val="18"/>
      <w:szCs w:val="22"/>
      <w:lang w:eastAsia="en-US"/>
    </w:rPr>
  </w:style>
  <w:style w:type="paragraph" w:styleId="af5">
    <w:name w:val="Body Text"/>
    <w:basedOn w:val="a"/>
    <w:link w:val="af6"/>
    <w:qFormat/>
    <w:rsid w:val="005849FD"/>
    <w:pPr>
      <w:spacing w:before="180" w:after="180"/>
    </w:pPr>
    <w:rPr>
      <w:rFonts w:ascii="DengXian" w:eastAsia="DengXian" w:hAnsi="DengXian"/>
      <w:kern w:val="0"/>
      <w:sz w:val="24"/>
      <w:lang w:eastAsia="en-US"/>
    </w:rPr>
  </w:style>
  <w:style w:type="character" w:customStyle="1" w:styleId="af6">
    <w:name w:val="正文文本 字符"/>
    <w:link w:val="af5"/>
    <w:rsid w:val="005849FD"/>
    <w:rPr>
      <w:sz w:val="24"/>
      <w:szCs w:val="24"/>
      <w:lang w:eastAsia="en-US"/>
    </w:rPr>
  </w:style>
  <w:style w:type="paragraph" w:customStyle="1" w:styleId="FirstParagraph">
    <w:name w:val="First Paragraph"/>
    <w:basedOn w:val="af5"/>
    <w:next w:val="af5"/>
    <w:qFormat/>
    <w:rsid w:val="005849FD"/>
  </w:style>
  <w:style w:type="paragraph" w:styleId="af7">
    <w:name w:val="Block Text"/>
    <w:basedOn w:val="af5"/>
    <w:next w:val="af5"/>
    <w:uiPriority w:val="9"/>
    <w:unhideWhenUsed/>
    <w:qFormat/>
    <w:rsid w:val="005849FD"/>
    <w:pPr>
      <w:spacing w:before="100" w:after="100"/>
      <w:ind w:left="480" w:right="480"/>
    </w:pPr>
  </w:style>
  <w:style w:type="paragraph" w:customStyle="1" w:styleId="Compact">
    <w:name w:val="Compact"/>
    <w:basedOn w:val="af5"/>
    <w:qFormat/>
    <w:rsid w:val="005849FD"/>
    <w:pPr>
      <w:spacing w:before="36" w:after="36"/>
    </w:pPr>
  </w:style>
  <w:style w:type="table" w:styleId="af8">
    <w:name w:val="Table Grid"/>
    <w:basedOn w:val="a1"/>
    <w:rsid w:val="005849FD"/>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3D5FD7"/>
    <w:pPr>
      <w:spacing w:after="0" w:line="276" w:lineRule="auto"/>
      <w:jc w:val="left"/>
      <w:outlineLvl w:val="9"/>
    </w:pPr>
    <w:rPr>
      <w:rFonts w:ascii="Aptos Display" w:hAnsi="Aptos Display"/>
      <w:bCs/>
      <w:color w:val="0F4761"/>
      <w:kern w:val="0"/>
      <w:sz w:val="28"/>
      <w:szCs w:val="28"/>
      <w:lang w:eastAsia="en-US"/>
    </w:rPr>
  </w:style>
  <w:style w:type="paragraph" w:styleId="TOC1">
    <w:name w:val="toc 1"/>
    <w:basedOn w:val="a"/>
    <w:next w:val="a"/>
    <w:autoRedefine/>
    <w:uiPriority w:val="39"/>
    <w:unhideWhenUsed/>
    <w:rsid w:val="003D5FD7"/>
    <w:pPr>
      <w:tabs>
        <w:tab w:val="right" w:leader="dot" w:pos="8505"/>
      </w:tabs>
      <w:spacing w:line="400" w:lineRule="exact"/>
    </w:pPr>
    <w:rPr>
      <w:rFonts w:ascii="宋体" w:hAnsi="宋体"/>
      <w:b/>
      <w:bCs/>
      <w:color w:val="000000"/>
      <w:sz w:val="24"/>
    </w:rPr>
  </w:style>
  <w:style w:type="paragraph" w:styleId="TOC2">
    <w:name w:val="toc 2"/>
    <w:basedOn w:val="a"/>
    <w:next w:val="a"/>
    <w:autoRedefine/>
    <w:uiPriority w:val="39"/>
    <w:unhideWhenUsed/>
    <w:rsid w:val="003D5FD7"/>
    <w:pPr>
      <w:tabs>
        <w:tab w:val="right" w:leader="dot" w:pos="8505"/>
      </w:tabs>
      <w:spacing w:line="400" w:lineRule="exact"/>
      <w:ind w:left="480"/>
    </w:pPr>
    <w:rPr>
      <w:rFonts w:ascii="宋体" w:hAnsi="宋体"/>
      <w:color w:val="000000"/>
      <w:sz w:val="24"/>
    </w:rPr>
  </w:style>
  <w:style w:type="paragraph" w:styleId="TOC3">
    <w:name w:val="toc 3"/>
    <w:basedOn w:val="a"/>
    <w:next w:val="a"/>
    <w:autoRedefine/>
    <w:uiPriority w:val="39"/>
    <w:semiHidden/>
    <w:unhideWhenUsed/>
    <w:rsid w:val="003D5FD7"/>
    <w:rPr>
      <w:rFonts w:ascii="Aptos" w:hAnsi="Aptos"/>
      <w:smallCaps/>
      <w:sz w:val="22"/>
      <w:szCs w:val="22"/>
    </w:rPr>
  </w:style>
  <w:style w:type="paragraph" w:styleId="TOC4">
    <w:name w:val="toc 4"/>
    <w:basedOn w:val="a"/>
    <w:next w:val="a"/>
    <w:autoRedefine/>
    <w:uiPriority w:val="39"/>
    <w:semiHidden/>
    <w:unhideWhenUsed/>
    <w:rsid w:val="003D5FD7"/>
    <w:rPr>
      <w:rFonts w:ascii="Aptos" w:hAnsi="Aptos"/>
      <w:sz w:val="22"/>
      <w:szCs w:val="22"/>
    </w:rPr>
  </w:style>
  <w:style w:type="paragraph" w:styleId="TOC5">
    <w:name w:val="toc 5"/>
    <w:basedOn w:val="a"/>
    <w:next w:val="a"/>
    <w:autoRedefine/>
    <w:uiPriority w:val="39"/>
    <w:semiHidden/>
    <w:unhideWhenUsed/>
    <w:rsid w:val="003D5FD7"/>
    <w:rPr>
      <w:rFonts w:ascii="Aptos" w:hAnsi="Aptos"/>
      <w:sz w:val="22"/>
      <w:szCs w:val="22"/>
    </w:rPr>
  </w:style>
  <w:style w:type="paragraph" w:styleId="TOC6">
    <w:name w:val="toc 6"/>
    <w:basedOn w:val="a"/>
    <w:next w:val="a"/>
    <w:autoRedefine/>
    <w:uiPriority w:val="39"/>
    <w:semiHidden/>
    <w:unhideWhenUsed/>
    <w:rsid w:val="003D5FD7"/>
    <w:rPr>
      <w:rFonts w:ascii="Aptos" w:hAnsi="Aptos"/>
      <w:sz w:val="22"/>
      <w:szCs w:val="22"/>
    </w:rPr>
  </w:style>
  <w:style w:type="paragraph" w:styleId="TOC7">
    <w:name w:val="toc 7"/>
    <w:basedOn w:val="a"/>
    <w:next w:val="a"/>
    <w:autoRedefine/>
    <w:uiPriority w:val="39"/>
    <w:semiHidden/>
    <w:unhideWhenUsed/>
    <w:rsid w:val="003D5FD7"/>
    <w:rPr>
      <w:rFonts w:ascii="Aptos" w:hAnsi="Aptos"/>
      <w:sz w:val="22"/>
      <w:szCs w:val="22"/>
    </w:rPr>
  </w:style>
  <w:style w:type="paragraph" w:styleId="TOC8">
    <w:name w:val="toc 8"/>
    <w:basedOn w:val="a"/>
    <w:next w:val="a"/>
    <w:autoRedefine/>
    <w:uiPriority w:val="39"/>
    <w:semiHidden/>
    <w:unhideWhenUsed/>
    <w:rsid w:val="003D5FD7"/>
    <w:rPr>
      <w:rFonts w:ascii="Aptos" w:hAnsi="Aptos"/>
      <w:sz w:val="22"/>
      <w:szCs w:val="22"/>
    </w:rPr>
  </w:style>
  <w:style w:type="paragraph" w:styleId="TOC9">
    <w:name w:val="toc 9"/>
    <w:basedOn w:val="a"/>
    <w:next w:val="a"/>
    <w:autoRedefine/>
    <w:uiPriority w:val="39"/>
    <w:semiHidden/>
    <w:unhideWhenUsed/>
    <w:rsid w:val="003D5FD7"/>
    <w:rPr>
      <w:rFonts w:ascii="Aptos" w:hAnsi="Aptos"/>
      <w:sz w:val="22"/>
      <w:szCs w:val="22"/>
    </w:rPr>
  </w:style>
  <w:style w:type="character" w:styleId="af9">
    <w:name w:val="Hyperlink"/>
    <w:uiPriority w:val="99"/>
    <w:unhideWhenUsed/>
    <w:rsid w:val="003A3729"/>
    <w:rPr>
      <w:color w:val="467886"/>
      <w:u w:val="single"/>
    </w:rPr>
  </w:style>
  <w:style w:type="character" w:styleId="afa">
    <w:name w:val="FollowedHyperlink"/>
    <w:uiPriority w:val="99"/>
    <w:semiHidden/>
    <w:unhideWhenUsed/>
    <w:rsid w:val="00DD0408"/>
    <w:rPr>
      <w:color w:val="96607D"/>
      <w:u w:val="single"/>
    </w:rPr>
  </w:style>
  <w:style w:type="character" w:styleId="afb">
    <w:name w:val="Unresolved Mention"/>
    <w:uiPriority w:val="99"/>
    <w:semiHidden/>
    <w:unhideWhenUsed/>
    <w:rsid w:val="00E543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D477D1-9455-47B7-9CC9-73D4CAE01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4812</Words>
  <Characters>4813</Characters>
  <Application>Microsoft Office Word</Application>
  <DocSecurity>0</DocSecurity>
  <PresentationFormat/>
  <Lines>160</Lines>
  <Paragraphs>68</Paragraphs>
  <Slides>0</Slides>
  <Notes>0</Notes>
  <HiddenSlides>0</HiddenSlides>
  <MMClips>0</MMClips>
  <ScaleCrop>false</ScaleCrop>
  <Manager/>
  <Company/>
  <LinksUpToDate>false</LinksUpToDate>
  <CharactersWithSpaces>9557</CharactersWithSpaces>
  <SharedDoc>false</SharedDoc>
  <HLinks>
    <vt:vector size="6" baseType="variant">
      <vt:variant>
        <vt:i4>2162792</vt:i4>
      </vt:variant>
      <vt:variant>
        <vt:i4>0</vt:i4>
      </vt:variant>
      <vt:variant>
        <vt:i4>0</vt:i4>
      </vt:variant>
      <vt:variant>
        <vt:i4>5</vt:i4>
      </vt:variant>
      <vt:variant>
        <vt:lpwstr>https://book.douban.com/press/2622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郑璎</dc:creator>
  <cp:keywords/>
  <dc:description/>
  <cp:lastModifiedBy>HUANG, Yijun</cp:lastModifiedBy>
  <cp:revision>6</cp:revision>
  <dcterms:created xsi:type="dcterms:W3CDTF">2026-02-25T16:01:00Z</dcterms:created>
  <dcterms:modified xsi:type="dcterms:W3CDTF">2026-02-28T15:46:00Z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