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9B04" w14:textId="77777777" w:rsidR="0072735C" w:rsidRPr="0072735C" w:rsidRDefault="0072735C" w:rsidP="0072735C">
      <w:pPr>
        <w:spacing w:after="240" w:line="240" w:lineRule="auto"/>
        <w:outlineLvl w:val="0"/>
        <w:rPr>
          <w:rFonts w:ascii="Times New Roman" w:eastAsia="SimSun" w:hAnsi="Times New Roman" w:cs="Times New Roman"/>
          <w:b/>
          <w:bCs/>
          <w:kern w:val="36"/>
          <w:sz w:val="28"/>
          <w:szCs w:val="28"/>
          <w14:ligatures w14:val="none"/>
        </w:rPr>
      </w:pPr>
      <w:r w:rsidRPr="0072735C">
        <w:rPr>
          <w:rFonts w:ascii="Times New Roman" w:eastAsia="SimSun" w:hAnsi="Times New Roman" w:cs="Times New Roman"/>
          <w:b/>
          <w:bCs/>
          <w:kern w:val="36"/>
          <w:sz w:val="28"/>
          <w:szCs w:val="28"/>
          <w14:ligatures w14:val="none"/>
        </w:rPr>
        <w:t>第三章</w:t>
      </w:r>
      <w:r w:rsidRPr="0072735C">
        <w:rPr>
          <w:rFonts w:ascii="Times New Roman" w:eastAsia="SimSun" w:hAnsi="Times New Roman" w:cs="Times New Roman"/>
          <w:b/>
          <w:bCs/>
          <w:kern w:val="36"/>
          <w:sz w:val="28"/>
          <w:szCs w:val="28"/>
          <w14:ligatures w14:val="none"/>
        </w:rPr>
        <w:t xml:space="preserve"> </w:t>
      </w:r>
      <w:r w:rsidRPr="0072735C">
        <w:rPr>
          <w:rFonts w:ascii="Times New Roman" w:eastAsia="SimSun" w:hAnsi="Times New Roman" w:cs="Times New Roman"/>
          <w:b/>
          <w:bCs/>
          <w:kern w:val="36"/>
          <w:sz w:val="28"/>
          <w:szCs w:val="28"/>
          <w14:ligatures w14:val="none"/>
        </w:rPr>
        <w:t>驯兽与拟兽类百戏书写研究</w:t>
      </w:r>
    </w:p>
    <w:p w14:paraId="5AE3B13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在中国传统百戏文化的丰富谱系中，驯兽与拟兽类百戏占据着独特而重要的地位。这两类表演形式虽同以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为核心，却在表演主体、实现路径与艺术旨趣上呈现出根本差异：驯兽类百戏依托真实动物的驯化与表演，以舞马、驯象、斗鸡等为代表；拟兽类百戏则通过人的乔装模仿与艺术再现，以狮子舞、舞龙、鱼龙曼延等为典型。二者共同构成了中国传统百戏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人与动物</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互动的两种经典范式，不仅承载着娱乐观赏的功能，更蕴含着丰富的政治象征、宗教信仰与文化交流内涵。</w:t>
      </w:r>
    </w:p>
    <w:p w14:paraId="6C12266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本章将从概念界定入手，厘清驯兽与拟兽的本质区别，继而分别梳理二者在历史书写与文学书写中的呈现面貌，探究其书写特色、演变脉络与文化意涵，以期全面呈现这两类百戏在中国传统文化中的独特价值与历史地位。</w:t>
      </w:r>
    </w:p>
    <w:p w14:paraId="0F5829B1" w14:textId="77777777" w:rsidR="0072735C" w:rsidRPr="0072735C" w:rsidRDefault="0072735C" w:rsidP="0072735C">
      <w:pPr>
        <w:spacing w:before="360" w:after="240" w:line="240" w:lineRule="auto"/>
        <w:outlineLvl w:val="1"/>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第一节</w:t>
      </w:r>
      <w:r w:rsidRPr="0072735C">
        <w:rPr>
          <w:rFonts w:ascii="Times New Roman" w:eastAsia="SimSun" w:hAnsi="Times New Roman" w:cs="Times New Roman"/>
          <w:b/>
          <w:bCs/>
          <w:kern w:val="0"/>
          <w:sz w:val="28"/>
          <w:szCs w:val="28"/>
          <w14:ligatures w14:val="none"/>
        </w:rPr>
        <w:t xml:space="preserve"> </w:t>
      </w:r>
      <w:r w:rsidRPr="0072735C">
        <w:rPr>
          <w:rFonts w:ascii="Times New Roman" w:eastAsia="SimSun" w:hAnsi="Times New Roman" w:cs="Times New Roman"/>
          <w:b/>
          <w:bCs/>
          <w:kern w:val="0"/>
          <w:sz w:val="28"/>
          <w:szCs w:val="28"/>
          <w14:ligatures w14:val="none"/>
        </w:rPr>
        <w:t>驯兽与拟兽的概念界定</w:t>
      </w:r>
    </w:p>
    <w:p w14:paraId="444430E9"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一、驯兽的概念与特质</w:t>
      </w:r>
    </w:p>
    <w:p w14:paraId="07152AAC"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在百戏文化的研究范畴中，驯兽类百戏有着明确的核心特质与边界。驯兽的本质是通过人为驯化、引导，使真实动物完成特定行为或参与展演活动的艺术形式，其核心要素在于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真实动物的主动参与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人为驯化的行为引导</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w:t>
      </w:r>
    </w:p>
    <w:p w14:paraId="5212BBA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需要特别厘清的是，驯兽不等于拟兽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二者在本质上存在根本区别。拟兽舞属于人类通过肢体模仿动物形态的表演，如汉代</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象人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之舞，核心是人的艺术再现；而驯兽则以真实动物为主体，通过长期驯化使其形成规律性动作，如马随乐起舞、猴模仿人态，动物本身的行为是表演的核心载体。这种区别使得驯兽在百戏中形成了独立的艺术逻辑与观赏价值。</w:t>
      </w:r>
    </w:p>
    <w:p w14:paraId="33B61E8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在百戏研究中为驯兽单列一章，源于其不可替代的独特性：其一，驯兽是唯一以真实动物为核心载体的百戏门类，其表演逻辑涉及动物行为学、驯化技术与人文审美，与纯人类表演（如杂技、歌舞）或器物表演（如傀儡戏）有着本质区别；其二，驯兽的发展与社会历史、中外交流密切相关，如舞马体现唐代的畜牧技术与宫廷文化，行象反映丝绸之路的物种交流，具有丰富的历史文化内涵；其三，驯兽类百戏在民间与宫廷中均有深厚根基，从市井斗鸡到宫廷舞象，形成了完整的文化谱系，单列梳理能更清晰地呈现其在百戏体系中的独立价值与发展脉络。</w:t>
      </w:r>
    </w:p>
    <w:p w14:paraId="6CBF177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根据展演动物的种类与表演形式，驯兽类百戏可分为以下几类：</w:t>
      </w:r>
    </w:p>
    <w:p w14:paraId="79F3D69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lastRenderedPageBreak/>
        <w:t>（一）大型兽类展演：行象、舞象与舞犀牛</w:t>
      </w:r>
    </w:p>
    <w:p w14:paraId="1A7C5F0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这类展演以大象、犀牛等大型陆地动物为核心，多见于具有仪式性或观赏性的百戏场景中。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行象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侧重动物按特定路线行进，常伴随仪仗或乐舞，展现威严与祥瑞；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舞象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则在此基础上增加动物的动作配合，如随鼓声屈伸鼻肢、踏节移动，《洛阳伽蓝记》中曾记载西域驯象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能舞蹀躞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的场景。舞犀牛与舞象逻辑相似，依托犀牛的厚重形态形成独特的视觉冲击，这类表演在唐代宫廷百戏中尤为盛行，常作为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四方来朝</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的文化符号出现。</w:t>
      </w:r>
    </w:p>
    <w:p w14:paraId="3057943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（二）畜类驯化：舞马与马伎的区分</w:t>
      </w:r>
    </w:p>
    <w:p w14:paraId="2ADD228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在畜类驯兽中，舞马是极具代表性的品类，但需明确其与马伎的本质差异。舞马的核心是马通过驯化形成的自主动作表演，如随乐曲节奏摇头摆尾、屈膝拜贺，甚至衔杯献酒，《明皇杂录》中记载唐代舞马</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奋首鼓尾，纵横应节</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，动物自身的行为协调性是观赏核心；而马伎则以骑手技艺为重点，如马背上的倒立、翻腾等，马更多作为表演的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载体</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而非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主体</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，二者在艺术重心上有着明确分野。</w:t>
      </w:r>
    </w:p>
    <w:p w14:paraId="008238C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（三）小型动物竞技与杂耍：斗鸡、猴戏</w:t>
      </w:r>
    </w:p>
    <w:p w14:paraId="1EC9432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这类表演以小型动物的互动性与模仿性为特色。斗鸡通过驯化激发鸡的争斗本能，配合特定训练使其在竞技中展现勇悍姿态，自先秦至明清始终是民间喜闻乐见的驯兽形式；猴戏则利用猴子的机敏特质，通过驯化使其模仿人类行为，如穿衣戴帽、模仿劳作或戏曲动作，常与傀儡戏、杂耍结合，形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猴戴假面，作诸戏态</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的诙谐场景，在市井百戏中占据重要地位。</w:t>
      </w:r>
    </w:p>
    <w:p w14:paraId="2A21D143"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二、拟兽的概念与特质</w:t>
      </w:r>
    </w:p>
    <w:p w14:paraId="6E65CF1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拟兽类百戏作为中国传统百戏文化的重要分支，以其独特的艺术形态与文化内涵占据着不可替代的地位。与驯兽类百戏依靠真实动物完成表演的逻辑不同，拟兽类百戏的核心在于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虚拟模仿</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通过人类的肢体语言、服饰装扮与情节设计，再现动物的生活样态与象征意义，形成极具观赏性与仪式感的表演体系。</w:t>
      </w:r>
    </w:p>
    <w:p w14:paraId="52C796F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拟兽，即</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虚拟动物表演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其本质是表演者通过乔装装扮、动作模仿与情节演绎，再现各类动物（尤其是瑞兽）形态与行为的艺术形式。这种表演不依赖真实动物的参与，而是以人作为表演主体，通过服饰、道具的辅助与身体技艺的展现，构建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似兽非兽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的艺术意象。从文化内涵来看，拟</w:t>
      </w:r>
      <w:r w:rsidRPr="0072735C">
        <w:rPr>
          <w:rFonts w:ascii="Times New Roman" w:eastAsia="SimSun" w:hAnsi="Times New Roman" w:cs="Times New Roman"/>
          <w:kern w:val="0"/>
          <w:sz w:val="28"/>
          <w:szCs w:val="28"/>
          <w14:ligatures w14:val="none"/>
        </w:rPr>
        <w:lastRenderedPageBreak/>
        <w:t>兽表演不仅包含对动物自然习性的模仿，更常常融入神话传说、民俗信仰与社会观念，形成带有规定情节的叙事性表演，如驱邪祈福、祥瑞呈祥等主题的演绎。</w:t>
      </w:r>
    </w:p>
    <w:p w14:paraId="4DF65FF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拟兽表演的历史可追溯至遥远的史前时期，是人类早期艺术活动的重要形式。《尚书》中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击石拊石，百兽率舞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记载，生动描绘了先民们模仿百兽舞姿的场景，这被认为是拟兽表演的雏形。这种原始表演最初与祭祀、狩猎活动密切相关，先民通过模仿动物姿态祈求狩猎成功或表达对自然的敬畏，带有强烈的巫术仪式属性。</w:t>
      </w:r>
    </w:p>
    <w:p w14:paraId="7FCC33FC"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关于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的记载最早见于《尚书》，《舜典》（一为《尧典》）中有帝命夔做典乐官的记录，夔的回答是</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於！予击石拊石，百兽率舞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，《益稷》中亦有类似记载：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下管、鼗鼓，合止柷、敔。笙、镛以间，鸟兽跄跄。《箫韶》九成，凤凰来仪。</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予击石拊石，百兽率舞，庶尹允谐。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从表面来看，中国上古时期的拟兽舞蹈与古希腊时期的酒神颂歌具有一定的相似性，古希腊人在祭祀酒神的过程中通常也会以动物形象出现，但不同的是，他们的舞蹈在狂欢化抒情的同时并未对承载其的艺术本体产生进一步影响，或者说这种情感形式在后续发展过程中并未实现与艺术的进一步融合。反观中国上古乐舞，其抒情性却与艺术观念形成了同构关系，即这些乐舞在</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娱己</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娱神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过程中逐渐从表达效果变成了艺术的主体，而不再处于附属地位。在《尚书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舜典》中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之前，出现了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诗言志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的观点，在后续的理论建构中又有《乐记》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乐者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其本在人心之感于物也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乐由中出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的提出，以及《诗大序》</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诗者，志之所之也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等理论表述，由此可见，</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的艺术形式在后世发展过程中获得了理论层面的遵奉，从而形成了中国古代一脉相承的理论建构史与艺术发展史。</w:t>
      </w:r>
    </w:p>
    <w:p w14:paraId="57F33FA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作为较早出现的艺术命题，其对后世抒情艺术的影响主要集中在以下两个层面。一是在起源论层面建构了情感与艺术发生之间的联系。这一点上文已经有所涉及，宗教、艺术、神话某种程度上都是人类情感的外在展现形式，</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在一个野蛮人看来，一个人所跳的舞，就表达了他的部落、他的社会习惯，他的宗教</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的过程就是人类情感外化的过程，尽管最初会不可避免的带有巫术甚至宗教色彩，但这种情感经过沉积与提纯之后，逐渐演化成了对精神产品萌动的概括性表述，从而成为中国艺术</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言志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传统的最早例证。</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对抒情艺术影响的第二个层面是对艺术功能论的建构。就是说，这一命题不仅彰显了情感对艺术表现的作用，同时也赋予了乐舞更为博大的功能。《周礼</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春官</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大司乐》云：</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凡六乐者，一变而致羽物，及川泽之示；再变而致臝物，及山林之示；三变而致鳞物，及丘陵之示；四变而致毛物，及坟衍之示；五变而致介物，及</w:t>
      </w:r>
      <w:r w:rsidRPr="0072735C">
        <w:rPr>
          <w:rFonts w:ascii="Times New Roman" w:eastAsia="SimSun" w:hAnsi="Times New Roman" w:cs="Times New Roman"/>
          <w:kern w:val="0"/>
          <w:sz w:val="28"/>
          <w:szCs w:val="28"/>
          <w14:ligatures w14:val="none"/>
        </w:rPr>
        <w:lastRenderedPageBreak/>
        <w:t>土示；六变而致象物，及天神。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认为乐舞不仅可以招致各种动物的到来，也可以与神明相通，使诸神降临。很显然，其整体逻辑仍然是</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神人以和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的表述方式，由此不难看出这种艺术功能论已经成为了当时的共性认知。</w:t>
      </w:r>
    </w:p>
    <w:p w14:paraId="29DE0CA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对中国抒情艺术中诸多</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轴心观念</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的形成具有重大的原型意义。它不仅向我们展示了乐舞与情感之间的密切联系，从起源论和功能论的层面使</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言志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具有了双重意义，同时也将艺术功能论向</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言志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之外的更广大空间进行拓展，从而在乐舞层面为抒情艺术在中国艺术中特殊地位的确立奠定了基础。</w:t>
      </w:r>
    </w:p>
    <w:p w14:paraId="4697A5A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唐代郑锡的《正月初一含元殿观百兽率舞赋》描写了宫廷节庆的乐舞节目：</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开彤庭执玉帛者万国，发金奏韵箫韶而九成。祥风应律，庆云夹日，华夷会同，车书混一。羽衡宿设，乘舆晓出。陈八佾象钧天之仪，舞百兽备充庭之实。</w:t>
      </w:r>
      <w:r w:rsidRPr="0072735C">
        <w:rPr>
          <w:rFonts w:ascii="Times New Roman" w:eastAsia="SimSun" w:hAnsi="Times New Roman" w:cs="Times New Roman"/>
          <w:kern w:val="0"/>
          <w:sz w:val="28"/>
          <w:szCs w:val="28"/>
          <w14:ligatures w14:val="none"/>
        </w:rPr>
        <w:t>”[1]“</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是自古以来皆有的舞蹈形式，谓之以音律相和之声调动百兽以起舞。不仅有观赏价值，还具有一定的政治目的，正如赋中所言：</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百兽舞兮四夷惧，于胥乐兮皇风布</w:t>
      </w:r>
      <w:r w:rsidRPr="0072735C">
        <w:rPr>
          <w:rFonts w:ascii="Times New Roman" w:eastAsia="SimSun" w:hAnsi="Times New Roman" w:cs="Times New Roman"/>
          <w:kern w:val="0"/>
          <w:sz w:val="28"/>
          <w:szCs w:val="28"/>
          <w14:ligatures w14:val="none"/>
        </w:rPr>
        <w:t>”[2]</w:t>
      </w:r>
      <w:r w:rsidRPr="0072735C">
        <w:rPr>
          <w:rFonts w:ascii="Times New Roman" w:eastAsia="SimSun" w:hAnsi="Times New Roman" w:cs="Times New Roman"/>
          <w:kern w:val="0"/>
          <w:sz w:val="28"/>
          <w:szCs w:val="28"/>
          <w14:ligatures w14:val="none"/>
        </w:rPr>
        <w:t>，以百兽率舞威震四方之国，以彰显我朝之风范。</w:t>
      </w:r>
    </w:p>
    <w:p w14:paraId="42BBBD3B"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三、驯兽与拟兽的区分</w:t>
      </w:r>
    </w:p>
    <w:p w14:paraId="3757630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驯兽与拟兽虽同以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为表演核心，但在本质特征上存在根本差异，可从以下维度加以区分：</w:t>
      </w:r>
    </w:p>
    <w:tbl>
      <w:tblPr>
        <w:tblStyle w:val="TableGrid"/>
        <w:tblW w:w="0" w:type="auto"/>
        <w:tblLook w:val="04A0" w:firstRow="1" w:lastRow="0" w:firstColumn="1" w:lastColumn="0" w:noHBand="0" w:noVBand="1"/>
      </w:tblPr>
      <w:tblGrid>
        <w:gridCol w:w="1336"/>
        <w:gridCol w:w="2736"/>
        <w:gridCol w:w="2736"/>
      </w:tblGrid>
      <w:tr w:rsidR="0072735C" w:rsidRPr="0072735C" w14:paraId="77399A04" w14:textId="77777777" w:rsidTr="0072735C">
        <w:tc>
          <w:tcPr>
            <w:tcW w:w="0" w:type="auto"/>
            <w:hideMark/>
          </w:tcPr>
          <w:p w14:paraId="2E7F51F9" w14:textId="77777777" w:rsidR="0072735C" w:rsidRPr="0072735C" w:rsidRDefault="0072735C" w:rsidP="0072735C">
            <w:pPr>
              <w:spacing w:after="168"/>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维度</w:t>
            </w:r>
          </w:p>
        </w:tc>
        <w:tc>
          <w:tcPr>
            <w:tcW w:w="0" w:type="auto"/>
            <w:hideMark/>
          </w:tcPr>
          <w:p w14:paraId="6578810A" w14:textId="77777777" w:rsidR="0072735C" w:rsidRPr="0072735C" w:rsidRDefault="0072735C" w:rsidP="0072735C">
            <w:pPr>
              <w:spacing w:after="168"/>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驯兽</w:t>
            </w:r>
          </w:p>
        </w:tc>
        <w:tc>
          <w:tcPr>
            <w:tcW w:w="0" w:type="auto"/>
            <w:hideMark/>
          </w:tcPr>
          <w:p w14:paraId="5AFB56B1" w14:textId="77777777" w:rsidR="0072735C" w:rsidRPr="0072735C" w:rsidRDefault="0072735C" w:rsidP="0072735C">
            <w:pPr>
              <w:spacing w:after="168"/>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拟兽</w:t>
            </w:r>
          </w:p>
        </w:tc>
      </w:tr>
      <w:tr w:rsidR="0072735C" w:rsidRPr="0072735C" w14:paraId="5D39EAA1" w14:textId="77777777" w:rsidTr="0072735C">
        <w:tc>
          <w:tcPr>
            <w:tcW w:w="0" w:type="auto"/>
            <w:hideMark/>
          </w:tcPr>
          <w:p w14:paraId="77D683DC"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表演主体</w:t>
            </w:r>
          </w:p>
        </w:tc>
        <w:tc>
          <w:tcPr>
            <w:tcW w:w="0" w:type="auto"/>
            <w:hideMark/>
          </w:tcPr>
          <w:p w14:paraId="7B8D8B39"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真实动物</w:t>
            </w:r>
          </w:p>
        </w:tc>
        <w:tc>
          <w:tcPr>
            <w:tcW w:w="0" w:type="auto"/>
            <w:hideMark/>
          </w:tcPr>
          <w:p w14:paraId="0023171A"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人</w:t>
            </w:r>
          </w:p>
        </w:tc>
      </w:tr>
      <w:tr w:rsidR="0072735C" w:rsidRPr="0072735C" w14:paraId="202F7FA0" w14:textId="77777777" w:rsidTr="0072735C">
        <w:tc>
          <w:tcPr>
            <w:tcW w:w="0" w:type="auto"/>
            <w:hideMark/>
          </w:tcPr>
          <w:p w14:paraId="11EB0672"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实现路径</w:t>
            </w:r>
          </w:p>
        </w:tc>
        <w:tc>
          <w:tcPr>
            <w:tcW w:w="0" w:type="auto"/>
            <w:hideMark/>
          </w:tcPr>
          <w:p w14:paraId="0063111E"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动物驯化</w:t>
            </w:r>
          </w:p>
        </w:tc>
        <w:tc>
          <w:tcPr>
            <w:tcW w:w="0" w:type="auto"/>
            <w:hideMark/>
          </w:tcPr>
          <w:p w14:paraId="73946D3C"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人的模仿</w:t>
            </w:r>
          </w:p>
        </w:tc>
      </w:tr>
      <w:tr w:rsidR="0072735C" w:rsidRPr="0072735C" w14:paraId="4ED8F14D" w14:textId="77777777" w:rsidTr="0072735C">
        <w:tc>
          <w:tcPr>
            <w:tcW w:w="0" w:type="auto"/>
            <w:hideMark/>
          </w:tcPr>
          <w:p w14:paraId="593FE355"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核心看点</w:t>
            </w:r>
          </w:p>
        </w:tc>
        <w:tc>
          <w:tcPr>
            <w:tcW w:w="0" w:type="auto"/>
            <w:hideMark/>
          </w:tcPr>
          <w:p w14:paraId="0301154A"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动物行为的精准配合</w:t>
            </w:r>
          </w:p>
        </w:tc>
        <w:tc>
          <w:tcPr>
            <w:tcW w:w="0" w:type="auto"/>
            <w:hideMark/>
          </w:tcPr>
          <w:p w14:paraId="5B9A7074"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人对动物的艺术再现</w:t>
            </w:r>
          </w:p>
        </w:tc>
      </w:tr>
      <w:tr w:rsidR="0072735C" w:rsidRPr="0072735C" w14:paraId="1661BD03" w14:textId="77777777" w:rsidTr="0072735C">
        <w:tc>
          <w:tcPr>
            <w:tcW w:w="0" w:type="auto"/>
            <w:hideMark/>
          </w:tcPr>
          <w:p w14:paraId="73ADFBAC"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典型例证</w:t>
            </w:r>
          </w:p>
        </w:tc>
        <w:tc>
          <w:tcPr>
            <w:tcW w:w="0" w:type="auto"/>
            <w:hideMark/>
          </w:tcPr>
          <w:p w14:paraId="749CFA7B"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舞马、驯象</w:t>
            </w:r>
          </w:p>
        </w:tc>
        <w:tc>
          <w:tcPr>
            <w:tcW w:w="0" w:type="auto"/>
            <w:hideMark/>
          </w:tcPr>
          <w:p w14:paraId="45422A68" w14:textId="77777777" w:rsidR="0072735C" w:rsidRPr="0072735C" w:rsidRDefault="0072735C" w:rsidP="0072735C">
            <w:pPr>
              <w:spacing w:after="168"/>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狮子舞、舞龙</w:t>
            </w:r>
          </w:p>
        </w:tc>
      </w:tr>
    </w:tbl>
    <w:p w14:paraId="3E9CDEC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拟兽与驯兽最根本的区别在于表演主体与实现路径的不同：驯兽表演依靠</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人对动物的驯化引导</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，核心是让真实动物按照预设指令完成动作；而拟兽表演则依靠</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人对动物的艺术再现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，核心是通过人类自身的创造力与表现力，赋予虚拟动物以生命感。前者的精彩之处在于动物行为与人类指令的精准配合，后者的魅力则在于人类对动物形态与精神的艺术化诠释，二者共同构成了中国传统百戏中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人与动物</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互动的两种经典范式。</w:t>
      </w:r>
    </w:p>
    <w:p w14:paraId="231B4519"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四、马伎与舞马的区分（专题说明）</w:t>
      </w:r>
    </w:p>
    <w:p w14:paraId="68368A8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在驯兽类百戏中，马伎与舞马常被混淆，实则二者有着本质区别：</w:t>
      </w:r>
    </w:p>
    <w:tbl>
      <w:tblPr>
        <w:tblW w:w="0" w:type="auto"/>
        <w:tblCellMar>
          <w:top w:w="15" w:type="dxa"/>
          <w:left w:w="15" w:type="dxa"/>
          <w:bottom w:w="15" w:type="dxa"/>
          <w:right w:w="15" w:type="dxa"/>
        </w:tblCellMar>
        <w:tblLook w:val="04A0" w:firstRow="1" w:lastRow="0" w:firstColumn="1" w:lastColumn="0" w:noHBand="0" w:noVBand="1"/>
      </w:tblPr>
      <w:tblGrid>
        <w:gridCol w:w="1420"/>
        <w:gridCol w:w="2299"/>
        <w:gridCol w:w="2820"/>
      </w:tblGrid>
      <w:tr w:rsidR="0072735C" w:rsidRPr="0072735C" w14:paraId="2D927CC3" w14:textId="77777777">
        <w:trPr>
          <w:tblHeader/>
        </w:trPr>
        <w:tc>
          <w:tcPr>
            <w:tcW w:w="0" w:type="auto"/>
            <w:tcMar>
              <w:top w:w="75" w:type="dxa"/>
              <w:left w:w="150" w:type="dxa"/>
              <w:bottom w:w="75" w:type="dxa"/>
              <w:right w:w="150" w:type="dxa"/>
            </w:tcMar>
            <w:vAlign w:val="center"/>
            <w:hideMark/>
          </w:tcPr>
          <w:p w14:paraId="0F6D2A99" w14:textId="77777777" w:rsidR="0072735C" w:rsidRPr="0072735C" w:rsidRDefault="0072735C" w:rsidP="0072735C">
            <w:pPr>
              <w:spacing w:after="168" w:line="240" w:lineRule="auto"/>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维度</w:t>
            </w:r>
          </w:p>
        </w:tc>
        <w:tc>
          <w:tcPr>
            <w:tcW w:w="0" w:type="auto"/>
            <w:tcMar>
              <w:top w:w="75" w:type="dxa"/>
              <w:left w:w="150" w:type="dxa"/>
              <w:bottom w:w="75" w:type="dxa"/>
              <w:right w:w="150" w:type="dxa"/>
            </w:tcMar>
            <w:vAlign w:val="center"/>
            <w:hideMark/>
          </w:tcPr>
          <w:p w14:paraId="6A07E2FB" w14:textId="77777777" w:rsidR="0072735C" w:rsidRPr="0072735C" w:rsidRDefault="0072735C" w:rsidP="0072735C">
            <w:pPr>
              <w:spacing w:after="168" w:line="240" w:lineRule="auto"/>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马伎（属杂技）</w:t>
            </w:r>
          </w:p>
        </w:tc>
        <w:tc>
          <w:tcPr>
            <w:tcW w:w="0" w:type="auto"/>
            <w:tcMar>
              <w:top w:w="75" w:type="dxa"/>
              <w:left w:w="150" w:type="dxa"/>
              <w:bottom w:w="75" w:type="dxa"/>
              <w:right w:w="150" w:type="dxa"/>
            </w:tcMar>
            <w:vAlign w:val="center"/>
            <w:hideMark/>
          </w:tcPr>
          <w:p w14:paraId="4B9BA840" w14:textId="77777777" w:rsidR="0072735C" w:rsidRPr="0072735C" w:rsidRDefault="0072735C" w:rsidP="0072735C">
            <w:pPr>
              <w:spacing w:after="168" w:line="240" w:lineRule="auto"/>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舞马（属驯兽）</w:t>
            </w:r>
          </w:p>
        </w:tc>
      </w:tr>
      <w:tr w:rsidR="0072735C" w:rsidRPr="0072735C" w14:paraId="5ECAA48E" w14:textId="77777777">
        <w:tc>
          <w:tcPr>
            <w:tcW w:w="0" w:type="auto"/>
            <w:tcMar>
              <w:top w:w="75" w:type="dxa"/>
              <w:left w:w="150" w:type="dxa"/>
              <w:bottom w:w="75" w:type="dxa"/>
              <w:right w:w="150" w:type="dxa"/>
            </w:tcMar>
            <w:vAlign w:val="center"/>
            <w:hideMark/>
          </w:tcPr>
          <w:p w14:paraId="67C912B0" w14:textId="77777777" w:rsidR="0072735C" w:rsidRPr="0072735C" w:rsidRDefault="0072735C" w:rsidP="0072735C">
            <w:pPr>
              <w:spacing w:after="168"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核心</w:t>
            </w:r>
          </w:p>
        </w:tc>
        <w:tc>
          <w:tcPr>
            <w:tcW w:w="0" w:type="auto"/>
            <w:tcMar>
              <w:top w:w="75" w:type="dxa"/>
              <w:left w:w="150" w:type="dxa"/>
              <w:bottom w:w="75" w:type="dxa"/>
              <w:right w:w="150" w:type="dxa"/>
            </w:tcMar>
            <w:vAlign w:val="center"/>
            <w:hideMark/>
          </w:tcPr>
          <w:p w14:paraId="27DEDF94" w14:textId="77777777" w:rsidR="0072735C" w:rsidRPr="0072735C" w:rsidRDefault="0072735C" w:rsidP="0072735C">
            <w:pPr>
              <w:spacing w:after="168"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骑手技艺</w:t>
            </w:r>
          </w:p>
        </w:tc>
        <w:tc>
          <w:tcPr>
            <w:tcW w:w="0" w:type="auto"/>
            <w:tcMar>
              <w:top w:w="75" w:type="dxa"/>
              <w:left w:w="150" w:type="dxa"/>
              <w:bottom w:w="75" w:type="dxa"/>
              <w:right w:w="150" w:type="dxa"/>
            </w:tcMar>
            <w:vAlign w:val="center"/>
            <w:hideMark/>
          </w:tcPr>
          <w:p w14:paraId="2C33EAFD" w14:textId="77777777" w:rsidR="0072735C" w:rsidRPr="0072735C" w:rsidRDefault="0072735C" w:rsidP="0072735C">
            <w:pPr>
              <w:spacing w:after="168"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马的自主动作</w:t>
            </w:r>
          </w:p>
        </w:tc>
      </w:tr>
      <w:tr w:rsidR="0072735C" w:rsidRPr="0072735C" w14:paraId="391B500F" w14:textId="77777777">
        <w:tc>
          <w:tcPr>
            <w:tcW w:w="0" w:type="auto"/>
            <w:tcMar>
              <w:top w:w="75" w:type="dxa"/>
              <w:left w:w="150" w:type="dxa"/>
              <w:bottom w:w="75" w:type="dxa"/>
              <w:right w:w="150" w:type="dxa"/>
            </w:tcMar>
            <w:vAlign w:val="center"/>
            <w:hideMark/>
          </w:tcPr>
          <w:p w14:paraId="1F17C1B7" w14:textId="77777777" w:rsidR="0072735C" w:rsidRPr="0072735C" w:rsidRDefault="0072735C" w:rsidP="0072735C">
            <w:pPr>
              <w:spacing w:after="168"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马的角色</w:t>
            </w:r>
          </w:p>
        </w:tc>
        <w:tc>
          <w:tcPr>
            <w:tcW w:w="0" w:type="auto"/>
            <w:tcMar>
              <w:top w:w="75" w:type="dxa"/>
              <w:left w:w="150" w:type="dxa"/>
              <w:bottom w:w="75" w:type="dxa"/>
              <w:right w:w="150" w:type="dxa"/>
            </w:tcMar>
            <w:vAlign w:val="center"/>
            <w:hideMark/>
          </w:tcPr>
          <w:p w14:paraId="6D6F530F" w14:textId="77777777" w:rsidR="0072735C" w:rsidRPr="0072735C" w:rsidRDefault="0072735C" w:rsidP="0072735C">
            <w:pPr>
              <w:spacing w:after="168"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载体</w:t>
            </w:r>
          </w:p>
        </w:tc>
        <w:tc>
          <w:tcPr>
            <w:tcW w:w="0" w:type="auto"/>
            <w:tcMar>
              <w:top w:w="75" w:type="dxa"/>
              <w:left w:w="150" w:type="dxa"/>
              <w:bottom w:w="75" w:type="dxa"/>
              <w:right w:w="150" w:type="dxa"/>
            </w:tcMar>
            <w:vAlign w:val="center"/>
            <w:hideMark/>
          </w:tcPr>
          <w:p w14:paraId="62D24E86" w14:textId="77777777" w:rsidR="0072735C" w:rsidRPr="0072735C" w:rsidRDefault="0072735C" w:rsidP="0072735C">
            <w:pPr>
              <w:spacing w:after="168"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主体</w:t>
            </w:r>
          </w:p>
        </w:tc>
      </w:tr>
      <w:tr w:rsidR="0072735C" w:rsidRPr="0072735C" w14:paraId="000A511C" w14:textId="77777777">
        <w:tc>
          <w:tcPr>
            <w:tcW w:w="0" w:type="auto"/>
            <w:tcMar>
              <w:top w:w="75" w:type="dxa"/>
              <w:left w:w="150" w:type="dxa"/>
              <w:bottom w:w="75" w:type="dxa"/>
              <w:right w:w="150" w:type="dxa"/>
            </w:tcMar>
            <w:vAlign w:val="center"/>
            <w:hideMark/>
          </w:tcPr>
          <w:p w14:paraId="67DB2012" w14:textId="77777777" w:rsidR="0072735C" w:rsidRPr="0072735C" w:rsidRDefault="0072735C" w:rsidP="0072735C">
            <w:pPr>
              <w:spacing w:after="168"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典型动作</w:t>
            </w:r>
          </w:p>
        </w:tc>
        <w:tc>
          <w:tcPr>
            <w:tcW w:w="0" w:type="auto"/>
            <w:tcMar>
              <w:top w:w="75" w:type="dxa"/>
              <w:left w:w="150" w:type="dxa"/>
              <w:bottom w:w="75" w:type="dxa"/>
              <w:right w:w="150" w:type="dxa"/>
            </w:tcMar>
            <w:vAlign w:val="center"/>
            <w:hideMark/>
          </w:tcPr>
          <w:p w14:paraId="5C6A3D76" w14:textId="77777777" w:rsidR="0072735C" w:rsidRPr="0072735C" w:rsidRDefault="0072735C" w:rsidP="0072735C">
            <w:pPr>
              <w:spacing w:after="168"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马上倒立、翻腾</w:t>
            </w:r>
          </w:p>
        </w:tc>
        <w:tc>
          <w:tcPr>
            <w:tcW w:w="0" w:type="auto"/>
            <w:tcMar>
              <w:top w:w="75" w:type="dxa"/>
              <w:left w:w="150" w:type="dxa"/>
              <w:bottom w:w="75" w:type="dxa"/>
              <w:right w:w="150" w:type="dxa"/>
            </w:tcMar>
            <w:vAlign w:val="center"/>
            <w:hideMark/>
          </w:tcPr>
          <w:p w14:paraId="72C4B96C" w14:textId="77777777" w:rsidR="0072735C" w:rsidRPr="0072735C" w:rsidRDefault="0072735C" w:rsidP="0072735C">
            <w:pPr>
              <w:spacing w:after="168"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随乐起舞、衔杯拜贺</w:t>
            </w:r>
          </w:p>
        </w:tc>
      </w:tr>
    </w:tbl>
    <w:p w14:paraId="26D64FC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马伎以骑手在马背上展示的技艺为核心，如倒立、翻腾、射箭等，马在其中仅作为承载骑手的工具；而舞马则以马本身的舞蹈动作为核心，如随乐曲节奏摇头摆尾、屈膝行礼、衔杯祝寿等，马是表演的真正主角。这一区分对于准确理解驯兽类百戏的内涵至关重要。</w:t>
      </w:r>
    </w:p>
    <w:p w14:paraId="06C040E5" w14:textId="77777777" w:rsidR="0072735C" w:rsidRPr="0072735C" w:rsidRDefault="0072735C" w:rsidP="0072735C">
      <w:pPr>
        <w:spacing w:before="360" w:after="240" w:line="240" w:lineRule="auto"/>
        <w:outlineLvl w:val="1"/>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第二节</w:t>
      </w:r>
      <w:r w:rsidRPr="0072735C">
        <w:rPr>
          <w:rFonts w:ascii="Times New Roman" w:eastAsia="SimSun" w:hAnsi="Times New Roman" w:cs="Times New Roman"/>
          <w:b/>
          <w:bCs/>
          <w:kern w:val="0"/>
          <w:sz w:val="28"/>
          <w:szCs w:val="28"/>
          <w14:ligatures w14:val="none"/>
        </w:rPr>
        <w:t xml:space="preserve"> </w:t>
      </w:r>
      <w:r w:rsidRPr="0072735C">
        <w:rPr>
          <w:rFonts w:ascii="Times New Roman" w:eastAsia="SimSun" w:hAnsi="Times New Roman" w:cs="Times New Roman"/>
          <w:b/>
          <w:bCs/>
          <w:kern w:val="0"/>
          <w:sz w:val="28"/>
          <w:szCs w:val="28"/>
          <w14:ligatures w14:val="none"/>
        </w:rPr>
        <w:t>驯兽类百戏的书写</w:t>
      </w:r>
    </w:p>
    <w:p w14:paraId="1886550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驯兽类百戏在漫长的历史长河中，随着时代更迭呈现出丰富的发展面貌。从汉魏时期的初步萌芽到唐代的鼎盛繁荣，不同种类的驯兽表演在历史舞台上留下了独特的印记。而关于它们的历史书写，不仅梳理了表演的兴衰脉络，更暗藏着史料类型的多元性、书写目的的差异性与时代变迁的深刻影响，形成了独具特色的叙事传统。</w:t>
      </w:r>
    </w:p>
    <w:p w14:paraId="7477C999"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一、汉魏时期：简略记载中的早期书写特质</w:t>
      </w:r>
    </w:p>
    <w:p w14:paraId="327DE24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汉魏时期是驯兽类百戏的初步发展阶段，这一时期的历史书写呈现出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简略化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功能性</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的特色，记载多依附于事件记录，尚未形成独立的叙事体系。</w:t>
      </w:r>
    </w:p>
    <w:p w14:paraId="225F773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斗鸡的早期记载</w:t>
      </w:r>
    </w:p>
    <w:p w14:paraId="436D719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斗鸡作为这一时期较为盛行的驯兽表演，其记载散见于各类文献中，但多为片段式提及。《史记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苏秦列传》中记载战国时期齐国临淄的风俗：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临淄甚富而实，其民无不吹竽鼓瑟、击筑弹琴、斗鸡走犬、六博蹴鞠者。</w:t>
      </w:r>
      <w:r w:rsidRPr="0072735C">
        <w:rPr>
          <w:rFonts w:ascii="Times New Roman" w:eastAsia="SimSun" w:hAnsi="Times New Roman" w:cs="Times New Roman"/>
          <w:kern w:val="0"/>
          <w:sz w:val="28"/>
          <w:szCs w:val="28"/>
          <w14:ligatures w14:val="none"/>
        </w:rPr>
        <w:t>”[3]</w:t>
      </w:r>
      <w:r w:rsidRPr="0072735C">
        <w:rPr>
          <w:rFonts w:ascii="Times New Roman" w:eastAsia="SimSun" w:hAnsi="Times New Roman" w:cs="Times New Roman"/>
          <w:kern w:val="0"/>
          <w:sz w:val="28"/>
          <w:szCs w:val="28"/>
          <w14:ligatures w14:val="none"/>
        </w:rPr>
        <w:t>由此可见，斗鸡、六博、蹴鞠等游艺活动在战国时期的齐国临淄已经很是兴盛。这些记载往往将斗鸡与社会风气、娱乐活动相关联，却鲜有对训练方法、表演场景的详细记录。这种书写倾向反映了早期驯兽表演尚未被赋予复杂的文化象征意义，书写目的更多是客观记录社会习俗。</w:t>
      </w:r>
    </w:p>
    <w:p w14:paraId="58AC7EC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历史笔记小说《西京杂记》中记载了不少的游艺活动，如卷二记载了汉高祖之父被接到宫中后郁郁寡欢，是因为想念曾经在民间时斗鸡走马的生活：</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平生所好，皆屠贩少年，酤酒卖饼，斗鸡蹴鞠，以此为欢。</w:t>
      </w:r>
      <w:r w:rsidRPr="0072735C">
        <w:rPr>
          <w:rFonts w:ascii="Times New Roman" w:eastAsia="SimSun" w:hAnsi="Times New Roman" w:cs="Times New Roman"/>
          <w:kern w:val="0"/>
          <w:sz w:val="28"/>
          <w:szCs w:val="28"/>
          <w14:ligatures w14:val="none"/>
        </w:rPr>
        <w:t>”[4]</w:t>
      </w:r>
      <w:r w:rsidRPr="0072735C">
        <w:rPr>
          <w:rFonts w:ascii="Times New Roman" w:eastAsia="SimSun" w:hAnsi="Times New Roman" w:cs="Times New Roman"/>
          <w:kern w:val="0"/>
          <w:sz w:val="28"/>
          <w:szCs w:val="28"/>
          <w14:ligatures w14:val="none"/>
        </w:rPr>
        <w:t>于是汉高祖将民间游艺活动引入宫廷。</w:t>
      </w:r>
    </w:p>
    <w:p w14:paraId="6C899ED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大型兽类驯化表演的记载</w:t>
      </w:r>
    </w:p>
    <w:p w14:paraId="769EAD0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大型兽类驯化表演的记载则更显零星。关于舞象的描述仅能从外夷朝贡的事件中窥见一二。汉代时，已有外夷向中国进贡犀象。《艺文类聚》卷九十五引《万岁历》曰：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成帝咸康六年，临邑王献象一，知跪拜，御者使从之。</w:t>
      </w:r>
      <w:r w:rsidRPr="0072735C">
        <w:rPr>
          <w:rFonts w:ascii="Times New Roman" w:eastAsia="SimSun" w:hAnsi="Times New Roman" w:cs="Times New Roman"/>
          <w:kern w:val="0"/>
          <w:sz w:val="28"/>
          <w:szCs w:val="28"/>
          <w14:ligatures w14:val="none"/>
        </w:rPr>
        <w:t>”[5]</w:t>
      </w:r>
      <w:r w:rsidRPr="0072735C">
        <w:rPr>
          <w:rFonts w:ascii="Times New Roman" w:eastAsia="SimSun" w:hAnsi="Times New Roman" w:cs="Times New Roman"/>
          <w:kern w:val="0"/>
          <w:sz w:val="28"/>
          <w:szCs w:val="28"/>
          <w14:ligatures w14:val="none"/>
        </w:rPr>
        <w:t>又引《汉书》曰：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元始二年，黄支国献犀牛。</w:t>
      </w:r>
      <w:r w:rsidRPr="0072735C">
        <w:rPr>
          <w:rFonts w:ascii="Times New Roman" w:eastAsia="SimSun" w:hAnsi="Times New Roman" w:cs="Times New Roman"/>
          <w:kern w:val="0"/>
          <w:sz w:val="28"/>
          <w:szCs w:val="28"/>
          <w14:ligatures w14:val="none"/>
        </w:rPr>
        <w:t>”[6]</w:t>
      </w:r>
      <w:r w:rsidRPr="0072735C">
        <w:rPr>
          <w:rFonts w:ascii="Times New Roman" w:eastAsia="SimSun" w:hAnsi="Times New Roman" w:cs="Times New Roman"/>
          <w:kern w:val="0"/>
          <w:sz w:val="28"/>
          <w:szCs w:val="28"/>
          <w14:ligatures w14:val="none"/>
        </w:rPr>
        <w:t>尽管已有文字记载，但文字极简，仅聚焦于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献象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这一事件与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跪拜</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这一核心技能，既无对表演过程的铺陈，也无对驯化技术的探讨。这种书写逻辑与汉魏时期中外交流初兴的背景密切相关</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象作为异域奇珍，其记载的核心功能是彰显</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四夷归附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的政治图景，而非表演本身。</w:t>
      </w:r>
    </w:p>
    <w:p w14:paraId="40612EE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舞马雏形的记载</w:t>
      </w:r>
    </w:p>
    <w:p w14:paraId="6B5023E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在畜类驯化方面，舞马雏形的记载同样带有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实用性</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特征。《太平御览》引《魏志》载陈思王献</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能拜且行与鼓节相应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之马，重点落在</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献马</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这一行为及其体现的君臣关系上；《凉州记》记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疏勒王献善舞马</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，则将舞马作为朝贡方物的一部分记录，书写重心在于外交事件而非表演艺术。此时的历史书写尚未将驯兽表演视为独立的文化现象，更多是作为社会生活、政治事件的附属内容存在。</w:t>
      </w:r>
    </w:p>
    <w:p w14:paraId="7C7E87FE"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二、唐代：多元史料中的书写繁荣与叙事转向</w:t>
      </w:r>
    </w:p>
    <w:p w14:paraId="1D34202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唐代驯兽类百戏的鼎盛，推动了历史书写的繁荣。这一时期的记载不仅数量激增，更在史料类型、书写目的与叙事视角上呈现出鲜明特色，形成了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史书与文学互渗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政治象征与艺术描写并存</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的书写格局。</w:t>
      </w:r>
    </w:p>
    <w:p w14:paraId="73C1210C" w14:textId="77777777" w:rsidR="0072735C" w:rsidRPr="0072735C" w:rsidRDefault="0072735C" w:rsidP="0072735C">
      <w:pPr>
        <w:spacing w:before="360" w:after="240" w:line="240" w:lineRule="auto"/>
        <w:outlineLvl w:val="3"/>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（一）舞马书写：从朝贡记录到盛世叙事</w:t>
      </w:r>
    </w:p>
    <w:p w14:paraId="531DB6C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舞马的历史书写在唐代完成了从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方物记载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盛世符号</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的转变，呈现出历史书写与文学书写相互辉映的繁荣景象。</w:t>
      </w:r>
    </w:p>
    <w:p w14:paraId="35F8EB7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1. </w:t>
      </w:r>
      <w:r w:rsidRPr="0072735C">
        <w:rPr>
          <w:rFonts w:ascii="Times New Roman" w:eastAsia="SimSun" w:hAnsi="Times New Roman" w:cs="Times New Roman"/>
          <w:b/>
          <w:bCs/>
          <w:kern w:val="0"/>
          <w:sz w:val="28"/>
          <w:szCs w:val="28"/>
          <w14:ligatures w14:val="none"/>
        </w:rPr>
        <w:t>历史书写</w:t>
      </w:r>
    </w:p>
    <w:p w14:paraId="296D4C6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1</w:t>
      </w:r>
      <w:r w:rsidRPr="0072735C">
        <w:rPr>
          <w:rFonts w:ascii="Times New Roman" w:eastAsia="SimSun" w:hAnsi="Times New Roman" w:cs="Times New Roman"/>
          <w:kern w:val="0"/>
          <w:sz w:val="28"/>
          <w:szCs w:val="28"/>
          <w14:ligatures w14:val="none"/>
        </w:rPr>
        <w:t>）盛世制度化记载</w:t>
      </w:r>
    </w:p>
    <w:p w14:paraId="6118088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《通典》卷一四五载：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今翔麟、凤苑厩有蹀马，俯仰腾跃，皆合曲节，朝会用乐，则兼奏之。</w:t>
      </w:r>
      <w:r w:rsidRPr="0072735C">
        <w:rPr>
          <w:rFonts w:ascii="Times New Roman" w:eastAsia="SimSun" w:hAnsi="Times New Roman" w:cs="Times New Roman"/>
          <w:kern w:val="0"/>
          <w:sz w:val="28"/>
          <w:szCs w:val="28"/>
          <w14:ligatures w14:val="none"/>
        </w:rPr>
        <w:t>”[7]</w:t>
      </w:r>
      <w:r w:rsidRPr="0072735C">
        <w:rPr>
          <w:rFonts w:ascii="Times New Roman" w:eastAsia="SimSun" w:hAnsi="Times New Roman" w:cs="Times New Roman"/>
          <w:kern w:val="0"/>
          <w:sz w:val="28"/>
          <w:szCs w:val="28"/>
          <w14:ligatures w14:val="none"/>
        </w:rPr>
        <w:t>蹀马，即舞马。唐代帝王好马，造就了当时的舞马风尚。舞马活动的开展通常极为盛大，常在宫廷宴会、节日庆典时演出。唐玄宗对马舞之戏及其热衷，这也促使舞马的历史书写成为盛世符号。《旧唐书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礼乐志》记载：</w:t>
      </w:r>
    </w:p>
    <w:p w14:paraId="720BA3A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太常大鼓，藻绘如锦，乐工齐击，声震城阙。太常卿引雅乐，每色数十人，自南鱼贯而进，列于楼下。鼓笛鸡娄，充庭考击。太常乐立部伎、坐部伎依点鼓舞，间以胡夷之伎。日旰，即内闲厩引蹀马三十匹，为《倾杯乐曲》，奋首鼓尾，纵横应节。又施三层板床，乘马而上，抃转如飞。</w:t>
      </w:r>
      <w:r w:rsidRPr="0072735C">
        <w:rPr>
          <w:rFonts w:ascii="Times New Roman" w:eastAsia="SimSun" w:hAnsi="Times New Roman" w:cs="Times New Roman"/>
          <w:kern w:val="0"/>
          <w:sz w:val="28"/>
          <w:szCs w:val="28"/>
          <w14:ligatures w14:val="none"/>
        </w:rPr>
        <w:t>[8]</w:t>
      </w:r>
    </w:p>
    <w:p w14:paraId="4391B5C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玄宗曾专门圈养、训练舞马，在宫廷大型宴会上表演，表演形式多样：或马舞《倾杯乐》数十，或乘马于三层板床之上，回旋如飞，又或壮士举榻，马舞其上，乐工少年侍立左右。乐工齐奏《倾杯乐》，伴着乐曲马儿们踏点而舞倾杯舞，精妙绝伦。舞马的具体表演内容主要包括</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衔杯祝寿</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舞马登床</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应节蹀步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变换多样</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这几种。舞马配合着节奏韵律特别的乐曲，高低起伏，变化明显。舞马常用的乐曲为《饮酒乐》和《倾杯乐》，这两首乐曲的乐谱目前虽然不存，但从作品对舞马表演动作的描写可以推断，乐曲在初奏时应该是舒缓的，随着马儿的出场开始逐渐加快节奏，马儿动作跟随着音乐做出相应的变化。最后节奏鼓点强烈，舞马或登床或衔杯，全曲也到达高潮。</w:t>
      </w:r>
    </w:p>
    <w:p w14:paraId="47F8509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《新唐书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礼乐志十二》载：</w:t>
      </w:r>
    </w:p>
    <w:p w14:paraId="1C397A6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w:t>
      </w:r>
      <w:r w:rsidRPr="0072735C">
        <w:rPr>
          <w:rFonts w:ascii="Times New Roman" w:eastAsia="SimSun" w:hAnsi="Times New Roman" w:cs="Times New Roman"/>
          <w:kern w:val="0"/>
          <w:sz w:val="28"/>
          <w:szCs w:val="28"/>
          <w14:ligatures w14:val="none"/>
        </w:rPr>
        <w:t>[9]</w:t>
      </w:r>
    </w:p>
    <w:p w14:paraId="6419229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这些记载不仅是表演实录，更暗藏着对</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盛唐气象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的刻意塑造：舞马的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应节</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被视为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天下和顺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的象征，百匹舞马的盛饰列队被解读为国力强盛的体现。唐玄宗对舞马的热衷被反复提及，与其说是记录帝王喜好，不如说是通过</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帝王与驯兽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的关联，强化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君权天授</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的政治叙事。</w:t>
      </w:r>
    </w:p>
    <w:p w14:paraId="335214D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2</w:t>
      </w:r>
      <w:r w:rsidRPr="0072735C">
        <w:rPr>
          <w:rFonts w:ascii="Times New Roman" w:eastAsia="SimSun" w:hAnsi="Times New Roman" w:cs="Times New Roman"/>
          <w:kern w:val="0"/>
          <w:sz w:val="28"/>
          <w:szCs w:val="28"/>
          <w14:ligatures w14:val="none"/>
        </w:rPr>
        <w:t>）安史之乱后的悲剧命运</w:t>
      </w:r>
    </w:p>
    <w:p w14:paraId="6EF739B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唐代舞马盛况一直持续到安史之乱，此后帝王再也顾不得舞马的安危。安史之乱后，安禄山搜罗舞马，归于私有。《资治通鉴》卷二百一十八载：</w:t>
      </w:r>
    </w:p>
    <w:p w14:paraId="1D6E6D7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w:t>
      </w:r>
      <w:r w:rsidRPr="0072735C">
        <w:rPr>
          <w:rFonts w:ascii="Times New Roman" w:eastAsia="SimSun" w:hAnsi="Times New Roman" w:cs="Times New Roman"/>
          <w:kern w:val="0"/>
          <w:sz w:val="28"/>
          <w:szCs w:val="28"/>
          <w14:ligatures w14:val="none"/>
        </w:rPr>
        <w:t>[10]</w:t>
      </w:r>
    </w:p>
    <w:p w14:paraId="3069258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先前被悉心照料的舞马们散落民间，安禄山带回十余只舞马到范阳，命人训练，希望在自己的寿宴上重见荣光，可惜事未成。这些舞马也落到一介武夫田承嗣手中，田承嗣不知舞马的本领，只当是寻常战马散养。偶有一日，军中响起乐曲，受过训练的舞马们随乐而舞，却被田承嗣及其手下当成怪异现象，几经呵斥不停，</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马舞益整而鞭挞愈加，终毙于枥下。</w:t>
      </w:r>
      <w:r w:rsidRPr="0072735C">
        <w:rPr>
          <w:rFonts w:ascii="Times New Roman" w:eastAsia="SimSun" w:hAnsi="Times New Roman" w:cs="Times New Roman"/>
          <w:kern w:val="0"/>
          <w:sz w:val="28"/>
          <w:szCs w:val="28"/>
          <w14:ligatures w14:val="none"/>
        </w:rPr>
        <w:t>”[11]</w:t>
      </w:r>
      <w:r w:rsidRPr="0072735C">
        <w:rPr>
          <w:rFonts w:ascii="Times New Roman" w:eastAsia="SimSun" w:hAnsi="Times New Roman" w:cs="Times New Roman"/>
          <w:kern w:val="0"/>
          <w:sz w:val="28"/>
          <w:szCs w:val="28"/>
          <w14:ligatures w14:val="none"/>
        </w:rPr>
        <w:t>被鞭挞致死。</w:t>
      </w:r>
    </w:p>
    <w:p w14:paraId="4CD061BC"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《旧唐书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德宗本纪》载：贞元四年，德宗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宴群臣于麟德殿，设《九部乐》，内出舞马，上赋诗一章，群臣属和。</w:t>
      </w:r>
      <w:r w:rsidRPr="0072735C">
        <w:rPr>
          <w:rFonts w:ascii="Times New Roman" w:eastAsia="SimSun" w:hAnsi="Times New Roman" w:cs="Times New Roman"/>
          <w:kern w:val="0"/>
          <w:sz w:val="28"/>
          <w:szCs w:val="28"/>
          <w14:ligatures w14:val="none"/>
        </w:rPr>
        <w:t>”[12]</w:t>
      </w:r>
      <w:r w:rsidRPr="0072735C">
        <w:rPr>
          <w:rFonts w:ascii="Times New Roman" w:eastAsia="SimSun" w:hAnsi="Times New Roman" w:cs="Times New Roman"/>
          <w:kern w:val="0"/>
          <w:sz w:val="28"/>
          <w:szCs w:val="28"/>
          <w14:ligatures w14:val="none"/>
        </w:rPr>
        <w:t>德宗以后，不见马舞记载，马舞之戏几绝。伴随着舞马的最终消失，大唐的繁荣也落下了帷幕，唐以后再未从文献资料中找到关于舞马的记载。</w:t>
      </w:r>
    </w:p>
    <w:p w14:paraId="7142590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安史之乱后，舞马书写出现了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悲剧性转向</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。《明皇杂录》《资治通鉴》详细记录了舞马散落民间后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为田承嗣所获，因乐作而舞，被误为妖孽鞭挞致死</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的结局。这一叙事不再聚焦盛世荣光，而是通过舞马的悲惨命运隐喻大唐由盛转衰的历史轨迹，体现了历史书写中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以物喻史</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的象征手法。德宗时期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内出舞马</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的短暂重现与之后的彻底绝迹，在史书中仅以寥寥数语带过，这种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书写淡化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恰恰反映了时代变迁对叙事重心的影响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战乱后的王朝已无力承载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舞马盛世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的象征意义。</w:t>
      </w:r>
    </w:p>
    <w:p w14:paraId="195DC1A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2. </w:t>
      </w:r>
      <w:r w:rsidRPr="0072735C">
        <w:rPr>
          <w:rFonts w:ascii="Times New Roman" w:eastAsia="SimSun" w:hAnsi="Times New Roman" w:cs="Times New Roman"/>
          <w:b/>
          <w:bCs/>
          <w:kern w:val="0"/>
          <w:sz w:val="28"/>
          <w:szCs w:val="28"/>
          <w14:ligatures w14:val="none"/>
        </w:rPr>
        <w:t>文学书写</w:t>
      </w:r>
    </w:p>
    <w:p w14:paraId="3CD9E26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舞马存在的时间较短，相关文学作品却有不少，形成了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盛世颂扬</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衰世追忆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两种截然不同的书写风格。</w:t>
      </w:r>
    </w:p>
    <w:p w14:paraId="0DD05E7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1</w:t>
      </w:r>
      <w:r w:rsidRPr="0072735C">
        <w:rPr>
          <w:rFonts w:ascii="Times New Roman" w:eastAsia="SimSun" w:hAnsi="Times New Roman" w:cs="Times New Roman"/>
          <w:kern w:val="0"/>
          <w:sz w:val="28"/>
          <w:szCs w:val="28"/>
          <w14:ligatures w14:val="none"/>
        </w:rPr>
        <w:t>）盛世颂扬期</w:t>
      </w:r>
    </w:p>
    <w:p w14:paraId="0DC5DB0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唐人关于马舞的诗作都较为华丽，如薛曜的《舞马篇》：</w:t>
      </w:r>
    </w:p>
    <w:p w14:paraId="7A70211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星精龙种竞腾骧，双眼黄金紫艳光。一朝逢遇升平代，伏皂衔图事帝王。</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我皇盛德苞六宇，俗泰时和虞石拊。昔闻九代有馀名，今日百兽先来舞。</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钩陈周卫俨旌旄，钟鎛陶匏声殷地。承云嘈囋骇日灵，调露铿鈜动天驷。</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奔尘飞箭若麟螭，蹑景追风忽见知。咀衔拉铁并权奇，被服雕章何陆离。</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紫玉鸣珂临宝镫，青丝彩络带金羁。随歌鼓而电惊，逐丸剑而飙驰。</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态聚足甫还急，骄凝骤不移。光敌白日下，气拥绿烟垂。</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婉转盘跚殊未已，悬空步骤红尘起。惊凫翔鹭不堪俦，矫凤回鸾那足拟。</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蘅垂桂裛香</w:t>
      </w:r>
      <w:r w:rsidRPr="0072735C">
        <w:rPr>
          <w:rFonts w:ascii="Times New Roman" w:eastAsia="SimSun" w:hAnsi="Times New Roman" w:cs="Times New Roman"/>
          <w:kern w:val="0"/>
          <w:sz w:val="28"/>
          <w:szCs w:val="28"/>
          <w14:ligatures w14:val="none"/>
        </w:rPr>
        <w:lastRenderedPageBreak/>
        <w:t>氛氲，长鸣汗血尽浮云。不辞辛苦来东道，只为箫韶朝夕闻。</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阊阖间，玉台侧，承恩煦兮生光色。鸾锵锵，车翼翼，备国容兮为戎饰。</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充云翘兮天子庭，荷日用兮情无极。吉良乘兮一千岁，神是得兮天地期。</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大易占云南山寿，共乐圣明时。</w:t>
      </w:r>
    </w:p>
    <w:p w14:paraId="3AB233C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此诗描绘了整个马舞的盛大场面和气势，诗中所写应是皇帝圣诞千秋之时的马舞表演，意在歌太平盛世，咏皇帝盛德，故而语言极为华美，无不颂扬赞美之词，从中也可看出宫中马舞之全貌。舞马装饰华贵无比，身披彩绣之服，金制的马笼头上饰有紫玉，垂青丝彩带，随歌鼓而起舞，其舞状时而婉转摇摆，时而腾空而起，美妙至极。</w:t>
      </w:r>
    </w:p>
    <w:p w14:paraId="6178B9E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张说有《舞马千秋万岁乐府词三首》：</w:t>
      </w:r>
    </w:p>
    <w:p w14:paraId="6F80824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金天诞圣千秋节，玉醴还分万寿觞。试听紫骝歌乐府，何如騄骥舞华冈。</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连鶱势出鱼龙变，躞蹀骄生鸟兽行。岁岁相传指树日，翩翩来伴庆云翔。</w:t>
      </w:r>
    </w:p>
    <w:p w14:paraId="3012897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圣皇至德与天齐，天马来仪自海西。腕足徐行拜两膝，繁骄不进踏千蹄。</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髤髵奋鬣时蹲踏，鼓怒骧身忽上跻。更有衔杯终宴曲，垂头掉尾醉如泥。</w:t>
      </w:r>
    </w:p>
    <w:p w14:paraId="5230E34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远听明君爱逸才，玉鞭金翅引龙媒。不因兹白人间有，定是飞黄天上来。</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影弄日华相照耀，喷含云色且裴徊。莫言阙下桃花舞，别有河中兰叶开。</w:t>
      </w:r>
    </w:p>
    <w:p w14:paraId="388B684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诗颂玄宗千秋节盛大宫中的马舞场面，群马奔腾，阵势多变，又赞皇帝盛德，群马跪拜蹲踏，骧首奋鬣，登榻而舞，又有衔杯而拜，似醉如泥，精彩热闘，生动有趣。</w:t>
      </w:r>
    </w:p>
    <w:p w14:paraId="572CCEC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张说还有《舞马词六首》：</w:t>
      </w:r>
    </w:p>
    <w:p w14:paraId="6D047CD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万玉朝宗凤扆，千金率领龙媒。眄鼓凝骄躞蹀，听歌弄影徘徊。</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天鹿遥征卫叔，日龙上借羲和。将共两骖争舞，来随八骏齐歌。</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彩旄八佾成行，时龙五色因方。屈膝衔杯赴节，倾心献寿无疆。</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帝皂龙驹沛艾，星兰骥子权奇。腾倚骧洋应节，繁骄接迹不移。</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二圣先天合德，群灵率土可封。击石骖驔紫燕，摐金顾步苍龙。</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圣君出震应箓，神马浮河献图。足踏天庭鼓舞，心将帝乐踌蹰。</w:t>
      </w:r>
    </w:p>
    <w:p w14:paraId="6036C6F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此应为配乐应舞所作之词，前二首配圣代升平乐，后四首为四海和平乐，皆是为皇帝祝寿、歌功颂德之主旨。</w:t>
      </w:r>
    </w:p>
    <w:p w14:paraId="307C7AE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佚名的《舞马赋》描写道：</w:t>
      </w:r>
    </w:p>
    <w:p w14:paraId="3283C31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尔其聆音却立，赴节腾凑，顾迟影而倾心，效长鸣而引脰，徘徊振迅，类威凤之来仪；指顾倏忽，若腾猿之惊透。眄钟鼓而载止，畅箫韶之九奏。洎宛迹迟迟，汗血生姿，顺指不动，因心所之。</w:t>
      </w:r>
      <w:r w:rsidRPr="0072735C">
        <w:rPr>
          <w:rFonts w:ascii="Times New Roman" w:eastAsia="SimSun" w:hAnsi="Times New Roman" w:cs="Times New Roman"/>
          <w:kern w:val="0"/>
          <w:sz w:val="28"/>
          <w:szCs w:val="28"/>
          <w14:ligatures w14:val="none"/>
        </w:rPr>
        <w:t>[13]</w:t>
      </w:r>
    </w:p>
    <w:p w14:paraId="03E014A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又写道：</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饰金络，顿红緌。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奢华的外在装饰为舞马表演锦上添花，让人不禁感叹</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类却略以凤态，终宛转而龙姿。</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用赋来描写马伎与舞马，正好体现出其带给观众的感受，紧张刺激，又具有观赏性，是华丽与技巧的结合。</w:t>
      </w:r>
    </w:p>
    <w:p w14:paraId="46855FE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钱起的《千秋节勤政楼下观舞马赋》言：</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须臾，金鼓奏，玉管传。忽兮龙踞，愕尔鸿翻；顿缨而电落朱鬛，骧首而星流白颠。</w:t>
      </w:r>
      <w:r w:rsidRPr="0072735C">
        <w:rPr>
          <w:rFonts w:ascii="Times New Roman" w:eastAsia="SimSun" w:hAnsi="Times New Roman" w:cs="Times New Roman"/>
          <w:kern w:val="0"/>
          <w:sz w:val="28"/>
          <w:szCs w:val="28"/>
          <w14:ligatures w14:val="none"/>
        </w:rPr>
        <w:t>”[14]</w:t>
      </w:r>
      <w:r w:rsidRPr="0072735C">
        <w:rPr>
          <w:rFonts w:ascii="Times New Roman" w:eastAsia="SimSun" w:hAnsi="Times New Roman" w:cs="Times New Roman"/>
          <w:kern w:val="0"/>
          <w:sz w:val="28"/>
          <w:szCs w:val="28"/>
          <w14:ligatures w14:val="none"/>
        </w:rPr>
        <w:t>从观赏者的角度来看，能够给人营造一种独特的美感，百匹舞马随着节奏同时舞动，震撼无比。</w:t>
      </w:r>
    </w:p>
    <w:p w14:paraId="05BDDA5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中唐诗人郑嵎在七言长诗《津阳门诗并序》中自注：</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马衣纨绮而被铃铎，骧首奋鬣，举趾翘尾，变态动容，皆中音律。</w:t>
      </w:r>
      <w:r w:rsidRPr="0072735C">
        <w:rPr>
          <w:rFonts w:ascii="Times New Roman" w:eastAsia="SimSun" w:hAnsi="Times New Roman" w:cs="Times New Roman"/>
          <w:kern w:val="0"/>
          <w:sz w:val="28"/>
          <w:szCs w:val="28"/>
          <w14:ligatures w14:val="none"/>
        </w:rPr>
        <w:t>”[15]</w:t>
      </w:r>
      <w:r w:rsidRPr="0072735C">
        <w:rPr>
          <w:rFonts w:ascii="Times New Roman" w:eastAsia="SimSun" w:hAnsi="Times New Roman" w:cs="Times New Roman"/>
          <w:kern w:val="0"/>
          <w:sz w:val="28"/>
          <w:szCs w:val="28"/>
          <w14:ligatures w14:val="none"/>
        </w:rPr>
        <w:t>舞马着精美丝衣，佩戴铃铛，在跳动舞蹈间，带来视觉与听觉的双重享受。</w:t>
      </w:r>
    </w:p>
    <w:p w14:paraId="5F6E343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舞马由西域传入，深受玄宗喜爱，成为千秋节上必备表演项目，作为外来品在如此盛大的场面面对皇族高官和京城百姓进行展出，极大展示了唐王朝超凡的自信与自豪。</w:t>
      </w:r>
    </w:p>
    <w:p w14:paraId="21D6F2E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2</w:t>
      </w:r>
      <w:r w:rsidRPr="0072735C">
        <w:rPr>
          <w:rFonts w:ascii="Times New Roman" w:eastAsia="SimSun" w:hAnsi="Times New Roman" w:cs="Times New Roman"/>
          <w:kern w:val="0"/>
          <w:sz w:val="28"/>
          <w:szCs w:val="28"/>
          <w14:ligatures w14:val="none"/>
        </w:rPr>
        <w:t>）衰世追忆期</w:t>
      </w:r>
    </w:p>
    <w:p w14:paraId="4E328E7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安史之乱前的文学作品多用舞马进行歌功颂德（对马的描写也非常华丽），而安史之乱后提及舞马，又增添了政治讽喻意味。</w:t>
      </w:r>
    </w:p>
    <w:p w14:paraId="048F7A2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杜甫在《斗鸡》写到：</w:t>
      </w:r>
    </w:p>
    <w:p w14:paraId="0F4E736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斗鸡初赐锦，舞马既登床</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仙游终一阴，女乐久无香。寂寞骊山道，清秋草木黄。</w:t>
      </w:r>
      <w:r w:rsidRPr="0072735C">
        <w:rPr>
          <w:rFonts w:ascii="Times New Roman" w:eastAsia="SimSun" w:hAnsi="Times New Roman" w:cs="Times New Roman"/>
          <w:kern w:val="0"/>
          <w:sz w:val="28"/>
          <w:szCs w:val="28"/>
          <w14:ligatures w14:val="none"/>
        </w:rPr>
        <w:t>[16]</w:t>
      </w:r>
    </w:p>
    <w:p w14:paraId="4FAEF21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此诗写于唐代宗时，诗的前四句描写了盛世之景，透过舞马登床的表演感受当时之乐，末句情感急剧下转，寂寞的骊山道路，冷清秋中的微黄草木，前后鲜明的对比，伤痛惋惜之感溢于言表。</w:t>
      </w:r>
    </w:p>
    <w:p w14:paraId="058A3FD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陆龟蒙《开元杂题七首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舞马》中言：</w:t>
      </w:r>
    </w:p>
    <w:p w14:paraId="23C0BD2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月窟龙孙四百蹄，骄骧轻步应金鞞。曲终似要君王宠，回望红楼不敢嘶。</w:t>
      </w:r>
      <w:r w:rsidRPr="0072735C">
        <w:rPr>
          <w:rFonts w:ascii="Times New Roman" w:eastAsia="SimSun" w:hAnsi="Times New Roman" w:cs="Times New Roman"/>
          <w:kern w:val="0"/>
          <w:sz w:val="28"/>
          <w:szCs w:val="28"/>
          <w14:ligatures w14:val="none"/>
        </w:rPr>
        <w:t>[17]</w:t>
      </w:r>
    </w:p>
    <w:p w14:paraId="3425600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起首直接道出由西域而来的骏马百匹，舞马昂首挺胸，踩踏应节，又以拟人笔法描写曲终舞毕，群马似向君王讨要赏赐，边走边回头望，却不敢嘶鸣出声，写出舞马似有灵性。前句对舞马矫健灵活的姿态进行勾勒，看似夸耀，但笔锋一转，曲终邀宠的谄媚中透露出诗人的暗讽。陆龟蒙生活于唐朝中晚期，此时国家的状况不容乐观。伴随着国力衰退是舞马活动的消亡，当回想大唐盛世之时，一同浮现诗人脑海的还有翩翩的舞马，而骄傲自豪之感不再，无法写出应承颂德之作，有的只是面对满目萧条的不甘与悲愤，化成满纸讥讽。</w:t>
      </w:r>
    </w:p>
    <w:p w14:paraId="18E1C4BC"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经历安史之乱后，文人们在创作舞马相关作品时，主旨不再奉和，而是不约而同联想王朝盛衰，抒发悲愤讽刺之情。舞马华美的装饰与灵动的舞姿无法再现，盛唐之后的诗人们在创作中提及舞马时不再奉承歌颂，而是用它来表达自己的情感，或是对国家衰败的悲伤感叹，或是对帝王荒唐的怒斥，又或是对往昔繁华逝去的无奈。舞马被赋予了穿透盛衰的意味，丰富了文学创作的内容，增加了作品情感的厚度。</w:t>
      </w:r>
    </w:p>
    <w:p w14:paraId="2845321F" w14:textId="77777777" w:rsidR="0072735C" w:rsidRPr="0072735C" w:rsidRDefault="0072735C" w:rsidP="0072735C">
      <w:pPr>
        <w:spacing w:before="360" w:after="240" w:line="240" w:lineRule="auto"/>
        <w:outlineLvl w:val="3"/>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（二）驯象、驯犀书写：朝贡体系下的祥瑞叙事</w:t>
      </w:r>
    </w:p>
    <w:p w14:paraId="01A0903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驯象与驯犀的历史书写始终围绕</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朝贡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祥瑞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的核心逻辑展开，形成了极具政治色彩的书写传统。汉代史料如《汉书》《万岁历》对犀象的记载，均以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外夷献象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犀牛</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为核心，强调</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知跪拜</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等驯化技能，将其视为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远人来服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的祥瑞证明。这种书写逻辑在唐代得到延续并强化。</w:t>
      </w:r>
    </w:p>
    <w:p w14:paraId="07C9C70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1. </w:t>
      </w:r>
      <w:r w:rsidRPr="0072735C">
        <w:rPr>
          <w:rFonts w:ascii="Times New Roman" w:eastAsia="SimSun" w:hAnsi="Times New Roman" w:cs="Times New Roman"/>
          <w:b/>
          <w:bCs/>
          <w:kern w:val="0"/>
          <w:sz w:val="28"/>
          <w:szCs w:val="28"/>
          <w14:ligatures w14:val="none"/>
        </w:rPr>
        <w:t>历史书写</w:t>
      </w:r>
    </w:p>
    <w:p w14:paraId="62E6309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1</w:t>
      </w:r>
      <w:r w:rsidRPr="0072735C">
        <w:rPr>
          <w:rFonts w:ascii="Times New Roman" w:eastAsia="SimSun" w:hAnsi="Times New Roman" w:cs="Times New Roman"/>
          <w:kern w:val="0"/>
          <w:sz w:val="28"/>
          <w:szCs w:val="28"/>
          <w14:ligatures w14:val="none"/>
        </w:rPr>
        <w:t>）朝贡体系中的驯象、驯犀记载</w:t>
      </w:r>
    </w:p>
    <w:p w14:paraId="33E2E14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唐代史书中有关驯象、驯犀的记载与各国朝贡息息相关。象、犀并非中原本土产物，唐代所用之象犀，也来自西域诸国的进贡。《唐会要》卷九十八</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林邑国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载：</w:t>
      </w:r>
    </w:p>
    <w:p w14:paraId="21E9C09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w:t>
      </w:r>
      <w:r w:rsidRPr="0072735C">
        <w:rPr>
          <w:rFonts w:ascii="Times New Roman" w:eastAsia="SimSun" w:hAnsi="Times New Roman" w:cs="Times New Roman"/>
          <w:kern w:val="0"/>
          <w:sz w:val="28"/>
          <w:szCs w:val="28"/>
          <w14:ligatures w14:val="none"/>
        </w:rPr>
        <w:t>[18]</w:t>
      </w:r>
    </w:p>
    <w:p w14:paraId="1F8EC34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真腊国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条载：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永徽二年，遣使献驯象。圣历元年，开元五年，天宝九年，并遣使朝贡，并献犀牛。</w:t>
      </w:r>
      <w:r w:rsidRPr="0072735C">
        <w:rPr>
          <w:rFonts w:ascii="Times New Roman" w:eastAsia="SimSun" w:hAnsi="Times New Roman" w:cs="Times New Roman"/>
          <w:kern w:val="0"/>
          <w:sz w:val="28"/>
          <w:szCs w:val="28"/>
          <w14:ligatures w14:val="none"/>
        </w:rPr>
        <w:t>”[19]</w:t>
      </w:r>
    </w:p>
    <w:p w14:paraId="42E6C49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《新唐书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南蛮传》载：林邑国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贞观时，王头黎献驯象。</w:t>
      </w:r>
      <w:r w:rsidRPr="0072735C">
        <w:rPr>
          <w:rFonts w:ascii="Times New Roman" w:eastAsia="SimSun" w:hAnsi="Times New Roman" w:cs="Times New Roman"/>
          <w:kern w:val="0"/>
          <w:sz w:val="28"/>
          <w:szCs w:val="28"/>
          <w14:ligatures w14:val="none"/>
        </w:rPr>
        <w:t>”[20]</w:t>
      </w:r>
      <w:r w:rsidRPr="0072735C">
        <w:rPr>
          <w:rFonts w:ascii="Times New Roman" w:eastAsia="SimSun" w:hAnsi="Times New Roman" w:cs="Times New Roman"/>
          <w:kern w:val="0"/>
          <w:sz w:val="28"/>
          <w:szCs w:val="28"/>
          <w14:ligatures w14:val="none"/>
        </w:rPr>
        <w:t>又载：真腊</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大历中，副王婆弥及妻来朝，献驯象十一。</w:t>
      </w:r>
      <w:r w:rsidRPr="0072735C">
        <w:rPr>
          <w:rFonts w:ascii="Times New Roman" w:eastAsia="SimSun" w:hAnsi="Times New Roman" w:cs="Times New Roman"/>
          <w:kern w:val="0"/>
          <w:sz w:val="28"/>
          <w:szCs w:val="28"/>
          <w14:ligatures w14:val="none"/>
        </w:rPr>
        <w:t>”[21]</w:t>
      </w:r>
    </w:p>
    <w:p w14:paraId="2A101B5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《旧唐书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高宗本纪》载：永徽四年四月</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林邑国王遣使来朝，贡驯象。</w:t>
      </w:r>
      <w:r w:rsidRPr="0072735C">
        <w:rPr>
          <w:rFonts w:ascii="Times New Roman" w:eastAsia="SimSun" w:hAnsi="Times New Roman" w:cs="Times New Roman"/>
          <w:kern w:val="0"/>
          <w:sz w:val="28"/>
          <w:szCs w:val="28"/>
          <w14:ligatures w14:val="none"/>
        </w:rPr>
        <w:t>”[22]</w:t>
      </w:r>
      <w:r w:rsidRPr="0072735C">
        <w:rPr>
          <w:rFonts w:ascii="Times New Roman" w:eastAsia="SimSun" w:hAnsi="Times New Roman" w:cs="Times New Roman"/>
          <w:kern w:val="0"/>
          <w:sz w:val="28"/>
          <w:szCs w:val="28"/>
          <w14:ligatures w14:val="none"/>
        </w:rPr>
        <w:t>《代宗本纪》载：大历六年</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十一月己亥，文单国王婆弥来朝，献驯象一十一。</w:t>
      </w:r>
      <w:r w:rsidRPr="0072735C">
        <w:rPr>
          <w:rFonts w:ascii="Times New Roman" w:eastAsia="SimSun" w:hAnsi="Times New Roman" w:cs="Times New Roman"/>
          <w:kern w:val="0"/>
          <w:sz w:val="28"/>
          <w:szCs w:val="28"/>
          <w14:ligatures w14:val="none"/>
        </w:rPr>
        <w:t>”[23]</w:t>
      </w:r>
      <w:r w:rsidRPr="0072735C">
        <w:rPr>
          <w:rFonts w:ascii="Times New Roman" w:eastAsia="SimSun" w:hAnsi="Times New Roman" w:cs="Times New Roman"/>
          <w:kern w:val="0"/>
          <w:sz w:val="28"/>
          <w:szCs w:val="28"/>
          <w14:ligatures w14:val="none"/>
        </w:rPr>
        <w:t>《南蛮传》载：林邑国王范梵志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贞观初，遣使贡驯犀。</w:t>
      </w:r>
      <w:r w:rsidRPr="0072735C">
        <w:rPr>
          <w:rFonts w:ascii="Times New Roman" w:eastAsia="SimSun" w:hAnsi="Times New Roman" w:cs="Times New Roman"/>
          <w:kern w:val="0"/>
          <w:sz w:val="28"/>
          <w:szCs w:val="28"/>
          <w14:ligatures w14:val="none"/>
        </w:rPr>
        <w:t>”[24]</w:t>
      </w:r>
      <w:r w:rsidRPr="0072735C">
        <w:rPr>
          <w:rFonts w:ascii="Times New Roman" w:eastAsia="SimSun" w:hAnsi="Times New Roman" w:cs="Times New Roman"/>
          <w:kern w:val="0"/>
          <w:sz w:val="28"/>
          <w:szCs w:val="28"/>
          <w14:ligatures w14:val="none"/>
        </w:rPr>
        <w:t>又载：诃陵国于元和十三年</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遣使进僧祇女二人、鹦鹉、玳瑁及生犀等。</w:t>
      </w:r>
      <w:r w:rsidRPr="0072735C">
        <w:rPr>
          <w:rFonts w:ascii="Times New Roman" w:eastAsia="SimSun" w:hAnsi="Times New Roman" w:cs="Times New Roman"/>
          <w:kern w:val="0"/>
          <w:sz w:val="28"/>
          <w:szCs w:val="28"/>
          <w14:ligatures w14:val="none"/>
        </w:rPr>
        <w:t>”[25]</w:t>
      </w:r>
    </w:p>
    <w:p w14:paraId="46F492B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有关驯象、驯犀的史书记载系统记录了林邑国、真腊国等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累献驯象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献驯犀</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的朝贡史实，通过具体数字与频次的记录，构建起</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万国来朝</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的政治图景。值得注意的是，唐代驯象、驯犀的书写始终暗含</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异域性</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驯化性</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的双重强调。一方面，明确记载其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来自西域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的地理属性，凸显中外交流的广度；另一方面，着重描写</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或拜或舞，动容鼓振，中于音律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的驯化成果，彰显中原王朝对异域物种的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文化驯服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能力。这种书写既服务于政治宣传，也客观记录了大型兽类驯化技术在唐代的专业化发展。</w:t>
      </w:r>
    </w:p>
    <w:p w14:paraId="2FAD81B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2</w:t>
      </w:r>
      <w:r w:rsidRPr="0072735C">
        <w:rPr>
          <w:rFonts w:ascii="Times New Roman" w:eastAsia="SimSun" w:hAnsi="Times New Roman" w:cs="Times New Roman"/>
          <w:kern w:val="0"/>
          <w:sz w:val="28"/>
          <w:szCs w:val="28"/>
          <w14:ligatures w14:val="none"/>
        </w:rPr>
        <w:t>）宫廷宴会中的表演记载</w:t>
      </w:r>
    </w:p>
    <w:p w14:paraId="2E55763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唐代有关驯象、驯犀的历史记载同样出现在宫廷宴会表演中。在唐代宫廷大宴，特别是皇帝圣诞千秋之宴上，不仅有马舞表演，还有犀、象拜舞。据《旧唐书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音乐志一》载：玄宗设宴，乐舞中，马舞、字舞顺次上演，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又五坊使引大象入场，或拜或舞，动容鼓振，中于音律，竟日而退。</w:t>
      </w:r>
      <w:r w:rsidRPr="0072735C">
        <w:rPr>
          <w:rFonts w:ascii="Times New Roman" w:eastAsia="SimSun" w:hAnsi="Times New Roman" w:cs="Times New Roman"/>
          <w:kern w:val="0"/>
          <w:sz w:val="28"/>
          <w:szCs w:val="28"/>
          <w14:ligatures w14:val="none"/>
        </w:rPr>
        <w:t>”[26]</w:t>
      </w:r>
      <w:r w:rsidRPr="0072735C">
        <w:rPr>
          <w:rFonts w:ascii="Times New Roman" w:eastAsia="SimSun" w:hAnsi="Times New Roman" w:cs="Times New Roman"/>
          <w:kern w:val="0"/>
          <w:sz w:val="28"/>
          <w:szCs w:val="28"/>
          <w14:ligatures w14:val="none"/>
        </w:rPr>
        <w:t>《新唐书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礼乐志十二》载，玄宗千秋节，赐宴设酺，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内闲厩使引戏马，五坊使引象、犀，入场拜舞。</w:t>
      </w:r>
      <w:r w:rsidRPr="0072735C">
        <w:rPr>
          <w:rFonts w:ascii="Times New Roman" w:eastAsia="SimSun" w:hAnsi="Times New Roman" w:cs="Times New Roman"/>
          <w:kern w:val="0"/>
          <w:sz w:val="28"/>
          <w:szCs w:val="28"/>
          <w14:ligatures w14:val="none"/>
        </w:rPr>
        <w:t>”[27]“</w:t>
      </w:r>
      <w:r w:rsidRPr="0072735C">
        <w:rPr>
          <w:rFonts w:ascii="Times New Roman" w:eastAsia="SimSun" w:hAnsi="Times New Roman" w:cs="Times New Roman"/>
          <w:kern w:val="0"/>
          <w:sz w:val="28"/>
          <w:szCs w:val="28"/>
          <w14:ligatures w14:val="none"/>
        </w:rPr>
        <w:t>引象、犀入场拜舞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是宫廷宴会的固定重要流程之一，与舞马、雅乐、胡夷之伎共同构成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盛世乐舞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w:t>
      </w:r>
    </w:p>
    <w:p w14:paraId="1FA5BD3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3</w:t>
      </w:r>
      <w:r w:rsidRPr="0072735C">
        <w:rPr>
          <w:rFonts w:ascii="Times New Roman" w:eastAsia="SimSun" w:hAnsi="Times New Roman" w:cs="Times New Roman"/>
          <w:kern w:val="0"/>
          <w:sz w:val="28"/>
          <w:szCs w:val="28"/>
          <w14:ligatures w14:val="none"/>
        </w:rPr>
        <w:t>）德宗放生与驯犀冻死事件</w:t>
      </w:r>
    </w:p>
    <w:p w14:paraId="345852D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据记载，德宗即位后，认为豢养驯象等珍禽奇兽，不仅浪费而且违背事物本性，故将其全部释放。《新唐书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南蛮传》载：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德宗初即位，珍禽奇兽悉纵之，蛮夷所献驯象畜苑中，元会充廷者凡三十二，悉放荆山之阳。</w:t>
      </w:r>
      <w:r w:rsidRPr="0072735C">
        <w:rPr>
          <w:rFonts w:ascii="Times New Roman" w:eastAsia="SimSun" w:hAnsi="Times New Roman" w:cs="Times New Roman"/>
          <w:kern w:val="0"/>
          <w:sz w:val="28"/>
          <w:szCs w:val="28"/>
          <w14:ligatures w14:val="none"/>
        </w:rPr>
        <w:t>”[28]</w:t>
      </w:r>
      <w:r w:rsidRPr="0072735C">
        <w:rPr>
          <w:rFonts w:ascii="Times New Roman" w:eastAsia="SimSun" w:hAnsi="Times New Roman" w:cs="Times New Roman"/>
          <w:kern w:val="0"/>
          <w:sz w:val="28"/>
          <w:szCs w:val="28"/>
          <w14:ligatures w14:val="none"/>
        </w:rPr>
        <w:t>此事《资治通鉴》也有记载，卷二二五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代宗大历十四年</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有云：</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先是，诸国屡献驯象，凡四十有二，上曰：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象费豢养而违物性，将安用之！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命纵于荆山之阳。</w:t>
      </w:r>
      <w:r w:rsidRPr="0072735C">
        <w:rPr>
          <w:rFonts w:ascii="Times New Roman" w:eastAsia="SimSun" w:hAnsi="Times New Roman" w:cs="Times New Roman"/>
          <w:kern w:val="0"/>
          <w:sz w:val="28"/>
          <w:szCs w:val="28"/>
          <w14:ligatures w14:val="none"/>
        </w:rPr>
        <w:t>”[29]</w:t>
      </w:r>
      <w:r w:rsidRPr="0072735C">
        <w:rPr>
          <w:rFonts w:ascii="Times New Roman" w:eastAsia="SimSun" w:hAnsi="Times New Roman" w:cs="Times New Roman"/>
          <w:kern w:val="0"/>
          <w:sz w:val="28"/>
          <w:szCs w:val="28"/>
          <w14:ligatures w14:val="none"/>
        </w:rPr>
        <w:t>两条都记载德宗朝宫中豢养驯象，虽其数目略不相同，但皆记德宗将驯象放生。</w:t>
      </w:r>
    </w:p>
    <w:p w14:paraId="3B6E47D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又据《旧唐书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德宗本纪》载：贞元九年冬十月癸酉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环王国献犀牛，上令见于太庙</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，至十二年</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十二月己未，大雪平地二尺，竹柏多死。环王国所献犀牛，甚珍爱之，是冬亦死。</w:t>
      </w:r>
      <w:r w:rsidRPr="0072735C">
        <w:rPr>
          <w:rFonts w:ascii="Times New Roman" w:eastAsia="SimSun" w:hAnsi="Times New Roman" w:cs="Times New Roman"/>
          <w:kern w:val="0"/>
          <w:sz w:val="28"/>
          <w:szCs w:val="28"/>
          <w14:ligatures w14:val="none"/>
        </w:rPr>
        <w:t>”[30]</w:t>
      </w:r>
      <w:r w:rsidRPr="0072735C">
        <w:rPr>
          <w:rFonts w:ascii="Times New Roman" w:eastAsia="SimSun" w:hAnsi="Times New Roman" w:cs="Times New Roman"/>
          <w:kern w:val="0"/>
          <w:sz w:val="28"/>
          <w:szCs w:val="28"/>
          <w14:ligatures w14:val="none"/>
        </w:rPr>
        <w:t>发生驯象放生、犀牛冻死的事情以后，犀象表演减少。</w:t>
      </w:r>
    </w:p>
    <w:p w14:paraId="10C5C44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2. </w:t>
      </w:r>
      <w:r w:rsidRPr="0072735C">
        <w:rPr>
          <w:rFonts w:ascii="Times New Roman" w:eastAsia="SimSun" w:hAnsi="Times New Roman" w:cs="Times New Roman"/>
          <w:b/>
          <w:bCs/>
          <w:kern w:val="0"/>
          <w:sz w:val="28"/>
          <w:szCs w:val="28"/>
          <w14:ligatures w14:val="none"/>
        </w:rPr>
        <w:t>文学书写</w:t>
      </w:r>
    </w:p>
    <w:p w14:paraId="0E07260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关于犀象拜舞，陆龟蒙的《开元杂题七首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杂伎》中有：</w:t>
      </w:r>
    </w:p>
    <w:p w14:paraId="434B367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拜象驯犀角抵豪，星丸霜剑出花高。六宫争近乘舆望，珠翠三千拥赭袍。</w:t>
      </w:r>
    </w:p>
    <w:p w14:paraId="377504C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诗写唐玄宗开元年间的宫廷杂伎活动，拜象驯犀即是其中一项，以训练有素的象、犀入场朝拜。</w:t>
      </w:r>
    </w:p>
    <w:p w14:paraId="1F449A0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常衮有《奉和圣制麟德殿燕百僚应制》：</w:t>
      </w:r>
    </w:p>
    <w:p w14:paraId="25D5318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云辟御筵张，山呼圣寿长。玉阑丰瑞草，金陛立神羊。</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台鼎资庖膳，天星奉酒浆。蛮夷陪作位，犀象舞成行。</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网已祛三面，歌因守四方。千秋不可极，花发满宫香。</w:t>
      </w:r>
    </w:p>
    <w:p w14:paraId="7ED9794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吕渭有《忆长安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八月》：</w:t>
      </w:r>
    </w:p>
    <w:p w14:paraId="780EA14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忆长安，八月时，阙下天高旧仪。衣冠共颁金镜，犀象对舞丹墀。</w:t>
      </w:r>
      <w:r w:rsidRPr="0072735C">
        <w:rPr>
          <w:rFonts w:ascii="Times New Roman" w:eastAsia="SimSun" w:hAnsi="Times New Roman" w:cs="Times New Roman"/>
          <w:kern w:val="0"/>
          <w:sz w:val="28"/>
          <w:szCs w:val="28"/>
          <w14:ligatures w14:val="none"/>
        </w:rPr>
        <w:t xml:space="preserve"> </w:t>
      </w:r>
      <w:r w:rsidRPr="0072735C">
        <w:rPr>
          <w:rFonts w:ascii="Times New Roman" w:eastAsia="SimSun" w:hAnsi="Times New Roman" w:cs="Times New Roman"/>
          <w:kern w:val="0"/>
          <w:sz w:val="28"/>
          <w:szCs w:val="28"/>
          <w14:ligatures w14:val="none"/>
        </w:rPr>
        <w:t>更爱终南灞上，可怜秋草碧滋。</w:t>
      </w:r>
    </w:p>
    <w:p w14:paraId="644F51F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皆写皇廷内殿宫宴上有犀象之舞。</w:t>
      </w:r>
    </w:p>
    <w:p w14:paraId="5207DA0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卢纶的《腊日观咸宁王部曲娑勒擒豹歌》中有：</w:t>
      </w:r>
    </w:p>
    <w:p w14:paraId="124416F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祝尔嘉词尔无苦，献尔将随犀象舞。苑中流水禁中山，期尔攫搏开天颜。非熊之兆庆无极，愿纪雄名传百蛮。</w:t>
      </w:r>
    </w:p>
    <w:p w14:paraId="59319BB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诗咏少数民族质子娑勒空手擒豹事。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献尔将随犀象舞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，言指将所擒之豹进献天子，与犀象一样驯化表演，讨喜于驾前。诗歌虽然赞擒豹之英姿，但言语中亦带有对外族的轻视。</w:t>
      </w:r>
    </w:p>
    <w:p w14:paraId="5F302FE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犀象拜舞在唐人的诗歌中并没有专门的记录，多在描写华丽隆重的宫廷宴会诗中有所提及。</w:t>
      </w:r>
    </w:p>
    <w:p w14:paraId="56AA51A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元稹与白居易的讽喻之作</w:t>
      </w:r>
    </w:p>
    <w:p w14:paraId="5F0BA8B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元稹和白居易针对驯象放生、犀牛冻死二事都有讽喻之作。元稹《和李校书新题乐府十二首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驯犀》诗云：</w:t>
      </w:r>
    </w:p>
    <w:p w14:paraId="5D538882"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建中之初放驯象，远归林邑近交广。兽返深山鸟构巢，鹰雕鹞鹘无羁鞅。 贞元之岁贡驯犀，上林置圈官司养。玉盆金栈非不珍，虎啖狴牢鱼食网。 渡江之橘逾汶貉，反时易性安能长。腊月北风霜雪深，踡跼鳞身遂长往。 行地无疆费传驿，通天异物罹幽枉。乃知养兽如养人，不必人人自敦奖。 不扰则得之于理，不夺有以多于赏。脱衣推食衣食之，不若男耕女令纺。 尧民不自知有尧，但见安闲聊击壤。前观驯象后驯犀，理国其如指诸掌。</w:t>
      </w:r>
    </w:p>
    <w:p w14:paraId="68A8C6E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诗写建中初年，驯象放归山林，而犀牛本是生长于南方的野兽，如今易地而处，置于北方，又豢养于苑囿之中，反时易性，其命不长。言养兽如养人，以衣食供养不若不扰不夺，顺其自然。纵观驯象与驯犀之事，治国之理不外乎如此。</w:t>
      </w:r>
    </w:p>
    <w:p w14:paraId="2DE295E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白居易《驯犀》诗云：</w:t>
      </w:r>
    </w:p>
    <w:p w14:paraId="689DBBE5"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驯犀驯犀通天犀，躯貌骇人角骇鸡。海蛮闻有明天子，驱犀乘传来万里。 一朝得谒大明宫，欢呼拜舞自论功。五年驯养始堪献，六译语言方得通。 上嘉人兽俱来远，蛮馆四方犀入苑。秣以瑶刍锁以金，故乡迢递君门深。 海鸟不知钟鼓乐，池鱼空结江湖心。驯犀生处南方热，秋无白露冬无雪。 跼蹐一入上林三四年，又逢今岁苦寒月。饮冰卧霰苦蜷踡，角骨冻伤鳞甲裂。 驯犀死，蛮儿啼，向阙再拜颜色低。奏乞生归本国去，恐身冻死似驯犀。 君不见建中初，驯象生还放林邑。君不见贞元末，驯犀冻死蛮儿泣。 所嗟建中异贞元，象生犀死何足言。</w:t>
      </w:r>
    </w:p>
    <w:p w14:paraId="063E3F8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诗人言</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感为政之难终也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而作，题解曰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贞元丙子岁，南海进驯犀，诏纳苑中，至十三年冬大寒，驯犀死矣</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其记录事情发生时间与史书记载颇有出入。诗中描述了驯犀自万里南海进贡，拜舞表演，天子喜悦，养于苑中，因水土气候差异，遇极寒天气，驯犀冻死。以驯象生还、驯犀冻死为对比，感叹当权者为政以善始，但难善终。</w:t>
      </w:r>
    </w:p>
    <w:p w14:paraId="1D16B5EB" w14:textId="77777777" w:rsidR="0072735C" w:rsidRPr="0072735C" w:rsidRDefault="0072735C" w:rsidP="0072735C">
      <w:pPr>
        <w:spacing w:before="360" w:after="240" w:line="240" w:lineRule="auto"/>
        <w:outlineLvl w:val="3"/>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（三）斗鸡书写（附论：驯兽边缘的游艺形态）</w:t>
      </w:r>
    </w:p>
    <w:p w14:paraId="0B4DB67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斗鸡以竞技博彩为核心，缺乏</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表演给观众看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的百戏属性，但其驯化禽鸟的技术与驯兽相关，故附论于此。</w:t>
      </w:r>
    </w:p>
    <w:p w14:paraId="3F5EA32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1. </w:t>
      </w:r>
      <w:r w:rsidRPr="0072735C">
        <w:rPr>
          <w:rFonts w:ascii="Times New Roman" w:eastAsia="SimSun" w:hAnsi="Times New Roman" w:cs="Times New Roman"/>
          <w:b/>
          <w:bCs/>
          <w:kern w:val="0"/>
          <w:sz w:val="28"/>
          <w:szCs w:val="28"/>
          <w14:ligatures w14:val="none"/>
        </w:rPr>
        <w:t>历史记载</w:t>
      </w:r>
    </w:p>
    <w:p w14:paraId="2CA56BB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斗鸡活动在中国有着悠久的历史。《史记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苏秦列传》中记载战国时期齐国临淄的风俗：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临淄甚富而实，其民无不吹竽鼓瑟、击筑弹琴、斗鸡走犬、六博蹴鞠者。</w:t>
      </w:r>
      <w:r w:rsidRPr="0072735C">
        <w:rPr>
          <w:rFonts w:ascii="Times New Roman" w:eastAsia="SimSun" w:hAnsi="Times New Roman" w:cs="Times New Roman"/>
          <w:kern w:val="0"/>
          <w:sz w:val="28"/>
          <w:szCs w:val="28"/>
          <w14:ligatures w14:val="none"/>
        </w:rPr>
        <w:t>”[31]</w:t>
      </w:r>
      <w:r w:rsidRPr="0072735C">
        <w:rPr>
          <w:rFonts w:ascii="Times New Roman" w:eastAsia="SimSun" w:hAnsi="Times New Roman" w:cs="Times New Roman"/>
          <w:kern w:val="0"/>
          <w:sz w:val="28"/>
          <w:szCs w:val="28"/>
          <w14:ligatures w14:val="none"/>
        </w:rPr>
        <w:t>由此可见，斗鸡、六博、蹴鞠等游艺活动在战国时期的齐国临淄已经很是兴盛。</w:t>
      </w:r>
    </w:p>
    <w:p w14:paraId="61229BA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历史笔记小说《西京杂记》中记载了不少游艺活动，如卷二记载了汉高祖之父被接到宫中后郁郁寡欢，是因为想念曾经在民间时斗鸡走马的生活：</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太上皇徙长安，居深宫，怆不乐。高祖窃因左右问其故，以平生所好皆屠贩少年、沽酒卖饼、斗鸡蹴鞠，以此为欢，今皆无此，故以不乐。高祖乃作新丰，移诸故人实之，太上皇乃悦。</w:t>
      </w:r>
      <w:r w:rsidRPr="0072735C">
        <w:rPr>
          <w:rFonts w:ascii="Times New Roman" w:eastAsia="SimSun" w:hAnsi="Times New Roman" w:cs="Times New Roman"/>
          <w:kern w:val="0"/>
          <w:sz w:val="28"/>
          <w:szCs w:val="28"/>
          <w14:ligatures w14:val="none"/>
        </w:rPr>
        <w:t>”[32]</w:t>
      </w:r>
      <w:r w:rsidRPr="0072735C">
        <w:rPr>
          <w:rFonts w:ascii="Times New Roman" w:eastAsia="SimSun" w:hAnsi="Times New Roman" w:cs="Times New Roman"/>
          <w:kern w:val="0"/>
          <w:sz w:val="28"/>
          <w:szCs w:val="28"/>
          <w14:ligatures w14:val="none"/>
        </w:rPr>
        <w:t>小说中还记载了刘向发明弹</w:t>
      </w:r>
      <w:r w:rsidRPr="0072735C">
        <w:rPr>
          <w:rFonts w:ascii="Times New Roman" w:eastAsia="SimSun" w:hAnsi="Times New Roman" w:cs="Times New Roman"/>
          <w:kern w:val="0"/>
          <w:sz w:val="28"/>
          <w:szCs w:val="28"/>
          <w14:ligatures w14:val="none"/>
        </w:rPr>
        <w:lastRenderedPageBreak/>
        <w:t>棋，鲁恭王好禽斗戏，韩嫣用金弹丸射猎，文固阳善于以媒雉引野雉，汉成帝时期民间给朝廷进献斗鸡以及许博昌善六博等故事。</w:t>
      </w:r>
    </w:p>
    <w:p w14:paraId="07B9604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陈鸿《东城老父传》则表现了唐代斗鸡活动的盛行：</w:t>
      </w:r>
    </w:p>
    <w:p w14:paraId="6DAE859C"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玄宗在藩邸时，乐民间清明节斗鸡戏，及即位，治鸡坊于两宫间，贾昌为鸡坊总负责人。元会与清明节，（玄宗）率皆在骊山。每至是日，万乐俱举，六宫毕从。昌冠雕翠金华冠，锦袖绣襦裕，执铎拂道。群鸡叙立于广场，顾眄如神，指挥风生，树毛振翼，砺吻磨距，柳怒待胜，进退有期，随鞭指低昂不失。昌度胜负既决，强者前，弱者后，随昌雁行，归于鸡坊。上之好之，民风尤盛，诸王世家，外戚家，贵王家，侯家，倾帮破产市鸡以偿鸡直。都中男女，以弄鸡为事，贫者弄假鸡。[33]</w:t>
      </w:r>
    </w:p>
    <w:p w14:paraId="5B48B65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2. </w:t>
      </w:r>
      <w:r w:rsidRPr="0072735C">
        <w:rPr>
          <w:rFonts w:ascii="Times New Roman" w:eastAsia="SimSun" w:hAnsi="Times New Roman" w:cs="Times New Roman"/>
          <w:b/>
          <w:bCs/>
          <w:kern w:val="0"/>
          <w:sz w:val="28"/>
          <w:szCs w:val="28"/>
          <w14:ligatures w14:val="none"/>
        </w:rPr>
        <w:t>文学书写</w:t>
      </w:r>
    </w:p>
    <w:p w14:paraId="0F89285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《庄子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达生》篇载：</w:t>
      </w:r>
    </w:p>
    <w:p w14:paraId="1BDE4710"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纪省子为王养斗鸡，十日而问：“鸡已乎？”曰：“未也。”……十日又问，曰：“几矣，鸡虽有鸣者，已无变矣，望之似木鸡矣，其德全矣，异鸡无敢应者，反走矣。”</w:t>
      </w:r>
    </w:p>
    <w:p w14:paraId="3958EB0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此则寓言以养斗鸡为喻，阐述道家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无为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之理，虽非直接记录斗鸡表演，却从侧面反映了斗鸡驯养技术在先秦时期的发达程度。</w:t>
      </w:r>
    </w:p>
    <w:p w14:paraId="233D70E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斗鸡活动也是魏晋贵族所喜爱的游艺活动，应玚的《斗鸡诗》记载了曹氏兄弟主办的斗鸡活动。刘桢的《斗鸡诗》生动地刻画了斗鸡的过程。曹植在诗歌的题材内容上有多方面的开拓，艺术上极富创造性，他的《斗鸡诗》通过比喻、夸张、象征等手法写出了雄鸡的气势。</w:t>
      </w:r>
    </w:p>
    <w:p w14:paraId="0721A72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唐代民间谣谚创作虽然难称丰富多彩，但无疑值得一观。尤其是在反映唐代社会历史与政治文化方面，唐代谣谚为我们提供了特殊的视角。如唐玄宗时民谣《神鸡童谣》：</w:t>
      </w:r>
    </w:p>
    <w:p w14:paraId="3115B34C"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生儿不用识文字，斗鸡走马胜读书。贾家小儿年十三，富贵荣华代不如。能令金距期胜负，白罗绣衫随软舆。父死长安千里外，差夫持道挽丧车。[34]</w:t>
      </w:r>
    </w:p>
    <w:p w14:paraId="288C2C5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玄宗开创了富庶繁荣的开元盛世，备受唐代文士之称颂，杜甫的《忆昔》二首更是人们耳熟能详。而《神鸡童谣》以开元年间行封禅大典却以鸡童贾昌相随之事，辛辣地讽刺了玄宗的荒淫堕落，让我们目睹了盛世明主的另一面。</w:t>
      </w:r>
    </w:p>
    <w:p w14:paraId="248D2B1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lastRenderedPageBreak/>
        <w:t xml:space="preserve">3. </w:t>
      </w:r>
      <w:r w:rsidRPr="0072735C">
        <w:rPr>
          <w:rFonts w:ascii="Times New Roman" w:eastAsia="SimSun" w:hAnsi="Times New Roman" w:cs="Times New Roman"/>
          <w:b/>
          <w:bCs/>
          <w:kern w:val="0"/>
          <w:sz w:val="28"/>
          <w:szCs w:val="28"/>
          <w14:ligatures w14:val="none"/>
        </w:rPr>
        <w:t>其他驯养禽鸟的记载</w:t>
      </w:r>
    </w:p>
    <w:p w14:paraId="56BB015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在汉代，我国民间已经注意到驯化飞禽的娱乐功能。《西京杂记》载：</w:t>
      </w:r>
    </w:p>
    <w:p w14:paraId="5F30888E"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茂陵文固阳，本琅琊人。善驯野雉为媒。用以射雉。每以三春之月，为茅障以自翳。用能失以射之，日连百数。茂陵轻薄者化之皆以杂宝错翳障，以青州芦苇为弩矢。轻骑妖服追随于道路，以为欢娱也。[35]</w:t>
      </w:r>
    </w:p>
    <w:p w14:paraId="63F390C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而六朝时期则有多篇小说记载了对鹦鹉的驯养。晋司空桓豁在荆州时，有参军于五月五日剪鸜鹆舌教语，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无所不名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，后于大会</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悉效人语声，无不相类</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。张华有鹦鹉，每出还，辄说僮仆善恶。一日，寂无言；华问其故，曰：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被禁在瓮中，无因得知外事。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忽云：</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昨梦不佳，所忌出外。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华强呼至庭，果为飞鹰所击，仅获免。</w:t>
      </w:r>
      <w:r w:rsidRPr="0072735C">
        <w:rPr>
          <w:rFonts w:ascii="Times New Roman" w:eastAsia="SimSun" w:hAnsi="Times New Roman" w:cs="Times New Roman"/>
          <w:kern w:val="0"/>
          <w:sz w:val="28"/>
          <w:szCs w:val="28"/>
          <w14:ligatures w14:val="none"/>
        </w:rPr>
        <w:t>[36]</w:t>
      </w:r>
    </w:p>
    <w:p w14:paraId="12059F9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这种风气沿至唐代仍旧不衰，《隋唐演义》第</w:t>
      </w:r>
      <w:r w:rsidRPr="0072735C">
        <w:rPr>
          <w:rFonts w:ascii="Times New Roman" w:eastAsia="SimSun" w:hAnsi="Times New Roman" w:cs="Times New Roman"/>
          <w:kern w:val="0"/>
          <w:sz w:val="28"/>
          <w:szCs w:val="28"/>
          <w14:ligatures w14:val="none"/>
        </w:rPr>
        <w:t>87</w:t>
      </w:r>
      <w:r w:rsidRPr="0072735C">
        <w:rPr>
          <w:rFonts w:ascii="Times New Roman" w:eastAsia="SimSun" w:hAnsi="Times New Roman" w:cs="Times New Roman"/>
          <w:kern w:val="0"/>
          <w:sz w:val="28"/>
          <w:szCs w:val="28"/>
          <w14:ligatures w14:val="none"/>
        </w:rPr>
        <w:t>回中就曾有一段关于白鹦鹉的故事。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这鹦鹉还是安禄山初次入宫，谒见杨妃之时所献，畜养宫中已久，极其驯良，不加羁绊，听其飞止，他总不离杨妃左右，最能言语，善解人意，聪慧异常，杨妃爱之如宝，呼为雪衣女</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。这只鹦鹉不仅能够诵读诗篇，还能在唐玄宗下棋将败之时搅乱棋局，保住皇上颜面，深得帝妃欢心。</w:t>
      </w:r>
    </w:p>
    <w:p w14:paraId="7CC875B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此外，唐朝社会还出现了其它驯化动物的表演。《朝野佥载》说：唐魏伶为西市丞，养一赤嘴鸟，每于人中乞钱。人取一文，而衔以送伶处，日收数百钱。时人号为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魏丞鸟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[37]</w:t>
      </w:r>
      <w:r w:rsidRPr="0072735C">
        <w:rPr>
          <w:rFonts w:ascii="Times New Roman" w:eastAsia="SimSun" w:hAnsi="Times New Roman" w:cs="Times New Roman"/>
          <w:kern w:val="0"/>
          <w:sz w:val="28"/>
          <w:szCs w:val="28"/>
          <w14:ligatures w14:val="none"/>
        </w:rPr>
        <w:t>不仅如此，这时期还出现了其它小动物的驯养表演，如《杜阳杂编》中，唐穆宗长庆年间的飞龙卫士韩志和，就曾驯养过蝇虎子。蝇虎是一种蜘蛛，它不结网，常在墙壁角落处，捕食苍蝇、蚊子之类的小飞虫。经过韩志和的训练，这些蝇虎能谙音律，还可以分成队列，遵循《凉州曲》的曲调作舞蹈，并为帝做过表演。</w:t>
      </w:r>
      <w:r w:rsidRPr="0072735C">
        <w:rPr>
          <w:rFonts w:ascii="Times New Roman" w:eastAsia="SimSun" w:hAnsi="Times New Roman" w:cs="Times New Roman"/>
          <w:kern w:val="0"/>
          <w:sz w:val="28"/>
          <w:szCs w:val="28"/>
          <w14:ligatures w14:val="none"/>
        </w:rPr>
        <w:t>[38]</w:t>
      </w:r>
    </w:p>
    <w:p w14:paraId="3159C69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维扬有毕生，常弄蛇千条，日戏于圜场，遂大有资产，而建大第。及卒，其子鬻其第，无奈其蛇。</w:t>
      </w:r>
      <w:r w:rsidRPr="0072735C">
        <w:rPr>
          <w:rFonts w:ascii="Times New Roman" w:eastAsia="SimSun" w:hAnsi="Times New Roman" w:cs="Times New Roman"/>
          <w:kern w:val="0"/>
          <w:sz w:val="28"/>
          <w:szCs w:val="28"/>
          <w14:ligatures w14:val="none"/>
        </w:rPr>
        <w:t>[39]</w:t>
      </w:r>
      <w:r w:rsidRPr="0072735C">
        <w:rPr>
          <w:rFonts w:ascii="Times New Roman" w:eastAsia="SimSun" w:hAnsi="Times New Roman" w:cs="Times New Roman"/>
          <w:kern w:val="0"/>
          <w:sz w:val="28"/>
          <w:szCs w:val="28"/>
          <w14:ligatures w14:val="none"/>
        </w:rPr>
        <w:t>维扬毕生凭借自己驯养的几千条蛇表演，不仅发了财，还建起豪宅。以他死后其不孝之子要卖掉乃父的宅第时，竟无法处理那些蛇，可见毕生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弄蛇</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的规模是相当可观的。</w:t>
      </w:r>
    </w:p>
    <w:p w14:paraId="5C24CDD9" w14:textId="77777777" w:rsidR="0072735C" w:rsidRPr="0072735C" w:rsidRDefault="0072735C" w:rsidP="0072735C">
      <w:pPr>
        <w:spacing w:before="360" w:after="240" w:line="240" w:lineRule="auto"/>
        <w:outlineLvl w:val="1"/>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第三节</w:t>
      </w:r>
      <w:r w:rsidRPr="0072735C">
        <w:rPr>
          <w:rFonts w:ascii="Times New Roman" w:eastAsia="SimSun" w:hAnsi="Times New Roman" w:cs="Times New Roman"/>
          <w:b/>
          <w:bCs/>
          <w:kern w:val="0"/>
          <w:sz w:val="28"/>
          <w:szCs w:val="28"/>
          <w14:ligatures w14:val="none"/>
        </w:rPr>
        <w:t xml:space="preserve"> </w:t>
      </w:r>
      <w:r w:rsidRPr="0072735C">
        <w:rPr>
          <w:rFonts w:ascii="Times New Roman" w:eastAsia="SimSun" w:hAnsi="Times New Roman" w:cs="Times New Roman"/>
          <w:b/>
          <w:bCs/>
          <w:kern w:val="0"/>
          <w:sz w:val="28"/>
          <w:szCs w:val="28"/>
          <w14:ligatures w14:val="none"/>
        </w:rPr>
        <w:t>拟兽类百戏的书写</w:t>
      </w:r>
    </w:p>
    <w:p w14:paraId="0AF9D7C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随着社会发展，拟兽表演逐渐融入百戏体系，在汉代角抵戏中得到进一步发展。学者廖奔在《论中华戏剧的三种历史形态》中指出：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原始人有目的的模仿狩猎行为，是原始戏剧的雏形，汉代的角抵戏百戏仍沿袭了拟兽</w:t>
      </w:r>
      <w:r w:rsidRPr="0072735C">
        <w:rPr>
          <w:rFonts w:ascii="Times New Roman" w:eastAsia="SimSun" w:hAnsi="Times New Roman" w:cs="Times New Roman"/>
          <w:kern w:val="0"/>
          <w:sz w:val="28"/>
          <w:szCs w:val="28"/>
          <w14:ligatures w14:val="none"/>
        </w:rPr>
        <w:lastRenderedPageBreak/>
        <w:t>装扮和竞技的路径。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这一时期的拟兽表演不仅保留了原始的模仿特质，还融入了竞技元素与故事性，表演形态更为丰富。</w:t>
      </w:r>
    </w:p>
    <w:p w14:paraId="2DD6930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到了隋唐时期，拟兽表演进入繁荣阶段，形成了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种类丰富、技艺成熟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发展格局。这一时期的拟兽表演涵盖了龙、狮子、老虎、象、马、鹿、孔雀、龟、鱼等多种动物，既有对现实动物的模仿，也有对神话瑞兽的演绎。表演场景也从祭祀仪式扩展到宫廷宴乐、民间节庆等多个领域，成为兼具娱乐性与文化象征意义的重要表演形式。</w:t>
      </w:r>
    </w:p>
    <w:p w14:paraId="1BD348D0"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一、狮子舞书写</w:t>
      </w:r>
    </w:p>
    <w:p w14:paraId="139D222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狮子舞作为我国传统艺术形式之一，其历史可追溯至汉代，历经魏晋南北朝、隋唐、宋元明清各代，不仅在宫廷礼乐、宗教仪式和民间节庆中扮演重要角色，更在文学书写中留下了丰富的痕迹。从史书记载到诗歌咏叹，从佛教文献到民俗笔记，狮子舞的文学呈现不仅记录了其艺术形态的演变，更折射出文化交流、宗教传播和社会功能的多元面向。</w:t>
      </w:r>
    </w:p>
    <w:p w14:paraId="0E346D7E" w14:textId="77777777" w:rsidR="0072735C" w:rsidRPr="0072735C" w:rsidRDefault="0072735C" w:rsidP="0072735C">
      <w:pPr>
        <w:spacing w:before="360" w:after="240" w:line="240" w:lineRule="auto"/>
        <w:outlineLvl w:val="3"/>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（一）历史书写</w:t>
      </w:r>
    </w:p>
    <w:p w14:paraId="0C59322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1. </w:t>
      </w:r>
      <w:r w:rsidRPr="0072735C">
        <w:rPr>
          <w:rFonts w:ascii="Times New Roman" w:eastAsia="SimSun" w:hAnsi="Times New Roman" w:cs="Times New Roman"/>
          <w:b/>
          <w:bCs/>
          <w:kern w:val="0"/>
          <w:sz w:val="28"/>
          <w:szCs w:val="28"/>
          <w14:ligatures w14:val="none"/>
        </w:rPr>
        <w:t>汉代至魏晋：狮子舞的初现与</w:t>
      </w:r>
      <w:r w:rsidRPr="0072735C">
        <w:rPr>
          <w:rFonts w:ascii="Times New Roman" w:eastAsia="SimSun" w:hAnsi="Times New Roman" w:cs="Times New Roman"/>
          <w:b/>
          <w:bCs/>
          <w:kern w:val="0"/>
          <w:sz w:val="28"/>
          <w:szCs w:val="28"/>
          <w14:ligatures w14:val="none"/>
        </w:rPr>
        <w:t>“</w:t>
      </w:r>
      <w:r w:rsidRPr="0072735C">
        <w:rPr>
          <w:rFonts w:ascii="Times New Roman" w:eastAsia="SimSun" w:hAnsi="Times New Roman" w:cs="Times New Roman"/>
          <w:b/>
          <w:bCs/>
          <w:kern w:val="0"/>
          <w:sz w:val="28"/>
          <w:szCs w:val="28"/>
          <w14:ligatures w14:val="none"/>
        </w:rPr>
        <w:t>象人</w:t>
      </w:r>
      <w:r w:rsidRPr="0072735C">
        <w:rPr>
          <w:rFonts w:ascii="Times New Roman" w:eastAsia="SimSun" w:hAnsi="Times New Roman" w:cs="Times New Roman"/>
          <w:b/>
          <w:bCs/>
          <w:kern w:val="0"/>
          <w:sz w:val="28"/>
          <w:szCs w:val="28"/>
          <w14:ligatures w14:val="none"/>
        </w:rPr>
        <w:t>”</w:t>
      </w:r>
      <w:r w:rsidRPr="0072735C">
        <w:rPr>
          <w:rFonts w:ascii="Times New Roman" w:eastAsia="SimSun" w:hAnsi="Times New Roman" w:cs="Times New Roman"/>
          <w:b/>
          <w:bCs/>
          <w:kern w:val="0"/>
          <w:sz w:val="28"/>
          <w:szCs w:val="28"/>
          <w14:ligatures w14:val="none"/>
        </w:rPr>
        <w:t>之制</w:t>
      </w:r>
    </w:p>
    <w:p w14:paraId="54E5983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狮子舞的历史源头，与狮子作为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殊方异物</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传入中原的史实紧密相关。西汉时期，汉武帝开通西域后，狮子开始进入中原人的视野。《汉书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西域传》载：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自是以后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巨象、师子、猛犬、大雀之群食于外囿。殊方异物，四面而至。</w:t>
      </w:r>
      <w:r w:rsidRPr="0072735C">
        <w:rPr>
          <w:rFonts w:ascii="Times New Roman" w:eastAsia="SimSun" w:hAnsi="Times New Roman" w:cs="Times New Roman"/>
          <w:kern w:val="0"/>
          <w:sz w:val="28"/>
          <w:szCs w:val="28"/>
          <w14:ligatures w14:val="none"/>
        </w:rPr>
        <w:t>”[40]</w:t>
      </w:r>
      <w:r w:rsidRPr="0072735C">
        <w:rPr>
          <w:rFonts w:ascii="Times New Roman" w:eastAsia="SimSun" w:hAnsi="Times New Roman" w:cs="Times New Roman"/>
          <w:kern w:val="0"/>
          <w:sz w:val="28"/>
          <w:szCs w:val="28"/>
          <w14:ligatures w14:val="none"/>
        </w:rPr>
        <w:t>这段记载虽未直接提及狮子舞，却为其出现奠定了物质基础</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只有狮子作为实体动物进入中原，模仿其形态的拟兽表演才有可能产生。</w:t>
      </w:r>
    </w:p>
    <w:p w14:paraId="070C9F7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东汉时期，西域诸国向汉王朝进贡狮子的记载更为频繁，《后汉书》中多次提及相关史实：章帝章和元年（</w:t>
      </w:r>
      <w:r w:rsidRPr="0072735C">
        <w:rPr>
          <w:rFonts w:ascii="Times New Roman" w:eastAsia="SimSun" w:hAnsi="Times New Roman" w:cs="Times New Roman"/>
          <w:kern w:val="0"/>
          <w:sz w:val="28"/>
          <w:szCs w:val="28"/>
          <w14:ligatures w14:val="none"/>
        </w:rPr>
        <w:t>87</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是岁，西域长史班超击莎车大破之。月氏国遣使献扶拔、师子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；章和二年</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安息国遣使献师子、扶拔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；和帝永元十三年（</w:t>
      </w:r>
      <w:r w:rsidRPr="0072735C">
        <w:rPr>
          <w:rFonts w:ascii="Times New Roman" w:eastAsia="SimSun" w:hAnsi="Times New Roman" w:cs="Times New Roman"/>
          <w:kern w:val="0"/>
          <w:sz w:val="28"/>
          <w:szCs w:val="28"/>
          <w14:ligatures w14:val="none"/>
        </w:rPr>
        <w:t>101</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安息王满屈复献师子及条支大乌，时谓之安息雀</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[41]</w:t>
      </w:r>
      <w:r w:rsidRPr="0072735C">
        <w:rPr>
          <w:rFonts w:ascii="Times New Roman" w:eastAsia="SimSun" w:hAnsi="Times New Roman" w:cs="Times New Roman"/>
          <w:kern w:val="0"/>
          <w:sz w:val="28"/>
          <w:szCs w:val="28"/>
          <w14:ligatures w14:val="none"/>
        </w:rPr>
        <w:t>这些朝贡记录，进一步强化了中原人对狮子的认知，为狮子舞的诞生提供了认知前提。</w:t>
      </w:r>
    </w:p>
    <w:p w14:paraId="0A4D6D6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三国时期，狮子舞的雏形首次在文献中留下痕迹。《汉书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礼乐志》载汉代宫廷乐舞配置：</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陈前殿房中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常从倡三十人，常从象人四人，谓随常从倡十六人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朝贺置酒为乐。</w:t>
      </w:r>
      <w:r w:rsidRPr="0072735C">
        <w:rPr>
          <w:rFonts w:ascii="Times New Roman" w:eastAsia="SimSun" w:hAnsi="Times New Roman" w:cs="Times New Roman"/>
          <w:kern w:val="0"/>
          <w:sz w:val="28"/>
          <w:szCs w:val="28"/>
          <w14:ligatures w14:val="none"/>
        </w:rPr>
        <w:t>”[42]</w:t>
      </w:r>
      <w:r w:rsidRPr="0072735C">
        <w:rPr>
          <w:rFonts w:ascii="Times New Roman" w:eastAsia="SimSun" w:hAnsi="Times New Roman" w:cs="Times New Roman"/>
          <w:kern w:val="0"/>
          <w:sz w:val="28"/>
          <w:szCs w:val="28"/>
          <w14:ligatures w14:val="none"/>
        </w:rPr>
        <w:t>三国魏人孟康为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象人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作注时明确指出：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象人，若今戏虾鱼狮子者也。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这一注疏是狮子舞历史书写的关键节点</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它以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今戏</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（三国时期的表演）为参照，反向证明汉魏时期已有</w:t>
      </w:r>
      <w:r w:rsidRPr="0072735C">
        <w:rPr>
          <w:rFonts w:ascii="Times New Roman" w:eastAsia="SimSun" w:hAnsi="Times New Roman" w:cs="Times New Roman"/>
          <w:kern w:val="0"/>
          <w:sz w:val="28"/>
          <w:szCs w:val="28"/>
          <w14:ligatures w14:val="none"/>
        </w:rPr>
        <w:lastRenderedPageBreak/>
        <w:t>“</w:t>
      </w:r>
      <w:r w:rsidRPr="0072735C">
        <w:rPr>
          <w:rFonts w:ascii="Times New Roman" w:eastAsia="SimSun" w:hAnsi="Times New Roman" w:cs="Times New Roman"/>
          <w:kern w:val="0"/>
          <w:sz w:val="28"/>
          <w:szCs w:val="28"/>
          <w14:ligatures w14:val="none"/>
        </w:rPr>
        <w:t>戏狮子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的表演，且将其归为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象人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所从事的拟兽表演范畴，首次在历史文献中确立了狮子舞的早期形态。</w:t>
      </w:r>
    </w:p>
    <w:p w14:paraId="576A902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2. </w:t>
      </w:r>
      <w:r w:rsidRPr="0072735C">
        <w:rPr>
          <w:rFonts w:ascii="Times New Roman" w:eastAsia="SimSun" w:hAnsi="Times New Roman" w:cs="Times New Roman"/>
          <w:b/>
          <w:bCs/>
          <w:kern w:val="0"/>
          <w:sz w:val="28"/>
          <w:szCs w:val="28"/>
          <w14:ligatures w14:val="none"/>
        </w:rPr>
        <w:t>南北朝：佛教行像与狮子舞的宗教功能</w:t>
      </w:r>
    </w:p>
    <w:p w14:paraId="2E285D6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北魏时期，狮子舞开始与佛教</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行像</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仪式结合，其历史书写也随之聚焦于宗教场景。杨衒之《洛阳伽蓝记》详细记载了长秋寺浴佛节</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行像</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活动中的狮子舞表演：</w:t>
      </w:r>
    </w:p>
    <w:p w14:paraId="5D939487"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长秋寺）作六牙白象负释迦在虚空中。庄严佛事，悉用金玉。作工之异，难可具陈。四月四日此像常出，辟邪师子导引其前。吞刀吐火，腾骧一面。彩幢上索，诡谲不常。奇伎异服，冠于都市。像停之处，观者如堵。迭相践跃，常有死人。[43]</w:t>
      </w:r>
    </w:p>
    <w:p w14:paraId="01B5D8A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这段记载具有重要的历史价值：其一，明确了狮子舞在宗教仪式中的功能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导引其前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辟邪</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，将其从普通娱乐表演提升为宗教仪式的组成部分；其二，记录了狮子舞与百戏的融合场景</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吞刀吐火</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彩幢上索</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等百戏项目与狮子舞同台表演，展现出当时狮子舞的表演生态；其三，暗示了狮子舞的西域来源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奇伎异服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的描述，指向其与西域文化的关联，为后世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狮子舞源自西域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的历史认知提供了依据。</w:t>
      </w:r>
    </w:p>
    <w:p w14:paraId="3845882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此外，《魏书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乐志》记载北魏宫廷百戏设置：</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大兴）六年冬，诏太乐、总章、鼓吹增修杂伎，造五兵、角抵、麒麟、凤皇、仙人、长蛇、白象、白虎及诸畏兽、鱼龙、辟邪、鹿马仙车、高縆百尺、长桥、缘橦、跳丸、五案以备百戏。大飨设之于殿庭，如汉晋之旧也。</w:t>
      </w:r>
      <w:r w:rsidRPr="0072735C">
        <w:rPr>
          <w:rFonts w:ascii="Times New Roman" w:eastAsia="SimSun" w:hAnsi="Times New Roman" w:cs="Times New Roman"/>
          <w:kern w:val="0"/>
          <w:sz w:val="28"/>
          <w:szCs w:val="28"/>
          <w14:ligatures w14:val="none"/>
        </w:rPr>
        <w:t>”[44]</w:t>
      </w:r>
      <w:r w:rsidRPr="0072735C">
        <w:rPr>
          <w:rFonts w:ascii="Times New Roman" w:eastAsia="SimSun" w:hAnsi="Times New Roman" w:cs="Times New Roman"/>
          <w:kern w:val="0"/>
          <w:sz w:val="28"/>
          <w:szCs w:val="28"/>
          <w14:ligatures w14:val="none"/>
        </w:rPr>
        <w:t>其中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辟邪</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（狮子的别称）被纳入宫廷杂伎体系，说明北魏时期狮子舞已正式进入宫廷表演范畴，完成了从民间宗教仪式向宫廷娱乐的初步渗透，其历史地位进一步提升。</w:t>
      </w:r>
    </w:p>
    <w:p w14:paraId="5E8572A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狮子在西域的神圣地位或许与进贡中国密切相关。在出产狮子的印度，狮子这种猛兽被视为兽中之王。《大集经》卷</w:t>
      </w:r>
      <w:r w:rsidRPr="0072735C">
        <w:rPr>
          <w:rFonts w:ascii="Times New Roman" w:eastAsia="SimSun" w:hAnsi="Times New Roman" w:cs="Times New Roman"/>
          <w:kern w:val="0"/>
          <w:sz w:val="28"/>
          <w:szCs w:val="28"/>
          <w14:ligatures w14:val="none"/>
        </w:rPr>
        <w:t>10</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过去世有一狮子王，在深山窟常作是念：我是一切兽中之王。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但是佛却能威服狮子，而凌驾于狮子之上。《佛说太子瑞应本起经》中云：</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佛初生时，有五百狮子从雪山来，侍列门侧。</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从此，佛陀说法坐狮子座，演法作狮子吼，成了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人中狮子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。而作为佛陀左胁侍的文殊菩萨的形象则是骑着狮子的，以表示其智慧威猛。佛陀坐狮子座，影响了世俗社会，于是君王也坐狮子座，并随着佛教由西向东传播。《旧唐书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西戎传》载：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泥婆罗国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其王那陵提婆，身著真珠、颇黎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坐狮子床。</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《隋书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西域传》载：波斯国，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王著金花冠，坐金师子座。</w:t>
      </w:r>
      <w:r w:rsidRPr="0072735C">
        <w:rPr>
          <w:rFonts w:ascii="Times New Roman" w:eastAsia="SimSun" w:hAnsi="Times New Roman" w:cs="Times New Roman"/>
          <w:kern w:val="0"/>
          <w:sz w:val="28"/>
          <w:szCs w:val="28"/>
          <w14:ligatures w14:val="none"/>
        </w:rPr>
        <w:t>”[45]</w:t>
      </w:r>
    </w:p>
    <w:p w14:paraId="408C2E6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lastRenderedPageBreak/>
        <w:t xml:space="preserve">3. </w:t>
      </w:r>
      <w:r w:rsidRPr="0072735C">
        <w:rPr>
          <w:rFonts w:ascii="Times New Roman" w:eastAsia="SimSun" w:hAnsi="Times New Roman" w:cs="Times New Roman"/>
          <w:b/>
          <w:bCs/>
          <w:kern w:val="0"/>
          <w:sz w:val="28"/>
          <w:szCs w:val="28"/>
          <w14:ligatures w14:val="none"/>
        </w:rPr>
        <w:t>唐代：宫廷乐舞的鼎盛与制度化</w:t>
      </w:r>
    </w:p>
    <w:p w14:paraId="5CDD3F6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到了唐朝时期，狮子舞在宫廷中的发展迎来了其巅峰时刻。该时期关于狮子舞的记载非常多，《通典》《旧唐书》《新唐书》《乐府杂录》《太平御览》等史籍中都有提及，内容涉及舞狮样态、舞者的服饰、人数、隶属哪种音乐机构等。</w:t>
      </w:r>
    </w:p>
    <w:p w14:paraId="2ED5E9F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1</w:t>
      </w:r>
      <w:r w:rsidRPr="0072735C">
        <w:rPr>
          <w:rFonts w:ascii="Times New Roman" w:eastAsia="SimSun" w:hAnsi="Times New Roman" w:cs="Times New Roman"/>
          <w:kern w:val="0"/>
          <w:sz w:val="28"/>
          <w:szCs w:val="28"/>
          <w14:ligatures w14:val="none"/>
        </w:rPr>
        <w:t>）宫廷狮子舞的制度性记录</w:t>
      </w:r>
    </w:p>
    <w:p w14:paraId="5F7CC41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唐代宫廷狮子舞以《五方狮子舞》（又称《太平乐》）为核心，多部典志文献对其进行了系统记载。《旧唐书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音乐二》载：</w:t>
      </w:r>
    </w:p>
    <w:p w14:paraId="507BF575"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师子鸷兽，出于西南夷天竺、师子等国。缀毛为之，人居其中，像其俯仰驯狎之容。二人持绳秉拂，为习弄之状。五师子各立其方色。百四十人歌《太平乐》，舞以足，持绳者服饰作昆仑象。[46]</w:t>
      </w:r>
    </w:p>
    <w:p w14:paraId="3E84657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《新唐书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音乐志》补充道：</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龟兹伎，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舞者四人。设五方师子，高丈余，饰以方色。每师子有十二人，画衣，执红拂，首加红袜，谓之师子郎。</w:t>
      </w:r>
      <w:r w:rsidRPr="0072735C">
        <w:rPr>
          <w:rFonts w:ascii="Times New Roman" w:eastAsia="SimSun" w:hAnsi="Times New Roman" w:cs="Times New Roman"/>
          <w:kern w:val="0"/>
          <w:sz w:val="28"/>
          <w:szCs w:val="28"/>
          <w14:ligatures w14:val="none"/>
        </w:rPr>
        <w:t>”[47]</w:t>
      </w:r>
      <w:r w:rsidRPr="0072735C">
        <w:rPr>
          <w:rFonts w:ascii="Times New Roman" w:eastAsia="SimSun" w:hAnsi="Times New Roman" w:cs="Times New Roman"/>
          <w:kern w:val="0"/>
          <w:sz w:val="28"/>
          <w:szCs w:val="28"/>
          <w14:ligatures w14:val="none"/>
        </w:rPr>
        <w:t>学术界有一种看法，认为狮子舞是由西域诸国经传龟兹，然后又由龟兹传到了我国内地。由此，狮子舞隶属龟兹伎符合情理。</w:t>
      </w:r>
    </w:p>
    <w:p w14:paraId="7834750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《通典》卷一四五进一步明确：</w:t>
      </w:r>
    </w:p>
    <w:p w14:paraId="0F7A19E9"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太平乐》，亦谓之《五方师子舞》。师子挚兽，出于西南夷天竺、师子等国。缀毛为衣，象其俯仰驯狎之容。二人持绳拂，为习弄之状。五师子各依其方色，百四十人歌《太平乐》，舞抃以从之，服饰皆作昆仑象。[48]</w:t>
      </w:r>
    </w:p>
    <w:p w14:paraId="5A40B21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这些记载共同构建了唐代宫廷狮子舞的历史图景：在形态上，狮子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缀毛为之，人居其中</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，高丈余且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各依方色</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（东青、南赤、中黄、西白、北黑）；在人员配置上，每只狮子配十二人，五方狮子共六十人，另有百四十人伴唱《太平乐》，二人持绳拂扮演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师子郎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；在文化属性上，既保留</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昆仑象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的西域痕迹，又融入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五方五色</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的中原五行思想，体现出文化融合的特征。</w:t>
      </w:r>
    </w:p>
    <w:p w14:paraId="7EFC3FB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五师子各依其方色</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，说明唐朝是按照</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五方</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五色</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来舞狮的，体现了中国传统的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思想。五方分别指的是东、南、中、西、北五个方位，对应的五色分别是青、赤、黄、白、黑五色，而黄色一直都是帝王的专属颜色，因此，黄色的狮子应该是居于中央位置。从人数上来看，有狮子，又有歌者，仅歌者已达一百四十人，可见此时的狮子舞阵容是多么庞大。</w:t>
      </w:r>
    </w:p>
    <w:p w14:paraId="2E2648B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w:t>
      </w:r>
      <w:r w:rsidRPr="0072735C">
        <w:rPr>
          <w:rFonts w:ascii="Times New Roman" w:eastAsia="SimSun" w:hAnsi="Times New Roman" w:cs="Times New Roman"/>
          <w:kern w:val="0"/>
          <w:sz w:val="28"/>
          <w:szCs w:val="28"/>
          <w14:ligatures w14:val="none"/>
        </w:rPr>
        <w:t>2</w:t>
      </w:r>
      <w:r w:rsidRPr="0072735C">
        <w:rPr>
          <w:rFonts w:ascii="Times New Roman" w:eastAsia="SimSun" w:hAnsi="Times New Roman" w:cs="Times New Roman"/>
          <w:kern w:val="0"/>
          <w:sz w:val="28"/>
          <w:szCs w:val="28"/>
          <w14:ligatures w14:val="none"/>
        </w:rPr>
        <w:t>）狮子舞的机构归属与从业者记录</w:t>
      </w:r>
    </w:p>
    <w:p w14:paraId="0DC1907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《太平广记》记载了狮子舞在宫廷教坊中的传承细节：</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唐有人衣绯，于中书门候宰相求官。人问前任，答曰：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属教坊，作西方师子左脚来三十年。</w:t>
      </w:r>
      <w:r w:rsidRPr="0072735C">
        <w:rPr>
          <w:rFonts w:ascii="Times New Roman" w:eastAsia="SimSun" w:hAnsi="Times New Roman" w:cs="Times New Roman"/>
          <w:kern w:val="0"/>
          <w:sz w:val="28"/>
          <w:szCs w:val="28"/>
          <w14:ligatures w14:val="none"/>
        </w:rPr>
        <w:t>'”[49]</w:t>
      </w:r>
      <w:r w:rsidRPr="0072735C">
        <w:rPr>
          <w:rFonts w:ascii="Times New Roman" w:eastAsia="SimSun" w:hAnsi="Times New Roman" w:cs="Times New Roman"/>
          <w:kern w:val="0"/>
          <w:sz w:val="28"/>
          <w:szCs w:val="28"/>
          <w14:ligatures w14:val="none"/>
        </w:rPr>
        <w:t>这段记录揭示了三个关键史实：其一，唐代狮子舞的教习与表演机构是</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教坊</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（宫廷专业乐舞机构），说明其已形成专业化的传承体系；其二，狮子舞表演有精细分工，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西方师子左脚</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即负责西方白色狮子的头部表演（唐代以左为上，狮头为表演核心），且从业者需长期训练（三十年），技艺专业化程度极高；其三，从业者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衣绯</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（穿红色官服），反映出唐代狮子舞艺人具有一定的社会地位，侧面印证了狮子舞在宫廷中的重要性。</w:t>
      </w:r>
    </w:p>
    <w:p w14:paraId="55CF1CB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3</w:t>
      </w:r>
      <w:r w:rsidRPr="0072735C">
        <w:rPr>
          <w:rFonts w:ascii="Times New Roman" w:eastAsia="SimSun" w:hAnsi="Times New Roman" w:cs="Times New Roman"/>
          <w:kern w:val="0"/>
          <w:sz w:val="28"/>
          <w:szCs w:val="28"/>
          <w14:ligatures w14:val="none"/>
        </w:rPr>
        <w:t>）唐代以后狮子舞的衰落</w:t>
      </w:r>
    </w:p>
    <w:p w14:paraId="058D4DE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唐代以后，宫廷狮子舞开始衰落，逐渐被归为不太受重视的百戏中。《宋史》卷九十五云：</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百戏有蹴球</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狮子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踏索、上竿、筋斗、擎戴、拗腰、透剑门、打弹丸之类。</w:t>
      </w:r>
      <w:r w:rsidRPr="0072735C">
        <w:rPr>
          <w:rFonts w:ascii="Times New Roman" w:eastAsia="SimSun" w:hAnsi="Times New Roman" w:cs="Times New Roman"/>
          <w:kern w:val="0"/>
          <w:sz w:val="28"/>
          <w:szCs w:val="28"/>
          <w14:ligatures w14:val="none"/>
        </w:rPr>
        <w:t>”[50]</w:t>
      </w:r>
      <w:r w:rsidRPr="0072735C">
        <w:rPr>
          <w:rFonts w:ascii="Times New Roman" w:eastAsia="SimSun" w:hAnsi="Times New Roman" w:cs="Times New Roman"/>
          <w:kern w:val="0"/>
          <w:sz w:val="28"/>
          <w:szCs w:val="28"/>
          <w14:ligatures w14:val="none"/>
        </w:rPr>
        <w:t>此后，官方的记录中不再出现狮子舞在宫廷中的表演记录。</w:t>
      </w:r>
    </w:p>
    <w:p w14:paraId="18F28451" w14:textId="77777777" w:rsidR="0072735C" w:rsidRPr="0072735C" w:rsidRDefault="0072735C" w:rsidP="0072735C">
      <w:pPr>
        <w:spacing w:before="360" w:after="240" w:line="240" w:lineRule="auto"/>
        <w:outlineLvl w:val="3"/>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（二）文学书写</w:t>
      </w:r>
    </w:p>
    <w:p w14:paraId="2ACAD26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唐代诗人对狮子舞的书写尤为丰富，不仅描绘其表演场景，更借以抒写家国情怀与文化交融。</w:t>
      </w:r>
    </w:p>
    <w:p w14:paraId="41F644A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1. </w:t>
      </w:r>
      <w:r w:rsidRPr="0072735C">
        <w:rPr>
          <w:rFonts w:ascii="Times New Roman" w:eastAsia="SimSun" w:hAnsi="Times New Roman" w:cs="Times New Roman"/>
          <w:b/>
          <w:bCs/>
          <w:kern w:val="0"/>
          <w:sz w:val="28"/>
          <w:szCs w:val="28"/>
          <w14:ligatures w14:val="none"/>
        </w:rPr>
        <w:t>李白《上云乐》：仙倡献瑞与西域想象</w:t>
      </w:r>
    </w:p>
    <w:p w14:paraId="1FB4C45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李白《上云乐》以浪漫笔法将狮子舞神化：</w:t>
      </w:r>
    </w:p>
    <w:p w14:paraId="74DBFE63"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西方老胡，厥名文康。邀游六合，傲诞三皇。西观汜，东戏扶桑。南泛大蒙之海，北至无通之乡。昔与若士为友，共弄彭祖扶床。往年暂到昆仑，复值瑶池举觞。周帝迎以上席，王母赠以玉浆。故乃寿如南山，志若金刚。青眼智智，白发长长。蛾眉临髭，高鼻垂口。非直能俳，又善饮酒。箫管鸣前，门徒从后。济济翼翼，各有分部。凤皇是老胡家鸡，师子是老胡家狗。陛下拨乱反正，再朗三光。泽与雨施，化与风翔。觇云候吕，志游大梁。重驷修路，始届帝乡。伏拜金阙，仰瞻玉堂。从者小子，罗列成行。释知廉节，皆识义方。歌管愔愔，铿鼓锵锵。响震钧天，声若皇皇。前却中规矩，进退得宫商。举技无不佳，胡舞最所长。老胡寄箧中，复有奇乐章，贵持数万里，愿以奉圣皇。乃欲次第说，老耄多所忘。但愿明陛下，寿千万岁，欢乐未渠央。[51]</w:t>
      </w:r>
    </w:p>
    <w:p w14:paraId="36BB073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从诗歌的内容来看，它描写了一个名叫</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文康</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胡人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从西方来到中国并呈献乐舞以祝圣寿的过程。这个胡人所献的乐舞中，有凤皇、师子起舞，而且被称作</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举技无不佳，胡舞最所长</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，所以师子舞显然是一种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胡舞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。而这个名叫</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文康</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老胡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人，有学者认为来自于中古西域粟特九姓之一的康国，文康即古康国撒马尔罕的一种译称。诗中的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五色师子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被赋予祥瑞寓意，作为西域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仙倡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进献中原，体现了唐代对异域文化的包容与想象。</w:t>
      </w:r>
    </w:p>
    <w:p w14:paraId="400F939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2. </w:t>
      </w:r>
      <w:r w:rsidRPr="0072735C">
        <w:rPr>
          <w:rFonts w:ascii="Times New Roman" w:eastAsia="SimSun" w:hAnsi="Times New Roman" w:cs="Times New Roman"/>
          <w:b/>
          <w:bCs/>
          <w:kern w:val="0"/>
          <w:sz w:val="28"/>
          <w:szCs w:val="28"/>
          <w14:ligatures w14:val="none"/>
        </w:rPr>
        <w:t>白居易《西凉伎》：胡人假面与边疆忧思</w:t>
      </w:r>
    </w:p>
    <w:p w14:paraId="309D781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白居易在《西凉伎》中细致刻画了狮子舞的形态与情感内涵：</w:t>
      </w:r>
    </w:p>
    <w:p w14:paraId="2416118F"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西凉伎，假面胡人假狮子。刻木为头丝作尾，金镀眼睛银贴齿。奋迅毛衣摆双耳，如从流沙来万里。紫髯深目两胡儿，鼓舞跳梁前致辞。应似凉州未陷日，安西都护进来时。须臾云得新消息，安西路绝归不得。泣向狮子涕双垂，凉州陷没知不知？狮子回头向西望，哀吼一声观者悲。贞元边将爱此曲，醉坐笑看看不足。享宾犒士宴三军，狮子胡儿长在目。……奈何仍看西凉伎，取笑资欢无所愧。纵无智力未能收，忍取西凉弄为戏。[52]</w:t>
      </w:r>
    </w:p>
    <w:p w14:paraId="7DAC5BA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此诗以狮子舞为媒介，借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胡人假面</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刻木为头</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等细节强调其西域来源（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如从流沙来万里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），更通过舞者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泣涕双垂</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哀吼西望</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表演，映射安史之乱后西域失守的国殇之痛。狮子舞在此不仅是娱乐，更是历史记忆与民族情感的载体。说的是：狮子郎头戴紫髯、深目的胡人面具，狮子是木刻狮头，金眼银齿，表演时做出摆耳、摇头转首等动作。</w:t>
      </w:r>
    </w:p>
    <w:p w14:paraId="5846466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3. </w:t>
      </w:r>
      <w:r w:rsidRPr="0072735C">
        <w:rPr>
          <w:rFonts w:ascii="Times New Roman" w:eastAsia="SimSun" w:hAnsi="Times New Roman" w:cs="Times New Roman"/>
          <w:b/>
          <w:bCs/>
          <w:kern w:val="0"/>
          <w:sz w:val="28"/>
          <w:szCs w:val="28"/>
          <w14:ligatures w14:val="none"/>
        </w:rPr>
        <w:t>元稹《西凉伎》：宴乐狂欢中的胡风印记</w:t>
      </w:r>
    </w:p>
    <w:p w14:paraId="1B06D02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元稹的同名诗作则侧重描绘西凉宴乐中的狮子舞：</w:t>
      </w:r>
    </w:p>
    <w:p w14:paraId="6F6D3F7D"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吾闻昔日西凉州，人烟扑地桑柘稠。葡萄酒熟恣行乐，红艳青旗朱粉楼……哥舒开府设高宴，八珍九酝当前头。前头百戏竞撩乱，丸剑跳踯霜雪浮。师子摇光毛彩竖，胡腾醉舞筋骨柔。[53]</w:t>
      </w:r>
    </w:p>
    <w:p w14:paraId="4D2982E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诗中狮子舞与胡腾舞、百戏同台竞演，展现唐代凉州作为西域门户的文化交融盛况。</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师子摇光毛彩竖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一句，生动再现了舞狮时毛发竖立、光彩摇动的动态美。</w:t>
      </w:r>
    </w:p>
    <w:p w14:paraId="4C8F2EA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4. </w:t>
      </w:r>
      <w:r w:rsidRPr="0072735C">
        <w:rPr>
          <w:rFonts w:ascii="Times New Roman" w:eastAsia="SimSun" w:hAnsi="Times New Roman" w:cs="Times New Roman"/>
          <w:b/>
          <w:bCs/>
          <w:kern w:val="0"/>
          <w:sz w:val="28"/>
          <w:szCs w:val="28"/>
          <w14:ligatures w14:val="none"/>
        </w:rPr>
        <w:t>崔致远《狻猊》：东亚文化圈中的狮子舞流转</w:t>
      </w:r>
    </w:p>
    <w:p w14:paraId="2BFCD37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新罗文人崔致远在《乡乐杂咏五首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狻猊》中写道：</w:t>
      </w:r>
    </w:p>
    <w:p w14:paraId="1D497B89"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lastRenderedPageBreak/>
        <w:t>远涉流沙万里来，毛衣尽破着尘埃。摇头掉尾驯仁德，雄气宁同百兽才。[54]</w:t>
      </w:r>
    </w:p>
    <w:p w14:paraId="2715018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此诗明显受白居易《西凉伎》影响（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远涉流沙万里来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呼应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如从流沙来万里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），说明狮子舞不仅传入中国，更东渐韩半岛，成为东亚文化共享的艺术形式。狮子舞在韩半岛歌舞演戏中传承的史料，最早可追溯至新罗末年崔致远（</w:t>
      </w:r>
      <w:r w:rsidRPr="0072735C">
        <w:rPr>
          <w:rFonts w:ascii="Times New Roman" w:eastAsia="SimSun" w:hAnsi="Times New Roman" w:cs="Times New Roman"/>
          <w:kern w:val="0"/>
          <w:sz w:val="28"/>
          <w:szCs w:val="28"/>
          <w14:ligatures w14:val="none"/>
        </w:rPr>
        <w:t>859—</w:t>
      </w:r>
      <w:r w:rsidRPr="0072735C">
        <w:rPr>
          <w:rFonts w:ascii="Times New Roman" w:eastAsia="SimSun" w:hAnsi="Times New Roman" w:cs="Times New Roman"/>
          <w:kern w:val="0"/>
          <w:sz w:val="28"/>
          <w:szCs w:val="28"/>
          <w14:ligatures w14:val="none"/>
        </w:rPr>
        <w:t>？）所作《乡乐杂咏五首》。从唐人白居易的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如从流沙来万里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到新罗末期人崔致远的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远涉流沙万里来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，由诗歌文字上来看，崔致远的诗篇《狻猊》对白居易的《西凉伎》有直接的承袭关联。</w:t>
      </w:r>
    </w:p>
    <w:p w14:paraId="6BE93C5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5. </w:t>
      </w:r>
      <w:r w:rsidRPr="0072735C">
        <w:rPr>
          <w:rFonts w:ascii="Times New Roman" w:eastAsia="SimSun" w:hAnsi="Times New Roman" w:cs="Times New Roman"/>
          <w:b/>
          <w:bCs/>
          <w:kern w:val="0"/>
          <w:sz w:val="28"/>
          <w:szCs w:val="28"/>
          <w14:ligatures w14:val="none"/>
        </w:rPr>
        <w:t>狮子舞文学书写的文化意涵</w:t>
      </w:r>
    </w:p>
    <w:p w14:paraId="6DBC9F5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狮子舞的文学书写不仅记录其艺术形态，更折射出文化融合与功能变迁的深层脉络。</w:t>
      </w:r>
    </w:p>
    <w:p w14:paraId="783975E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其一，西域渊源与本土化进程。史料反复强调狮子舞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出于西南夷天竺、师子国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（《旧唐书》）、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如从流沙来万里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（白居易），其道具（刻木为头、金眼银齿）、服饰（昆仑象）、舞者（紫髯胡儿）均具胡风。但唐代将其纳入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五方五行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体系（五色狮对应五方），表明外来艺术的本土化重构。</w:t>
      </w:r>
    </w:p>
    <w:p w14:paraId="4F6C88F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其二，宗教功能与世俗娱乐的双重性。南北朝时狮子舞为佛教行像仪仗，唐代成为宫廷宴乐《太平乐》，宋代归为百戏，明清下沉为民俗活动，其功能从宗教驱邪渐变为世俗娱乐，反映了艺术与宗教、宫廷与民间的互动。</w:t>
      </w:r>
    </w:p>
    <w:p w14:paraId="11CF3D2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其三，文学书写的抒情与象征传统。诗人借狮子舞抒写国族命运（白居易）、文化交融（元稹）、祥瑞想象（李白），使其超越娱乐层面，成为文学中富有象征意义的意象。东亚汉诗（如崔致远）对狮子舞的接受，更凸显其作为文化符号的跨地域影响力。</w:t>
      </w:r>
    </w:p>
    <w:p w14:paraId="566AD232"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二、舞龙书写</w:t>
      </w:r>
    </w:p>
    <w:p w14:paraId="5B0EA2C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舞龙也是我国最具民族特色的舞蹈之一。在汉文化中，龙多被认为是水神。《山海经</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大荒东经》曰：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应龙处南极，杀蚩尤与夸父，不得复上，故下数旱。旱而为应龙之状，乃得大雨。</w:t>
      </w:r>
      <w:r w:rsidRPr="0072735C">
        <w:rPr>
          <w:rFonts w:ascii="Times New Roman" w:eastAsia="SimSun" w:hAnsi="Times New Roman" w:cs="Times New Roman"/>
          <w:kern w:val="0"/>
          <w:sz w:val="28"/>
          <w:szCs w:val="28"/>
          <w14:ligatures w14:val="none"/>
        </w:rPr>
        <w:t>”[55]</w:t>
      </w:r>
      <w:r w:rsidRPr="0072735C">
        <w:rPr>
          <w:rFonts w:ascii="Times New Roman" w:eastAsia="SimSun" w:hAnsi="Times New Roman" w:cs="Times New Roman"/>
          <w:kern w:val="0"/>
          <w:sz w:val="28"/>
          <w:szCs w:val="28"/>
          <w14:ligatures w14:val="none"/>
        </w:rPr>
        <w:t>在科学技术尚不发达的古代，舞龙与《桑林》乐舞表演曾是我国古代宫廷和民间常用的两种祈雨形式。</w:t>
      </w:r>
    </w:p>
    <w:p w14:paraId="5B8690BE" w14:textId="77777777" w:rsidR="0072735C" w:rsidRPr="0072735C" w:rsidRDefault="0072735C" w:rsidP="0072735C">
      <w:pPr>
        <w:spacing w:before="360" w:after="240" w:line="240" w:lineRule="auto"/>
        <w:outlineLvl w:val="3"/>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（一）历史书写</w:t>
      </w:r>
    </w:p>
    <w:p w14:paraId="546B9F9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lastRenderedPageBreak/>
        <w:t xml:space="preserve">1. </w:t>
      </w:r>
      <w:r w:rsidRPr="0072735C">
        <w:rPr>
          <w:rFonts w:ascii="Times New Roman" w:eastAsia="SimSun" w:hAnsi="Times New Roman" w:cs="Times New Roman"/>
          <w:b/>
          <w:bCs/>
          <w:kern w:val="0"/>
          <w:sz w:val="28"/>
          <w:szCs w:val="28"/>
          <w14:ligatures w14:val="none"/>
        </w:rPr>
        <w:t>先秦至汉代：祈雨仪式中的舞龙</w:t>
      </w:r>
    </w:p>
    <w:p w14:paraId="3FD54FA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《神龙求雨书》载：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春夏雨日而不雨，甲乙命为青龙，又为火龙，东方小童舞之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壬癸不雨，命为黑龙，北方老人舞之。</w:t>
      </w:r>
      <w:r w:rsidRPr="0072735C">
        <w:rPr>
          <w:rFonts w:ascii="Times New Roman" w:eastAsia="SimSun" w:hAnsi="Times New Roman" w:cs="Times New Roman"/>
          <w:kern w:val="0"/>
          <w:sz w:val="28"/>
          <w:szCs w:val="28"/>
          <w14:ligatures w14:val="none"/>
        </w:rPr>
        <w:t>”[56]</w:t>
      </w:r>
    </w:p>
    <w:p w14:paraId="755D623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《春秋繁露</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求雨》更是详细记载了汉代舞龙求雨之事：</w:t>
      </w:r>
    </w:p>
    <w:p w14:paraId="1A8D48FF"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春旱求雨……祝曰：“昊天生五谷以养人，今五谷病旱，恐不成实，敬进清酒、膊脯，再拜请雨。雨幸大澍，即奉牲祷。”以甲乙日为大苍龙一，长八丈，居中央；为小龙七，各长四丈，于东方，皆东乡（向），其间相去八尺。小童八人，皆斋三日，服青衣而舞之；田啬夫亦斋三日，服青衣而立之。……凡求雨，大体丈夫藏匿，女子欲和而乐。[57]</w:t>
      </w:r>
    </w:p>
    <w:p w14:paraId="39362BE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从这段记载可知，伴随季节变化，舞龙求雨的演员人数、年龄、服装以及假龙的颜色皆有变化。春季用青龙，由青衣小童舞之；冬季则用黑龙，由黑衣老人舞之。这种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思想的运用，与狮子舞的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五方五色</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如出一辙，体现了中国传统拟兽表演与宇宙观念的深度融合。</w:t>
      </w:r>
    </w:p>
    <w:p w14:paraId="6E3E87B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2. </w:t>
      </w:r>
      <w:r w:rsidRPr="0072735C">
        <w:rPr>
          <w:rFonts w:ascii="Times New Roman" w:eastAsia="SimSun" w:hAnsi="Times New Roman" w:cs="Times New Roman"/>
          <w:b/>
          <w:bCs/>
          <w:kern w:val="0"/>
          <w:sz w:val="28"/>
          <w:szCs w:val="28"/>
          <w14:ligatures w14:val="none"/>
        </w:rPr>
        <w:t>隋唐时期：祭祀与娱乐的双重功能</w:t>
      </w:r>
    </w:p>
    <w:p w14:paraId="6FE9790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隋唐时期，舞龙也和祭祀水神及其求雨有关。杜佑《通典》就曾记载了柳宗元被贬柳州时与大龙潭乡民祭神求雨的情形：</w:t>
      </w:r>
    </w:p>
    <w:p w14:paraId="6AD503FE"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春祭王城东门外，舞八丈大青龙，另有十条小青龙伴随，由青衣少年持舞……冬祭王城北门外，由黑衣者舞六丈大黑龙和五条小黑龙。[58]</w:t>
      </w:r>
    </w:p>
    <w:p w14:paraId="09070A4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这段记载表明，唐代舞龙仍然保留着祈雨祭祀的宗教功能，且在形制上延续了汉代以来的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五行配色</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传统。</w:t>
      </w:r>
    </w:p>
    <w:p w14:paraId="6E213780" w14:textId="77777777" w:rsidR="0072735C" w:rsidRPr="0072735C" w:rsidRDefault="0072735C" w:rsidP="0072735C">
      <w:pPr>
        <w:spacing w:before="360" w:after="240" w:line="240" w:lineRule="auto"/>
        <w:outlineLvl w:val="3"/>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（二）文学书写</w:t>
      </w:r>
    </w:p>
    <w:p w14:paraId="0B5B2C2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1. </w:t>
      </w:r>
      <w:r w:rsidRPr="0072735C">
        <w:rPr>
          <w:rFonts w:ascii="Times New Roman" w:eastAsia="SimSun" w:hAnsi="Times New Roman" w:cs="Times New Roman"/>
          <w:b/>
          <w:bCs/>
          <w:kern w:val="0"/>
          <w:sz w:val="28"/>
          <w:szCs w:val="28"/>
          <w14:ligatures w14:val="none"/>
        </w:rPr>
        <w:t>李约《观祈雨》：民间舞龙的生动写照</w:t>
      </w:r>
    </w:p>
    <w:p w14:paraId="43BA8BC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不少唐诗也涉及民间舞龙求雨的相关情况，如李约《观祈雨》云：</w:t>
      </w:r>
    </w:p>
    <w:p w14:paraId="6691D598"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桑条无叶土生烟，箫管迎龙水庙前。朱门几处看歌舞，犹恐春阴咽管弦。[59]</w:t>
      </w:r>
    </w:p>
    <w:p w14:paraId="03BC02D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观祈雨</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听管弦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看歌舞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来看，唐代舞龙表演已具有娱神娱人的双重功能。诗人通过</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桑条无叶土生烟</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描绘旱情严峻，而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箫管迎龙水庙前</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则生动再现了民间以舞龙求雨的场景。诗中暗含的讽刺意味</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朱门几处</w:t>
      </w:r>
      <w:r w:rsidRPr="0072735C">
        <w:rPr>
          <w:rFonts w:ascii="Times New Roman" w:eastAsia="SimSun" w:hAnsi="Times New Roman" w:cs="Times New Roman"/>
          <w:kern w:val="0"/>
          <w:sz w:val="28"/>
          <w:szCs w:val="28"/>
          <w14:ligatures w14:val="none"/>
        </w:rPr>
        <w:lastRenderedPageBreak/>
        <w:t>看歌舞，犹恐春阴咽管弦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揭示了贵族阶层对民间疾苦的漠视，使舞龙书写超越了单纯的民俗记录，具有了社会批判的意蕴。</w:t>
      </w:r>
    </w:p>
    <w:p w14:paraId="5EC489D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 xml:space="preserve">2. </w:t>
      </w:r>
      <w:r w:rsidRPr="0072735C">
        <w:rPr>
          <w:rFonts w:ascii="Times New Roman" w:eastAsia="SimSun" w:hAnsi="Times New Roman" w:cs="Times New Roman"/>
          <w:b/>
          <w:bCs/>
          <w:kern w:val="0"/>
          <w:sz w:val="28"/>
          <w:szCs w:val="28"/>
          <w14:ligatures w14:val="none"/>
        </w:rPr>
        <w:t>张九龄《奉和圣制烛龙斋祭》：宫廷祈雨的庄严仪式</w:t>
      </w:r>
    </w:p>
    <w:p w14:paraId="34E8608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除民间舞龙祭祀祈雨外，唐代宫廷也有相关活动。张九龄《奉和圣制烛龙斋祭》曰：</w:t>
      </w:r>
    </w:p>
    <w:p w14:paraId="51CD1FEC"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上帝临下，鉴亦有光……烛龙煌煌，明宗报祀。于以助之，天人帝子……沛然时雨，雨我原田。[60]</w:t>
      </w:r>
    </w:p>
    <w:p w14:paraId="454E6FA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烛龙</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鼓舞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，祭于坛前。奉皇帝之命，张九龄创作了这首祈雨歌诗。诗中将舞龙祈雨提升到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天人感应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的高度，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烛龙煌煌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沛然时雨</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的因果关联，体现了舞龙在宫廷仪式中的神圣地位。这种书写将舞龙从民间娱乐提升为国家祭祀的重要组成部分，赋予其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沟通天人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的宗教功能。</w:t>
      </w:r>
    </w:p>
    <w:p w14:paraId="6D1D7DF4"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三、鱼龙曼延与黄龙变书写</w:t>
      </w:r>
    </w:p>
    <w:p w14:paraId="1F75ED4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《礼记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礼运》曰：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麟凤龟龙，谓之四灵。</w:t>
      </w:r>
      <w:r w:rsidRPr="0072735C">
        <w:rPr>
          <w:rFonts w:ascii="Times New Roman" w:eastAsia="SimSun" w:hAnsi="Times New Roman" w:cs="Times New Roman"/>
          <w:kern w:val="0"/>
          <w:sz w:val="28"/>
          <w:szCs w:val="28"/>
          <w14:ligatures w14:val="none"/>
        </w:rPr>
        <w:t>”[61]</w:t>
      </w:r>
      <w:r w:rsidRPr="0072735C">
        <w:rPr>
          <w:rFonts w:ascii="Times New Roman" w:eastAsia="SimSun" w:hAnsi="Times New Roman" w:cs="Times New Roman"/>
          <w:kern w:val="0"/>
          <w:sz w:val="28"/>
          <w:szCs w:val="28"/>
          <w14:ligatures w14:val="none"/>
        </w:rPr>
        <w:t>所谓</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灵物</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，即能够沟通</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神灵</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的祥瑞之物。如此说来，拟兽表演麟凤龟龙不仅可以消灾辟邪，而且还能带来祥瑞之气。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鱼龙曼延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黄龙变</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作为汉至隋唐时期最具代表性的大型拟兽表演，集中体现了这一文化内涵。</w:t>
      </w:r>
    </w:p>
    <w:p w14:paraId="0A1BBAF2" w14:textId="77777777" w:rsidR="0072735C" w:rsidRPr="0072735C" w:rsidRDefault="0072735C" w:rsidP="0072735C">
      <w:pPr>
        <w:spacing w:before="360" w:after="240" w:line="240" w:lineRule="auto"/>
        <w:outlineLvl w:val="3"/>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（一）汉代鱼龙曼延</w:t>
      </w:r>
    </w:p>
    <w:p w14:paraId="64DF91B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早在汉代，</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鱼龙曼延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已经成为我国古代较大型的拟兽及幻术表演。《汉书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西域传》载：</w:t>
      </w:r>
    </w:p>
    <w:p w14:paraId="6FE5A4A4"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孝武之世……设酒池肉林以飨四夷之客，作巴俞都卢、海中砀极、漫衍鱼龙、角抵之戏以观视之。[62]</w:t>
      </w:r>
    </w:p>
    <w:p w14:paraId="57EA2A4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颜师古注曰：</w:t>
      </w:r>
    </w:p>
    <w:p w14:paraId="4D63D10F"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鱼龙者，为舍利之兽，先戏于庭极，毕乃入殿前激水，化成比目鱼，跳跃漱水，作雾障日，毕，化成黄龙八丈，出水敖戏于庭，炫耀日光。[63]</w:t>
      </w:r>
    </w:p>
    <w:p w14:paraId="0958174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这段注疏详细描述了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鱼龙曼延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的表演流程：先是</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舍利之兽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在庭中表演，继而入水激起水花，</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化成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比目鱼在水中跳跃，最后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化成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八丈黄龙出水嬉戏。整个表演以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变化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为核心，融合了拟兽与幻术元素，视觉效果震撼。</w:t>
      </w:r>
    </w:p>
    <w:p w14:paraId="1382993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关于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鱼龙曼延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的表演，汉代文赋也有所记载。东汉张衡《西京赋》曰：</w:t>
      </w:r>
    </w:p>
    <w:p w14:paraId="143C042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巨兽百寻，是为曼延。神山崔巍，欻从背见。</w:t>
      </w:r>
      <w:r w:rsidRPr="0072735C">
        <w:rPr>
          <w:rFonts w:ascii="Times New Roman" w:eastAsia="SimSun" w:hAnsi="Times New Roman" w:cs="Times New Roman"/>
          <w:kern w:val="0"/>
          <w:sz w:val="28"/>
          <w:szCs w:val="28"/>
          <w:lang w:eastAsia="zh-TW"/>
          <w14:ligatures w14:val="none"/>
        </w:rPr>
        <w:t>熊虎升而拿攫，猿狖超而高援。怪兽陆梁，大雀踆踆。白象行孕，垂鼻磷囷。</w:t>
      </w:r>
      <w:r w:rsidRPr="0072735C">
        <w:rPr>
          <w:rFonts w:ascii="Times New Roman" w:eastAsia="SimSun" w:hAnsi="Times New Roman" w:cs="Times New Roman"/>
          <w:kern w:val="0"/>
          <w:sz w:val="28"/>
          <w:szCs w:val="28"/>
          <w14:ligatures w14:val="none"/>
        </w:rPr>
        <w:t>海鳞变而成龙，状婉婉以昷昷。</w:t>
      </w:r>
      <w:r w:rsidRPr="0072735C">
        <w:rPr>
          <w:rFonts w:ascii="Times New Roman" w:eastAsia="SimSun" w:hAnsi="Times New Roman" w:cs="Times New Roman"/>
          <w:kern w:val="0"/>
          <w:sz w:val="28"/>
          <w:szCs w:val="28"/>
          <w14:ligatures w14:val="none"/>
        </w:rPr>
        <w:t>[64]</w:t>
      </w:r>
    </w:p>
    <w:p w14:paraId="5D78491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东汉李尤《平乐观赋》云：</w:t>
      </w:r>
    </w:p>
    <w:p w14:paraId="6A982FDF"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禽鹿六驳，白象朱首。鱼龙曼延，畏兽延山阜。龟螭蟾蜍，挈琴鼓缶。[65]</w:t>
      </w:r>
    </w:p>
    <w:p w14:paraId="6B71734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可见，</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鱼龙曼延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当是演员装扮成龟、鱼、龙、熊、虎、猿、凤鸟、白象等祥瑞之兽在水中进行表演的大型乐舞。在音乐声中，这些瑞兽依节目编排次第陆续登场表演。在精美道具、舞台布景以及幻化的水雾烟云之中，这些憨态可掬的动物们仿佛是在海底世界或动物园举办展演大会。如此精妙绝伦的表演，把观众带入了远古</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百兽率舞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的情景画面。</w:t>
      </w:r>
    </w:p>
    <w:p w14:paraId="7A602888" w14:textId="77777777" w:rsidR="0072735C" w:rsidRPr="0072735C" w:rsidRDefault="0072735C" w:rsidP="0072735C">
      <w:pPr>
        <w:spacing w:before="360" w:after="240" w:line="240" w:lineRule="auto"/>
        <w:outlineLvl w:val="3"/>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（二）隋唐黄龙变</w:t>
      </w:r>
    </w:p>
    <w:p w14:paraId="55FFDD0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《隋书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音乐中》曰：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及宣帝即位，而广招杂伎，增修百戏。鱼龙漫衍之伎，常陈殿前，累日继夜，不知休息。</w:t>
      </w:r>
      <w:r w:rsidRPr="0072735C">
        <w:rPr>
          <w:rFonts w:ascii="Times New Roman" w:eastAsia="SimSun" w:hAnsi="Times New Roman" w:cs="Times New Roman"/>
          <w:kern w:val="0"/>
          <w:sz w:val="28"/>
          <w:szCs w:val="28"/>
          <w14:ligatures w14:val="none"/>
        </w:rPr>
        <w:t>”[66]</w:t>
      </w:r>
      <w:r w:rsidRPr="0072735C">
        <w:rPr>
          <w:rFonts w:ascii="Times New Roman" w:eastAsia="SimSun" w:hAnsi="Times New Roman" w:cs="Times New Roman"/>
          <w:kern w:val="0"/>
          <w:sz w:val="28"/>
          <w:szCs w:val="28"/>
          <w14:ligatures w14:val="none"/>
        </w:rPr>
        <w:t>唐人杨炯《奉和上元酺宴应诏》曰：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百戏骋鱼龙，千门壮宫殿。</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可见，</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鱼龙曼延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乃是隋唐时期表演的大型娱乐节目。不过，从编排上看，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黄龙变</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应是百戏</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鱼龙曼延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节目的简化表演。</w:t>
      </w:r>
    </w:p>
    <w:p w14:paraId="53CEED2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据《隋书</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音乐下》记载，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黄龙变</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曾是突厥染干来朝时，隋炀帝命乐人表演的重头戏：</w:t>
      </w:r>
    </w:p>
    <w:p w14:paraId="446C8699" w14:textId="77777777" w:rsidR="0072735C" w:rsidRPr="0072735C" w:rsidRDefault="0072735C" w:rsidP="0072735C">
      <w:pPr>
        <w:spacing w:after="240" w:line="240" w:lineRule="auto"/>
        <w:rPr>
          <w:rFonts w:ascii="KaiTi" w:eastAsia="KaiTi" w:hAnsi="KaiTi" w:cs="Times New Roman"/>
          <w:kern w:val="0"/>
          <w:sz w:val="28"/>
          <w:szCs w:val="28"/>
          <w14:ligatures w14:val="none"/>
        </w:rPr>
      </w:pPr>
      <w:r w:rsidRPr="0072735C">
        <w:rPr>
          <w:rFonts w:ascii="KaiTi" w:eastAsia="KaiTi" w:hAnsi="KaiTi" w:cs="Times New Roman"/>
          <w:kern w:val="0"/>
          <w:sz w:val="28"/>
          <w:szCs w:val="28"/>
          <w14:ligatures w14:val="none"/>
        </w:rPr>
        <w:t>初于芳华苑积翠池侧，帝帷宫女观之。有舍利先来，戏于场内，须臾跳跃，激水满衢，鼋鼍龟鳖，水人虫鱼，遍覆于地。又有大鲸鱼，喷雾翳日，倏忽化成黄龙，长七八丈，耸踊而出，名曰“黄龙变”。[67]</w:t>
      </w:r>
    </w:p>
    <w:p w14:paraId="1274737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依其所记，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黄龙变</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表演流程大体为：先是一批神兽（海龟、鳌甲、美人鱼等）在水池内跳跃翻腾，不时做着各种逗人的喜剧性动作；不一会，一头巨型鲸鱼浮出水面，喷出的水雾熠熠生辉；不经意间，又有一条巨型黄龙顺着水雾腾空而降。可见，</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黄龙变</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实质就是拟兽表演。只不过该节目把多个拟兽节目（龟、鳖、鱼、龙）有机地编连起来，并最终形成一个很有看点的娱乐节目。</w:t>
      </w:r>
    </w:p>
    <w:p w14:paraId="187EC54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从《隋书》记载的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黄龙变</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表演来看，很多场合可能已简化表演。也许今天的舞龙、舞狮、舞麒麟、舞鱼、舞龟、舞蚌等表演乃是</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鱼龙曼延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节目衰败后的分解或拓展表演。这一推测为理解当代民间拟兽表演的历史渊源提供了重要线索。</w:t>
      </w:r>
    </w:p>
    <w:p w14:paraId="5262B983" w14:textId="77777777" w:rsidR="0072735C" w:rsidRPr="0072735C" w:rsidRDefault="0072735C" w:rsidP="0072735C">
      <w:pPr>
        <w:spacing w:before="360" w:after="240" w:line="240" w:lineRule="auto"/>
        <w:outlineLvl w:val="1"/>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lastRenderedPageBreak/>
        <w:t>第四节</w:t>
      </w:r>
      <w:r w:rsidRPr="0072735C">
        <w:rPr>
          <w:rFonts w:ascii="Times New Roman" w:eastAsia="SimSun" w:hAnsi="Times New Roman" w:cs="Times New Roman"/>
          <w:b/>
          <w:bCs/>
          <w:kern w:val="0"/>
          <w:sz w:val="28"/>
          <w:szCs w:val="28"/>
          <w14:ligatures w14:val="none"/>
        </w:rPr>
        <w:t xml:space="preserve"> </w:t>
      </w:r>
      <w:r w:rsidRPr="0072735C">
        <w:rPr>
          <w:rFonts w:ascii="Times New Roman" w:eastAsia="SimSun" w:hAnsi="Times New Roman" w:cs="Times New Roman"/>
          <w:b/>
          <w:bCs/>
          <w:kern w:val="0"/>
          <w:sz w:val="28"/>
          <w:szCs w:val="28"/>
          <w14:ligatures w14:val="none"/>
        </w:rPr>
        <w:t>小结：驯兽与拟兽书写的文化意涵</w:t>
      </w:r>
    </w:p>
    <w:p w14:paraId="3073C17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通过对驯兽与拟兽类百戏书写的系统梳理，可以发现二者在历史书写与文学书写中呈现出既有共性又有差异的叙事特色，蕴含着丰富的文化意涵。</w:t>
      </w:r>
    </w:p>
    <w:p w14:paraId="63D0C046"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一、驯兽书写的演变轨迹</w:t>
      </w:r>
    </w:p>
    <w:p w14:paraId="5A6D2E6C"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驯兽类百戏的历史书写呈现出从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朝贡方物</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盛世符号</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再到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衰世隐喻</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的演变轨迹。</w:t>
      </w:r>
    </w:p>
    <w:p w14:paraId="299ABBC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汉魏时期</w:t>
      </w:r>
      <w:r w:rsidRPr="0072735C">
        <w:rPr>
          <w:rFonts w:ascii="Times New Roman" w:eastAsia="SimSun" w:hAnsi="Times New Roman" w:cs="Times New Roman"/>
          <w:kern w:val="0"/>
          <w:sz w:val="28"/>
          <w:szCs w:val="28"/>
          <w14:ligatures w14:val="none"/>
        </w:rPr>
        <w:t>，驯兽书写以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简略化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功能性</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为特色。无论是斗鸡的社会风俗记载，还是舞象的朝贡事件记录，抑或舞马雏形的片段提及，书写目的均聚焦于记录社会习俗或彰显</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四夷归附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的政治图景，驯兽表演尚未被赋予独立的文化价值。</w:t>
      </w:r>
    </w:p>
    <w:p w14:paraId="3022934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唐代盛世</w:t>
      </w:r>
      <w:r w:rsidRPr="0072735C">
        <w:rPr>
          <w:rFonts w:ascii="Times New Roman" w:eastAsia="SimSun" w:hAnsi="Times New Roman" w:cs="Times New Roman"/>
          <w:kern w:val="0"/>
          <w:sz w:val="28"/>
          <w:szCs w:val="28"/>
          <w14:ligatures w14:val="none"/>
        </w:rPr>
        <w:t>，驯兽书写完成了向</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盛世符号</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的华丽转身。舞马的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奋首鼓尾，纵横应节</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被解读为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天下和顺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的象征，驯象、驯犀的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入场拜舞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被视为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万国来朝</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的明证。史书与文学作品共同塑造了驯兽表演与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盛唐气象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的紧密关联，舞马、驯象成为国力强盛的文化符号。</w:t>
      </w:r>
    </w:p>
    <w:p w14:paraId="3978669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安史之乱后</w:t>
      </w:r>
      <w:r w:rsidRPr="0072735C">
        <w:rPr>
          <w:rFonts w:ascii="Times New Roman" w:eastAsia="SimSun" w:hAnsi="Times New Roman" w:cs="Times New Roman"/>
          <w:kern w:val="0"/>
          <w:sz w:val="28"/>
          <w:szCs w:val="28"/>
          <w14:ligatures w14:val="none"/>
        </w:rPr>
        <w:t>，驯兽书写出现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悲剧性转向</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。舞马被田承嗣误为妖孽鞭挞致死，驯犀因水土不服冻死苑中，这些悲剧性叙事不再聚焦盛世荣光，而是通过驯兽的悲惨命运隐喻大唐由盛转衰的历史轨迹。杜甫</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寂寞骊山道，清秋草木黄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的感慨，陆龟蒙</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曲终似要君王宠，回望红楼不敢嘶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的讽刺，元稹、白居易以驯象、驯犀喻治国之理的政治寓言，共同构成了驯兽书写的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衰世追忆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传统。</w:t>
      </w:r>
    </w:p>
    <w:p w14:paraId="5B05060C"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二、拟兽书写的叙事特色</w:t>
      </w:r>
    </w:p>
    <w:p w14:paraId="6AC5EDF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拟兽类百戏的书写呈现出</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西域来源的反复强调</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本土化改造</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家国情怀寄托</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三重特色。</w:t>
      </w:r>
    </w:p>
    <w:p w14:paraId="46474DB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西域渊源的强调</w:t>
      </w:r>
      <w:r w:rsidRPr="0072735C">
        <w:rPr>
          <w:rFonts w:ascii="Times New Roman" w:eastAsia="SimSun" w:hAnsi="Times New Roman" w:cs="Times New Roman"/>
          <w:kern w:val="0"/>
          <w:sz w:val="28"/>
          <w:szCs w:val="28"/>
          <w14:ligatures w14:val="none"/>
        </w:rPr>
        <w:t>贯穿于拟兽书写的始终。无论是狮子舞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出于西南夷天竺、师子等国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的史书记载，还是白居易</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如从流沙来万里</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的诗歌描写，抑或李白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老胡</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献</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五色师子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的浪漫想象，均反复强调拟兽表演的异域属性。这种书写策略既客观记录了拟兽表演沿丝绸之路东传的历史事实，也塑造了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异域奇技</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的文化想象。</w:t>
      </w:r>
    </w:p>
    <w:p w14:paraId="387D1A4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本土化改造</w:t>
      </w:r>
      <w:r w:rsidRPr="0072735C">
        <w:rPr>
          <w:rFonts w:ascii="Times New Roman" w:eastAsia="SimSun" w:hAnsi="Times New Roman" w:cs="Times New Roman"/>
          <w:kern w:val="0"/>
          <w:sz w:val="28"/>
          <w:szCs w:val="28"/>
          <w14:ligatures w14:val="none"/>
        </w:rPr>
        <w:t>体现了中原文化对外来艺术的吸纳与重构。狮子舞被纳入</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五方五色</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的五行体系，舞龙依季节变换龙色与舞者服饰，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鱼龙曼延</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融合了</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麟凤龟龙四灵</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的祥瑞观念。外来的拟兽表演在传入中原后，与本土的</w:t>
      </w:r>
      <w:r w:rsidRPr="0072735C">
        <w:rPr>
          <w:rFonts w:ascii="Times New Roman" w:eastAsia="SimSun" w:hAnsi="Times New Roman" w:cs="Times New Roman"/>
          <w:kern w:val="0"/>
          <w:sz w:val="28"/>
          <w:szCs w:val="28"/>
          <w14:ligatures w14:val="none"/>
        </w:rPr>
        <w:lastRenderedPageBreak/>
        <w:t>宇宙观念、宗教信仰、礼乐制度深度融合，完成了从</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胡舞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华乐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的文化转型。</w:t>
      </w:r>
    </w:p>
    <w:p w14:paraId="3266FE59" w14:textId="0327228E" w:rsidR="0072735C" w:rsidRPr="0072735C" w:rsidRDefault="0072735C" w:rsidP="0072735C">
      <w:pPr>
        <w:spacing w:after="240" w:line="240" w:lineRule="auto"/>
        <w:rPr>
          <w:rFonts w:ascii="Times New Roman" w:eastAsia="SimSun" w:hAnsi="Times New Roman" w:cs="Times New Roman"/>
          <w:kern w:val="0"/>
          <w:sz w:val="28"/>
          <w:szCs w:val="28"/>
          <w:lang w:val="en-US"/>
          <w14:ligatures w14:val="none"/>
        </w:rPr>
      </w:pPr>
      <w:r w:rsidRPr="0072735C">
        <w:rPr>
          <w:rFonts w:ascii="Times New Roman" w:eastAsia="SimSun" w:hAnsi="Times New Roman" w:cs="Times New Roman"/>
          <w:b/>
          <w:bCs/>
          <w:kern w:val="0"/>
          <w:sz w:val="28"/>
          <w:szCs w:val="28"/>
          <w14:ligatures w14:val="none"/>
        </w:rPr>
        <w:t>家国情怀的寄托</w:t>
      </w:r>
      <w:r w:rsidRPr="0072735C">
        <w:rPr>
          <w:rFonts w:ascii="Times New Roman" w:eastAsia="SimSun" w:hAnsi="Times New Roman" w:cs="Times New Roman"/>
          <w:kern w:val="0"/>
          <w:sz w:val="28"/>
          <w:szCs w:val="28"/>
          <w14:ligatures w14:val="none"/>
        </w:rPr>
        <w:t>使拟兽书写超越了娱乐记录的层面。白居易借狮子舞抒写西域失守的国殇之痛，李约借舞龙祈雨讽刺贵族对民生的漠视，张九龄将舞龙提升到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天人感应</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的高度。拟兽表演在文学书写中成为承载历史记忆、民族情感与政治关怀的文化符号。</w:t>
      </w:r>
      <w:r w:rsidR="00D5768F">
        <w:rPr>
          <w:rFonts w:ascii="Times New Roman" w:eastAsia="SimSun" w:hAnsi="Times New Roman" w:cs="Times New Roman"/>
          <w:kern w:val="0"/>
          <w:sz w:val="28"/>
          <w:szCs w:val="28"/>
          <w:lang w:val="en-US"/>
          <w14:ligatures w14:val="none"/>
        </w:rPr>
        <w:t xml:space="preserve"> </w:t>
      </w:r>
    </w:p>
    <w:p w14:paraId="34387845" w14:textId="77777777" w:rsidR="0072735C" w:rsidRPr="0072735C" w:rsidRDefault="0072735C" w:rsidP="0072735C">
      <w:pPr>
        <w:spacing w:before="360" w:after="240" w:line="240" w:lineRule="auto"/>
        <w:outlineLvl w:val="2"/>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三、驯兽与拟兽书写的共性特征</w:t>
      </w:r>
    </w:p>
    <w:p w14:paraId="756AC40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驯兽与拟兽书写虽有差异，却也呈现出共同的叙事特征。</w:t>
      </w:r>
    </w:p>
    <w:p w14:paraId="1BEF665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其一，史料类型的多元互补。</w:t>
      </w:r>
      <w:r w:rsidRPr="0072735C">
        <w:rPr>
          <w:rFonts w:ascii="Times New Roman" w:eastAsia="SimSun" w:hAnsi="Times New Roman" w:cs="Times New Roman"/>
          <w:kern w:val="0"/>
          <w:sz w:val="28"/>
          <w:szCs w:val="28"/>
          <w14:ligatures w14:val="none"/>
        </w:rPr>
        <w:t> </w:t>
      </w:r>
      <w:r w:rsidRPr="0072735C">
        <w:rPr>
          <w:rFonts w:ascii="Times New Roman" w:eastAsia="SimSun" w:hAnsi="Times New Roman" w:cs="Times New Roman"/>
          <w:kern w:val="0"/>
          <w:sz w:val="28"/>
          <w:szCs w:val="28"/>
          <w14:ligatures w14:val="none"/>
        </w:rPr>
        <w:t>史书（本纪、礼乐志）奠定事件脉络，文学作品（辞赋、诗文）补充场景细节，类书（《太平御览》《艺文类聚》）汇编零散史料，笔记小说（《西京杂记》《明皇杂录》）提供民间视角，共同构建了立体的历史图景。</w:t>
      </w:r>
    </w:p>
    <w:p w14:paraId="4A36B03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其二，政治象征的深度渗透。</w:t>
      </w:r>
      <w:r w:rsidRPr="0072735C">
        <w:rPr>
          <w:rFonts w:ascii="Times New Roman" w:eastAsia="SimSun" w:hAnsi="Times New Roman" w:cs="Times New Roman"/>
          <w:kern w:val="0"/>
          <w:sz w:val="28"/>
          <w:szCs w:val="28"/>
          <w14:ligatures w14:val="none"/>
        </w:rPr>
        <w:t> </w:t>
      </w:r>
      <w:r w:rsidRPr="0072735C">
        <w:rPr>
          <w:rFonts w:ascii="Times New Roman" w:eastAsia="SimSun" w:hAnsi="Times New Roman" w:cs="Times New Roman"/>
          <w:kern w:val="0"/>
          <w:sz w:val="28"/>
          <w:szCs w:val="28"/>
          <w14:ligatures w14:val="none"/>
        </w:rPr>
        <w:t>无论是驯兽（舞马、驯象）还是拟兽（狮子舞、鱼龙曼延），其记载始终与朝贡体系、盛世叙事绑定。动物表演被赋予</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祥瑞</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国力</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四夷归附</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的隐喻意义，成为政治宣传的文化载体。</w:t>
      </w:r>
    </w:p>
    <w:p w14:paraId="2F12EAD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其三，时代变迁的敏感映射。</w:t>
      </w:r>
      <w:r w:rsidRPr="0072735C">
        <w:rPr>
          <w:rFonts w:ascii="Times New Roman" w:eastAsia="SimSun" w:hAnsi="Times New Roman" w:cs="Times New Roman"/>
          <w:kern w:val="0"/>
          <w:sz w:val="28"/>
          <w:szCs w:val="28"/>
          <w14:ligatures w14:val="none"/>
        </w:rPr>
        <w:t> </w:t>
      </w:r>
      <w:r w:rsidRPr="0072735C">
        <w:rPr>
          <w:rFonts w:ascii="Times New Roman" w:eastAsia="SimSun" w:hAnsi="Times New Roman" w:cs="Times New Roman"/>
          <w:kern w:val="0"/>
          <w:sz w:val="28"/>
          <w:szCs w:val="28"/>
          <w14:ligatures w14:val="none"/>
        </w:rPr>
        <w:t>从汉魏的简略记录到唐代的繁密书写，从盛世的奢华描写到战乱后的悲剧叙事，书写内容与风格的变化直接呼应着王朝兴衰与社会心态的转变。驯兽与拟兽书写不仅是艺术史的重要资料，更成为解读古代政治、文化与社会的珍贵窗口。</w:t>
      </w:r>
    </w:p>
    <w:p w14:paraId="03C76704"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b/>
          <w:bCs/>
          <w:kern w:val="0"/>
          <w:sz w:val="28"/>
          <w:szCs w:val="28"/>
          <w14:ligatures w14:val="none"/>
        </w:rPr>
        <w:t>其四，遗失与留存的遗憾并存。</w:t>
      </w:r>
      <w:r w:rsidRPr="0072735C">
        <w:rPr>
          <w:rFonts w:ascii="Times New Roman" w:eastAsia="SimSun" w:hAnsi="Times New Roman" w:cs="Times New Roman"/>
          <w:kern w:val="0"/>
          <w:sz w:val="28"/>
          <w:szCs w:val="28"/>
          <w14:ligatures w14:val="none"/>
        </w:rPr>
        <w:t> </w:t>
      </w:r>
      <w:r w:rsidRPr="0072735C">
        <w:rPr>
          <w:rFonts w:ascii="Times New Roman" w:eastAsia="SimSun" w:hAnsi="Times New Roman" w:cs="Times New Roman"/>
          <w:kern w:val="0"/>
          <w:sz w:val="28"/>
          <w:szCs w:val="28"/>
          <w14:ligatures w14:val="none"/>
        </w:rPr>
        <w:t>如舞马乐曲《倾杯乐》《饮酒乐》的乐谱失传，狮子舞具体动作的细节模糊，反映了历史书写的碎片化特征。而现存史料的相互印证，则为后人留下了探寻驯兽与拟兽百戏真实面貌的线索。</w:t>
      </w:r>
    </w:p>
    <w:p w14:paraId="13C7A71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综上所述，驯兽与拟兽类百戏的书写，既是中国传统表演艺术史的重要组成部分，也是理解古代政治象征、文化交流与社会心态的独特视角。通过历史书写与文学书写的互参互证，我们得以窥见这两类百戏在中国传统文化中的独特地位与深远影响。</w:t>
      </w:r>
    </w:p>
    <w:p w14:paraId="6D61343B" w14:textId="77777777" w:rsidR="0072735C" w:rsidRPr="0072735C" w:rsidRDefault="0072735C" w:rsidP="0072735C">
      <w:pPr>
        <w:spacing w:before="360" w:after="240" w:line="240" w:lineRule="auto"/>
        <w:outlineLvl w:val="1"/>
        <w:rPr>
          <w:rFonts w:ascii="Times New Roman" w:eastAsia="SimSun" w:hAnsi="Times New Roman" w:cs="Times New Roman"/>
          <w:b/>
          <w:bCs/>
          <w:kern w:val="0"/>
          <w:sz w:val="28"/>
          <w:szCs w:val="28"/>
          <w14:ligatures w14:val="none"/>
        </w:rPr>
      </w:pPr>
      <w:r w:rsidRPr="0072735C">
        <w:rPr>
          <w:rFonts w:ascii="Times New Roman" w:eastAsia="SimSun" w:hAnsi="Times New Roman" w:cs="Times New Roman"/>
          <w:b/>
          <w:bCs/>
          <w:kern w:val="0"/>
          <w:sz w:val="28"/>
          <w:szCs w:val="28"/>
          <w14:ligatures w14:val="none"/>
        </w:rPr>
        <w:t>参考文献</w:t>
      </w:r>
    </w:p>
    <w:p w14:paraId="451D9B5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[1]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郑锡：《正月初一含元殿观百兽率舞赋》，载（清）董诰等编《全唐文》卷四五二，北京：中华书局</w:t>
      </w:r>
      <w:r w:rsidRPr="0072735C">
        <w:rPr>
          <w:rFonts w:ascii="Times New Roman" w:eastAsia="SimSun" w:hAnsi="Times New Roman" w:cs="Times New Roman"/>
          <w:kern w:val="0"/>
          <w:sz w:val="28"/>
          <w:szCs w:val="28"/>
          <w14:ligatures w14:val="none"/>
        </w:rPr>
        <w:t>1983</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4616</w:t>
      </w:r>
      <w:r w:rsidRPr="0072735C">
        <w:rPr>
          <w:rFonts w:ascii="Times New Roman" w:eastAsia="SimSun" w:hAnsi="Times New Roman" w:cs="Times New Roman"/>
          <w:kern w:val="0"/>
          <w:sz w:val="28"/>
          <w:szCs w:val="28"/>
          <w14:ligatures w14:val="none"/>
        </w:rPr>
        <w:t>页。</w:t>
      </w:r>
    </w:p>
    <w:p w14:paraId="1BDD45A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 xml:space="preserve">[2] </w:t>
      </w:r>
      <w:r w:rsidRPr="0072735C">
        <w:rPr>
          <w:rFonts w:ascii="Times New Roman" w:eastAsia="SimSun" w:hAnsi="Times New Roman" w:cs="Times New Roman"/>
          <w:kern w:val="0"/>
          <w:sz w:val="28"/>
          <w:szCs w:val="28"/>
          <w14:ligatures w14:val="none"/>
        </w:rPr>
        <w:t>同上。</w:t>
      </w:r>
    </w:p>
    <w:p w14:paraId="12C4EFF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[3] [</w:t>
      </w:r>
      <w:r w:rsidRPr="0072735C">
        <w:rPr>
          <w:rFonts w:ascii="Times New Roman" w:eastAsia="SimSun" w:hAnsi="Times New Roman" w:cs="Times New Roman"/>
          <w:kern w:val="0"/>
          <w:sz w:val="28"/>
          <w:szCs w:val="28"/>
          <w14:ligatures w14:val="none"/>
        </w:rPr>
        <w:t>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司马迁：《史记》卷六十九《苏秦列传》，北京：中华书局</w:t>
      </w:r>
      <w:r w:rsidRPr="0072735C">
        <w:rPr>
          <w:rFonts w:ascii="Times New Roman" w:eastAsia="SimSun" w:hAnsi="Times New Roman" w:cs="Times New Roman"/>
          <w:kern w:val="0"/>
          <w:sz w:val="28"/>
          <w:szCs w:val="28"/>
          <w14:ligatures w14:val="none"/>
        </w:rPr>
        <w:t>1959</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2241</w:t>
      </w:r>
      <w:r w:rsidRPr="0072735C">
        <w:rPr>
          <w:rFonts w:ascii="Times New Roman" w:eastAsia="SimSun" w:hAnsi="Times New Roman" w:cs="Times New Roman"/>
          <w:kern w:val="0"/>
          <w:sz w:val="28"/>
          <w:szCs w:val="28"/>
          <w14:ligatures w14:val="none"/>
        </w:rPr>
        <w:t>页。</w:t>
      </w:r>
    </w:p>
    <w:p w14:paraId="2837366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 [</w:t>
      </w:r>
      <w:r w:rsidRPr="0072735C">
        <w:rPr>
          <w:rFonts w:ascii="Times New Roman" w:eastAsia="SimSun" w:hAnsi="Times New Roman" w:cs="Times New Roman"/>
          <w:kern w:val="0"/>
          <w:sz w:val="28"/>
          <w:szCs w:val="28"/>
          <w14:ligatures w14:val="none"/>
        </w:rPr>
        <w:t>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葛洪撰，成林、程章灿译注：《西京杂记全译》，贵阳：贵州人民出版社</w:t>
      </w:r>
      <w:r w:rsidRPr="0072735C">
        <w:rPr>
          <w:rFonts w:ascii="Times New Roman" w:eastAsia="SimSun" w:hAnsi="Times New Roman" w:cs="Times New Roman"/>
          <w:kern w:val="0"/>
          <w:sz w:val="28"/>
          <w:szCs w:val="28"/>
          <w14:ligatures w14:val="none"/>
        </w:rPr>
        <w:t>1993</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62</w:t>
      </w:r>
      <w:r w:rsidRPr="0072735C">
        <w:rPr>
          <w:rFonts w:ascii="Times New Roman" w:eastAsia="SimSun" w:hAnsi="Times New Roman" w:cs="Times New Roman"/>
          <w:kern w:val="0"/>
          <w:sz w:val="28"/>
          <w:szCs w:val="28"/>
          <w14:ligatures w14:val="none"/>
        </w:rPr>
        <w:t>页。</w:t>
      </w:r>
    </w:p>
    <w:p w14:paraId="692E7BBC"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[5]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欧阳询撰，汪绍楹校：《艺文类聚》卷九十五，上海：上海古籍出版社</w:t>
      </w:r>
      <w:r w:rsidRPr="0072735C">
        <w:rPr>
          <w:rFonts w:ascii="Times New Roman" w:eastAsia="SimSun" w:hAnsi="Times New Roman" w:cs="Times New Roman"/>
          <w:kern w:val="0"/>
          <w:sz w:val="28"/>
          <w:szCs w:val="28"/>
          <w14:ligatures w14:val="none"/>
        </w:rPr>
        <w:t>1982</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1643</w:t>
      </w:r>
      <w:r w:rsidRPr="0072735C">
        <w:rPr>
          <w:rFonts w:ascii="Times New Roman" w:eastAsia="SimSun" w:hAnsi="Times New Roman" w:cs="Times New Roman"/>
          <w:kern w:val="0"/>
          <w:sz w:val="28"/>
          <w:szCs w:val="28"/>
          <w14:ligatures w14:val="none"/>
        </w:rPr>
        <w:t>页。</w:t>
      </w:r>
    </w:p>
    <w:p w14:paraId="374DBA3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[6]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欧阳询撰，汪绍楹校：《艺文类聚》卷九十五，上海：上海古籍出版社</w:t>
      </w:r>
      <w:r w:rsidRPr="0072735C">
        <w:rPr>
          <w:rFonts w:ascii="Times New Roman" w:eastAsia="SimSun" w:hAnsi="Times New Roman" w:cs="Times New Roman"/>
          <w:kern w:val="0"/>
          <w:sz w:val="28"/>
          <w:szCs w:val="28"/>
          <w14:ligatures w14:val="none"/>
        </w:rPr>
        <w:t>1982</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1644</w:t>
      </w:r>
      <w:r w:rsidRPr="0072735C">
        <w:rPr>
          <w:rFonts w:ascii="Times New Roman" w:eastAsia="SimSun" w:hAnsi="Times New Roman" w:cs="Times New Roman"/>
          <w:kern w:val="0"/>
          <w:sz w:val="28"/>
          <w:szCs w:val="28"/>
          <w14:ligatures w14:val="none"/>
        </w:rPr>
        <w:t>页。</w:t>
      </w:r>
    </w:p>
    <w:p w14:paraId="3BEE489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[7]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杜佑撰，王文锦等点校：《通典》卷一四五，北京：中华书局</w:t>
      </w:r>
      <w:r w:rsidRPr="0072735C">
        <w:rPr>
          <w:rFonts w:ascii="Times New Roman" w:eastAsia="SimSun" w:hAnsi="Times New Roman" w:cs="Times New Roman"/>
          <w:kern w:val="0"/>
          <w:sz w:val="28"/>
          <w:szCs w:val="28"/>
          <w14:ligatures w14:val="none"/>
        </w:rPr>
        <w:t>1988</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3709</w:t>
      </w:r>
      <w:r w:rsidRPr="0072735C">
        <w:rPr>
          <w:rFonts w:ascii="Times New Roman" w:eastAsia="SimSun" w:hAnsi="Times New Roman" w:cs="Times New Roman"/>
          <w:kern w:val="0"/>
          <w:sz w:val="28"/>
          <w:szCs w:val="28"/>
          <w14:ligatures w14:val="none"/>
        </w:rPr>
        <w:t>页。</w:t>
      </w:r>
    </w:p>
    <w:p w14:paraId="3F63BCE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[8]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刘昫等撰：《旧唐书》卷二十九《音乐志二》，北京：中华书局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1051</w:t>
      </w:r>
      <w:r w:rsidRPr="0072735C">
        <w:rPr>
          <w:rFonts w:ascii="Times New Roman" w:eastAsia="SimSun" w:hAnsi="Times New Roman" w:cs="Times New Roman"/>
          <w:kern w:val="0"/>
          <w:sz w:val="28"/>
          <w:szCs w:val="28"/>
          <w14:ligatures w14:val="none"/>
        </w:rPr>
        <w:t>页。</w:t>
      </w:r>
    </w:p>
    <w:p w14:paraId="70536B1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[9]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欧阳修、宋祁撰：《新唐书》卷二十二《礼乐志十二》，北京：中华书局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477</w:t>
      </w:r>
      <w:r w:rsidRPr="0072735C">
        <w:rPr>
          <w:rFonts w:ascii="Times New Roman" w:eastAsia="SimSun" w:hAnsi="Times New Roman" w:cs="Times New Roman"/>
          <w:kern w:val="0"/>
          <w:sz w:val="28"/>
          <w:szCs w:val="28"/>
          <w14:ligatures w14:val="none"/>
        </w:rPr>
        <w:t>页。</w:t>
      </w:r>
    </w:p>
    <w:p w14:paraId="4B3F7A5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[10]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司马光编著，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元</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胡三省音注：《资治通鉴》卷二一八，北京：中华书局</w:t>
      </w:r>
      <w:r w:rsidRPr="0072735C">
        <w:rPr>
          <w:rFonts w:ascii="Times New Roman" w:eastAsia="SimSun" w:hAnsi="Times New Roman" w:cs="Times New Roman"/>
          <w:kern w:val="0"/>
          <w:sz w:val="28"/>
          <w:szCs w:val="28"/>
          <w14:ligatures w14:val="none"/>
        </w:rPr>
        <w:t>1956</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6994</w:t>
      </w:r>
      <w:r w:rsidRPr="0072735C">
        <w:rPr>
          <w:rFonts w:ascii="Times New Roman" w:eastAsia="SimSun" w:hAnsi="Times New Roman" w:cs="Times New Roman"/>
          <w:kern w:val="0"/>
          <w:sz w:val="28"/>
          <w:szCs w:val="28"/>
          <w14:ligatures w14:val="none"/>
        </w:rPr>
        <w:t>页。</w:t>
      </w:r>
    </w:p>
    <w:p w14:paraId="5D46201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[11]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郑处诲撰，田廷柱点校：《明皇杂录》，北京：中华书局</w:t>
      </w:r>
      <w:r w:rsidRPr="0072735C">
        <w:rPr>
          <w:rFonts w:ascii="Times New Roman" w:eastAsia="SimSun" w:hAnsi="Times New Roman" w:cs="Times New Roman"/>
          <w:kern w:val="0"/>
          <w:sz w:val="28"/>
          <w:szCs w:val="28"/>
          <w14:ligatures w14:val="none"/>
        </w:rPr>
        <w:t>1994</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45</w:t>
      </w:r>
      <w:r w:rsidRPr="0072735C">
        <w:rPr>
          <w:rFonts w:ascii="Times New Roman" w:eastAsia="SimSun" w:hAnsi="Times New Roman" w:cs="Times New Roman"/>
          <w:kern w:val="0"/>
          <w:sz w:val="28"/>
          <w:szCs w:val="28"/>
          <w14:ligatures w14:val="none"/>
        </w:rPr>
        <w:t>页。</w:t>
      </w:r>
    </w:p>
    <w:p w14:paraId="664B130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[12]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刘昫等撰：《旧唐书》卷十二《德宗本纪上》，北京：中华书局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364</w:t>
      </w:r>
      <w:r w:rsidRPr="0072735C">
        <w:rPr>
          <w:rFonts w:ascii="Times New Roman" w:eastAsia="SimSun" w:hAnsi="Times New Roman" w:cs="Times New Roman"/>
          <w:kern w:val="0"/>
          <w:sz w:val="28"/>
          <w:szCs w:val="28"/>
          <w14:ligatures w14:val="none"/>
        </w:rPr>
        <w:t>页。</w:t>
      </w:r>
    </w:p>
    <w:p w14:paraId="69262EF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[13] [</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董诰等编：《全唐文》卷九八三，北京：中华书局</w:t>
      </w:r>
      <w:r w:rsidRPr="0072735C">
        <w:rPr>
          <w:rFonts w:ascii="Times New Roman" w:eastAsia="SimSun" w:hAnsi="Times New Roman" w:cs="Times New Roman"/>
          <w:kern w:val="0"/>
          <w:sz w:val="28"/>
          <w:szCs w:val="28"/>
          <w14:ligatures w14:val="none"/>
        </w:rPr>
        <w:t>1983</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9983</w:t>
      </w:r>
      <w:r w:rsidRPr="0072735C">
        <w:rPr>
          <w:rFonts w:ascii="Times New Roman" w:eastAsia="SimSun" w:hAnsi="Times New Roman" w:cs="Times New Roman"/>
          <w:kern w:val="0"/>
          <w:sz w:val="28"/>
          <w:szCs w:val="28"/>
          <w14:ligatures w14:val="none"/>
        </w:rPr>
        <w:t>页。</w:t>
      </w:r>
    </w:p>
    <w:p w14:paraId="78E391E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 xml:space="preserve">[14] </w:t>
      </w:r>
      <w:r w:rsidRPr="0072735C">
        <w:rPr>
          <w:rFonts w:ascii="Times New Roman" w:eastAsia="SimSun" w:hAnsi="Times New Roman" w:cs="Times New Roman"/>
          <w:kern w:val="0"/>
          <w:sz w:val="28"/>
          <w:szCs w:val="28"/>
          <w14:ligatures w14:val="none"/>
        </w:rPr>
        <w:t>同上。</w:t>
      </w:r>
    </w:p>
    <w:p w14:paraId="4D60B67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[15] [</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彭定求等编：《全唐诗》（增订本）卷二七五，北京：中华书局</w:t>
      </w:r>
      <w:r w:rsidRPr="0072735C">
        <w:rPr>
          <w:rFonts w:ascii="Times New Roman" w:eastAsia="SimSun" w:hAnsi="Times New Roman" w:cs="Times New Roman"/>
          <w:kern w:val="0"/>
          <w:sz w:val="28"/>
          <w:szCs w:val="28"/>
          <w14:ligatures w14:val="none"/>
        </w:rPr>
        <w:t>1999</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1447</w:t>
      </w:r>
      <w:r w:rsidRPr="0072735C">
        <w:rPr>
          <w:rFonts w:ascii="Times New Roman" w:eastAsia="SimSun" w:hAnsi="Times New Roman" w:cs="Times New Roman"/>
          <w:kern w:val="0"/>
          <w:sz w:val="28"/>
          <w:szCs w:val="28"/>
          <w14:ligatures w14:val="none"/>
        </w:rPr>
        <w:t>页。</w:t>
      </w:r>
    </w:p>
    <w:p w14:paraId="1244B69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[16] [</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彭定求等编：《全唐诗》（增订本）卷二二三，北京：中华书局</w:t>
      </w:r>
      <w:r w:rsidRPr="0072735C">
        <w:rPr>
          <w:rFonts w:ascii="Times New Roman" w:eastAsia="SimSun" w:hAnsi="Times New Roman" w:cs="Times New Roman"/>
          <w:kern w:val="0"/>
          <w:sz w:val="28"/>
          <w:szCs w:val="28"/>
          <w14:ligatures w14:val="none"/>
        </w:rPr>
        <w:t>1999</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2521</w:t>
      </w:r>
      <w:r w:rsidRPr="0072735C">
        <w:rPr>
          <w:rFonts w:ascii="Times New Roman" w:eastAsia="SimSun" w:hAnsi="Times New Roman" w:cs="Times New Roman"/>
          <w:kern w:val="0"/>
          <w:sz w:val="28"/>
          <w:szCs w:val="28"/>
          <w14:ligatures w14:val="none"/>
        </w:rPr>
        <w:t>页。</w:t>
      </w:r>
    </w:p>
    <w:p w14:paraId="711DA40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[17] [</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彭定求等编：《全唐诗》（增订本）卷六一八，北京：中华书局</w:t>
      </w:r>
      <w:r w:rsidRPr="0072735C">
        <w:rPr>
          <w:rFonts w:ascii="Times New Roman" w:eastAsia="SimSun" w:hAnsi="Times New Roman" w:cs="Times New Roman"/>
          <w:kern w:val="0"/>
          <w:sz w:val="28"/>
          <w:szCs w:val="28"/>
          <w14:ligatures w14:val="none"/>
        </w:rPr>
        <w:t>1999</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7225</w:t>
      </w:r>
      <w:r w:rsidRPr="0072735C">
        <w:rPr>
          <w:rFonts w:ascii="Times New Roman" w:eastAsia="SimSun" w:hAnsi="Times New Roman" w:cs="Times New Roman"/>
          <w:kern w:val="0"/>
          <w:sz w:val="28"/>
          <w:szCs w:val="28"/>
          <w14:ligatures w14:val="none"/>
        </w:rPr>
        <w:t>页。</w:t>
      </w:r>
    </w:p>
    <w:p w14:paraId="1929C2C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[18]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王溥撰：《唐会要》卷九十八，上海：上海古籍出版社</w:t>
      </w:r>
      <w:r w:rsidRPr="0072735C">
        <w:rPr>
          <w:rFonts w:ascii="Times New Roman" w:eastAsia="SimSun" w:hAnsi="Times New Roman" w:cs="Times New Roman"/>
          <w:kern w:val="0"/>
          <w:sz w:val="28"/>
          <w:szCs w:val="28"/>
          <w14:ligatures w14:val="none"/>
        </w:rPr>
        <w:t>2006</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2085</w:t>
      </w:r>
      <w:r w:rsidRPr="0072735C">
        <w:rPr>
          <w:rFonts w:ascii="Times New Roman" w:eastAsia="SimSun" w:hAnsi="Times New Roman" w:cs="Times New Roman"/>
          <w:kern w:val="0"/>
          <w:sz w:val="28"/>
          <w:szCs w:val="28"/>
          <w14:ligatures w14:val="none"/>
        </w:rPr>
        <w:t>页。</w:t>
      </w:r>
    </w:p>
    <w:p w14:paraId="7223503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[19]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王溥撰：《唐会要》卷九十八，上海：上海古籍出版社</w:t>
      </w:r>
      <w:r w:rsidRPr="0072735C">
        <w:rPr>
          <w:rFonts w:ascii="Times New Roman" w:eastAsia="SimSun" w:hAnsi="Times New Roman" w:cs="Times New Roman"/>
          <w:kern w:val="0"/>
          <w:sz w:val="28"/>
          <w:szCs w:val="28"/>
          <w14:ligatures w14:val="none"/>
        </w:rPr>
        <w:t>2006</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2086</w:t>
      </w:r>
      <w:r w:rsidRPr="0072735C">
        <w:rPr>
          <w:rFonts w:ascii="Times New Roman" w:eastAsia="SimSun" w:hAnsi="Times New Roman" w:cs="Times New Roman"/>
          <w:kern w:val="0"/>
          <w:sz w:val="28"/>
          <w:szCs w:val="28"/>
          <w14:ligatures w14:val="none"/>
        </w:rPr>
        <w:t>页。</w:t>
      </w:r>
    </w:p>
    <w:p w14:paraId="4FC8759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[20]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欧阳修、宋祁撰：《新唐书》卷二二二下《南蛮传下》，北京：中华书局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6298</w:t>
      </w:r>
      <w:r w:rsidRPr="0072735C">
        <w:rPr>
          <w:rFonts w:ascii="Times New Roman" w:eastAsia="SimSun" w:hAnsi="Times New Roman" w:cs="Times New Roman"/>
          <w:kern w:val="0"/>
          <w:sz w:val="28"/>
          <w:szCs w:val="28"/>
          <w14:ligatures w14:val="none"/>
        </w:rPr>
        <w:t>页。</w:t>
      </w:r>
    </w:p>
    <w:p w14:paraId="585308A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[21]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欧阳修、宋祁撰：《新唐书》卷二二二下《南蛮传下》，北京：中华书局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6301</w:t>
      </w:r>
      <w:r w:rsidRPr="0072735C">
        <w:rPr>
          <w:rFonts w:ascii="Times New Roman" w:eastAsia="SimSun" w:hAnsi="Times New Roman" w:cs="Times New Roman"/>
          <w:kern w:val="0"/>
          <w:sz w:val="28"/>
          <w:szCs w:val="28"/>
          <w14:ligatures w14:val="none"/>
        </w:rPr>
        <w:t>页。</w:t>
      </w:r>
    </w:p>
    <w:p w14:paraId="047ED0D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[22]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刘昫等撰：《旧唐书》卷四《高宗本纪上》，北京：中华书局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72</w:t>
      </w:r>
      <w:r w:rsidRPr="0072735C">
        <w:rPr>
          <w:rFonts w:ascii="Times New Roman" w:eastAsia="SimSun" w:hAnsi="Times New Roman" w:cs="Times New Roman"/>
          <w:kern w:val="0"/>
          <w:sz w:val="28"/>
          <w:szCs w:val="28"/>
          <w14:ligatures w14:val="none"/>
        </w:rPr>
        <w:t>页。</w:t>
      </w:r>
    </w:p>
    <w:p w14:paraId="101FC05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[23]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刘昫等撰：《旧唐书》卷十一《代宗本纪》，北京：中华书局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298</w:t>
      </w:r>
      <w:r w:rsidRPr="0072735C">
        <w:rPr>
          <w:rFonts w:ascii="Times New Roman" w:eastAsia="SimSun" w:hAnsi="Times New Roman" w:cs="Times New Roman"/>
          <w:kern w:val="0"/>
          <w:sz w:val="28"/>
          <w:szCs w:val="28"/>
          <w14:ligatures w14:val="none"/>
        </w:rPr>
        <w:t>页。</w:t>
      </w:r>
    </w:p>
    <w:p w14:paraId="2D21E44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[24]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刘昫等撰：《旧唐书》卷一九七《南蛮传》，北京：中华书局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5270</w:t>
      </w:r>
      <w:r w:rsidRPr="0072735C">
        <w:rPr>
          <w:rFonts w:ascii="Times New Roman" w:eastAsia="SimSun" w:hAnsi="Times New Roman" w:cs="Times New Roman"/>
          <w:kern w:val="0"/>
          <w:sz w:val="28"/>
          <w:szCs w:val="28"/>
          <w14:ligatures w14:val="none"/>
        </w:rPr>
        <w:t>页。</w:t>
      </w:r>
    </w:p>
    <w:p w14:paraId="0840480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[25]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刘昫等撰：《旧唐书》卷一九七《南蛮传》，北京：中华书局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5273</w:t>
      </w:r>
      <w:r w:rsidRPr="0072735C">
        <w:rPr>
          <w:rFonts w:ascii="Times New Roman" w:eastAsia="SimSun" w:hAnsi="Times New Roman" w:cs="Times New Roman"/>
          <w:kern w:val="0"/>
          <w:sz w:val="28"/>
          <w:szCs w:val="28"/>
          <w14:ligatures w14:val="none"/>
        </w:rPr>
        <w:t>页。</w:t>
      </w:r>
    </w:p>
    <w:p w14:paraId="2516DC4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[26]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刘昫等撰：《旧唐书》卷二十九《音乐志二》，北京：中华书局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1051</w:t>
      </w:r>
      <w:r w:rsidRPr="0072735C">
        <w:rPr>
          <w:rFonts w:ascii="Times New Roman" w:eastAsia="SimSun" w:hAnsi="Times New Roman" w:cs="Times New Roman"/>
          <w:kern w:val="0"/>
          <w:sz w:val="28"/>
          <w:szCs w:val="28"/>
          <w14:ligatures w14:val="none"/>
        </w:rPr>
        <w:t>页。</w:t>
      </w:r>
    </w:p>
    <w:p w14:paraId="790E479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[27]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欧阳修、宋祁撰：《新唐书》卷二十二《礼乐志十二》，北京：中华书局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477</w:t>
      </w:r>
      <w:r w:rsidRPr="0072735C">
        <w:rPr>
          <w:rFonts w:ascii="Times New Roman" w:eastAsia="SimSun" w:hAnsi="Times New Roman" w:cs="Times New Roman"/>
          <w:kern w:val="0"/>
          <w:sz w:val="28"/>
          <w:szCs w:val="28"/>
          <w14:ligatures w14:val="none"/>
        </w:rPr>
        <w:t>页。</w:t>
      </w:r>
    </w:p>
    <w:p w14:paraId="33DC7E7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[28]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欧阳修、宋祁撰：《新唐书》卷二二二下《南蛮传下》，北京：中华书局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6300</w:t>
      </w:r>
      <w:r w:rsidRPr="0072735C">
        <w:rPr>
          <w:rFonts w:ascii="Times New Roman" w:eastAsia="SimSun" w:hAnsi="Times New Roman" w:cs="Times New Roman"/>
          <w:kern w:val="0"/>
          <w:sz w:val="28"/>
          <w:szCs w:val="28"/>
          <w14:ligatures w14:val="none"/>
        </w:rPr>
        <w:t>页。</w:t>
      </w:r>
    </w:p>
    <w:p w14:paraId="2CEC473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[29]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司马光编著，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元</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胡三省音注：《资治通鉴》卷二二五，北京：中华书局</w:t>
      </w:r>
      <w:r w:rsidRPr="0072735C">
        <w:rPr>
          <w:rFonts w:ascii="Times New Roman" w:eastAsia="SimSun" w:hAnsi="Times New Roman" w:cs="Times New Roman"/>
          <w:kern w:val="0"/>
          <w:sz w:val="28"/>
          <w:szCs w:val="28"/>
          <w14:ligatures w14:val="none"/>
        </w:rPr>
        <w:t>1956</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7251</w:t>
      </w:r>
      <w:r w:rsidRPr="0072735C">
        <w:rPr>
          <w:rFonts w:ascii="Times New Roman" w:eastAsia="SimSun" w:hAnsi="Times New Roman" w:cs="Times New Roman"/>
          <w:kern w:val="0"/>
          <w:sz w:val="28"/>
          <w:szCs w:val="28"/>
          <w14:ligatures w14:val="none"/>
        </w:rPr>
        <w:t>页。</w:t>
      </w:r>
    </w:p>
    <w:p w14:paraId="7F74D45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[30]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刘昫等撰：《旧唐书》卷十三《德宗本纪下》，北京：中华书局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382</w:t>
      </w:r>
      <w:r w:rsidRPr="0072735C">
        <w:rPr>
          <w:rFonts w:ascii="Times New Roman" w:eastAsia="SimSun" w:hAnsi="Times New Roman" w:cs="Times New Roman"/>
          <w:kern w:val="0"/>
          <w:sz w:val="28"/>
          <w:szCs w:val="28"/>
          <w14:ligatures w14:val="none"/>
        </w:rPr>
        <w:t>页。</w:t>
      </w:r>
    </w:p>
    <w:p w14:paraId="40039CEC"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[31] [</w:t>
      </w:r>
      <w:r w:rsidRPr="0072735C">
        <w:rPr>
          <w:rFonts w:ascii="Times New Roman" w:eastAsia="SimSun" w:hAnsi="Times New Roman" w:cs="Times New Roman"/>
          <w:kern w:val="0"/>
          <w:sz w:val="28"/>
          <w:szCs w:val="28"/>
          <w14:ligatures w14:val="none"/>
        </w:rPr>
        <w:t>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司马迁：《史记》卷六十九《苏秦列传》，北京：中华书局</w:t>
      </w:r>
      <w:r w:rsidRPr="0072735C">
        <w:rPr>
          <w:rFonts w:ascii="Times New Roman" w:eastAsia="SimSun" w:hAnsi="Times New Roman" w:cs="Times New Roman"/>
          <w:kern w:val="0"/>
          <w:sz w:val="28"/>
          <w:szCs w:val="28"/>
          <w14:ligatures w14:val="none"/>
        </w:rPr>
        <w:t>1959</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2241</w:t>
      </w:r>
      <w:r w:rsidRPr="0072735C">
        <w:rPr>
          <w:rFonts w:ascii="Times New Roman" w:eastAsia="SimSun" w:hAnsi="Times New Roman" w:cs="Times New Roman"/>
          <w:kern w:val="0"/>
          <w:sz w:val="28"/>
          <w:szCs w:val="28"/>
          <w14:ligatures w14:val="none"/>
        </w:rPr>
        <w:t>页。</w:t>
      </w:r>
    </w:p>
    <w:p w14:paraId="65A7D8E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[32] [</w:t>
      </w:r>
      <w:r w:rsidRPr="0072735C">
        <w:rPr>
          <w:rFonts w:ascii="Times New Roman" w:eastAsia="SimSun" w:hAnsi="Times New Roman" w:cs="Times New Roman"/>
          <w:kern w:val="0"/>
          <w:sz w:val="28"/>
          <w:szCs w:val="28"/>
          <w14:ligatures w14:val="none"/>
        </w:rPr>
        <w:t>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葛洪撰，成林、程章灿译注：《西京杂记全译》，贵阳：贵州人民出版社</w:t>
      </w:r>
      <w:r w:rsidRPr="0072735C">
        <w:rPr>
          <w:rFonts w:ascii="Times New Roman" w:eastAsia="SimSun" w:hAnsi="Times New Roman" w:cs="Times New Roman"/>
          <w:kern w:val="0"/>
          <w:sz w:val="28"/>
          <w:szCs w:val="28"/>
          <w14:ligatures w14:val="none"/>
        </w:rPr>
        <w:t>1993</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62</w:t>
      </w:r>
      <w:r w:rsidRPr="0072735C">
        <w:rPr>
          <w:rFonts w:ascii="Times New Roman" w:eastAsia="SimSun" w:hAnsi="Times New Roman" w:cs="Times New Roman"/>
          <w:kern w:val="0"/>
          <w:sz w:val="28"/>
          <w:szCs w:val="28"/>
          <w14:ligatures w14:val="none"/>
        </w:rPr>
        <w:t>页。</w:t>
      </w:r>
    </w:p>
    <w:p w14:paraId="733A227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[33]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陈鸿：《东城老父传》，载《太平广记》卷四八五，北京：中华书局</w:t>
      </w:r>
      <w:r w:rsidRPr="0072735C">
        <w:rPr>
          <w:rFonts w:ascii="Times New Roman" w:eastAsia="SimSun" w:hAnsi="Times New Roman" w:cs="Times New Roman"/>
          <w:kern w:val="0"/>
          <w:sz w:val="28"/>
          <w:szCs w:val="28"/>
          <w14:ligatures w14:val="none"/>
        </w:rPr>
        <w:t>1961</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3995</w:t>
      </w:r>
      <w:r w:rsidRPr="0072735C">
        <w:rPr>
          <w:rFonts w:ascii="Times New Roman" w:eastAsia="SimSun" w:hAnsi="Times New Roman" w:cs="Times New Roman"/>
          <w:kern w:val="0"/>
          <w:sz w:val="28"/>
          <w:szCs w:val="28"/>
          <w14:ligatures w14:val="none"/>
        </w:rPr>
        <w:t>页。</w:t>
      </w:r>
    </w:p>
    <w:p w14:paraId="184805D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[34] [</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彭定求等编：《全唐诗》卷八七八，郑州：中州古籍出版社</w:t>
      </w:r>
      <w:r w:rsidRPr="0072735C">
        <w:rPr>
          <w:rFonts w:ascii="Times New Roman" w:eastAsia="SimSun" w:hAnsi="Times New Roman" w:cs="Times New Roman"/>
          <w:kern w:val="0"/>
          <w:sz w:val="28"/>
          <w:szCs w:val="28"/>
          <w14:ligatures w14:val="none"/>
        </w:rPr>
        <w:t>2008</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4439</w:t>
      </w:r>
      <w:r w:rsidRPr="0072735C">
        <w:rPr>
          <w:rFonts w:ascii="Times New Roman" w:eastAsia="SimSun" w:hAnsi="Times New Roman" w:cs="Times New Roman"/>
          <w:kern w:val="0"/>
          <w:sz w:val="28"/>
          <w:szCs w:val="28"/>
          <w14:ligatures w14:val="none"/>
        </w:rPr>
        <w:t>页。</w:t>
      </w:r>
    </w:p>
    <w:p w14:paraId="1E1408C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[35] [</w:t>
      </w:r>
      <w:r w:rsidRPr="0072735C">
        <w:rPr>
          <w:rFonts w:ascii="Times New Roman" w:eastAsia="SimSun" w:hAnsi="Times New Roman" w:cs="Times New Roman"/>
          <w:kern w:val="0"/>
          <w:sz w:val="28"/>
          <w:szCs w:val="28"/>
          <w14:ligatures w14:val="none"/>
        </w:rPr>
        <w:t>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葛洪撰：《西京杂记》卷四，北京：中华书局</w:t>
      </w:r>
      <w:r w:rsidRPr="0072735C">
        <w:rPr>
          <w:rFonts w:ascii="Times New Roman" w:eastAsia="SimSun" w:hAnsi="Times New Roman" w:cs="Times New Roman"/>
          <w:kern w:val="0"/>
          <w:sz w:val="28"/>
          <w:szCs w:val="28"/>
          <w14:ligatures w14:val="none"/>
        </w:rPr>
        <w:t>1985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31</w:t>
      </w:r>
      <w:r w:rsidRPr="0072735C">
        <w:rPr>
          <w:rFonts w:ascii="Times New Roman" w:eastAsia="SimSun" w:hAnsi="Times New Roman" w:cs="Times New Roman"/>
          <w:kern w:val="0"/>
          <w:sz w:val="28"/>
          <w:szCs w:val="28"/>
          <w14:ligatures w14:val="none"/>
        </w:rPr>
        <w:t>页。</w:t>
      </w:r>
    </w:p>
    <w:p w14:paraId="01A0A83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[36] [</w:t>
      </w:r>
      <w:r w:rsidRPr="0072735C">
        <w:rPr>
          <w:rFonts w:ascii="Times New Roman" w:eastAsia="SimSun" w:hAnsi="Times New Roman" w:cs="Times New Roman"/>
          <w:kern w:val="0"/>
          <w:sz w:val="28"/>
          <w:szCs w:val="28"/>
          <w14:ligatures w14:val="none"/>
        </w:rPr>
        <w:t>南朝宋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刘义庆撰，刘孝标注：《世说新语》，北京：中华书局</w:t>
      </w:r>
      <w:r w:rsidRPr="0072735C">
        <w:rPr>
          <w:rFonts w:ascii="Times New Roman" w:eastAsia="SimSun" w:hAnsi="Times New Roman" w:cs="Times New Roman"/>
          <w:kern w:val="0"/>
          <w:sz w:val="28"/>
          <w:szCs w:val="28"/>
          <w14:ligatures w14:val="none"/>
        </w:rPr>
        <w:t>2011</w:t>
      </w:r>
      <w:r w:rsidRPr="0072735C">
        <w:rPr>
          <w:rFonts w:ascii="Times New Roman" w:eastAsia="SimSun" w:hAnsi="Times New Roman" w:cs="Times New Roman"/>
          <w:kern w:val="0"/>
          <w:sz w:val="28"/>
          <w:szCs w:val="28"/>
          <w14:ligatures w14:val="none"/>
        </w:rPr>
        <w:t>年版。</w:t>
      </w:r>
    </w:p>
    <w:p w14:paraId="0B60E546"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[37]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张鷟撰：《朝野佥载》卷六，北京：中华书局</w:t>
      </w:r>
      <w:r w:rsidRPr="0072735C">
        <w:rPr>
          <w:rFonts w:ascii="Times New Roman" w:eastAsia="SimSun" w:hAnsi="Times New Roman" w:cs="Times New Roman"/>
          <w:kern w:val="0"/>
          <w:sz w:val="28"/>
          <w:szCs w:val="28"/>
          <w14:ligatures w14:val="none"/>
        </w:rPr>
        <w:t>1979</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142</w:t>
      </w:r>
      <w:r w:rsidRPr="0072735C">
        <w:rPr>
          <w:rFonts w:ascii="Times New Roman" w:eastAsia="SimSun" w:hAnsi="Times New Roman" w:cs="Times New Roman"/>
          <w:kern w:val="0"/>
          <w:sz w:val="28"/>
          <w:szCs w:val="28"/>
          <w14:ligatures w14:val="none"/>
        </w:rPr>
        <w:t>页。</w:t>
      </w:r>
    </w:p>
    <w:p w14:paraId="1F486BE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[38]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苏鹗撰：《杜阳杂编》卷中，北京：中华书局</w:t>
      </w:r>
      <w:r w:rsidRPr="0072735C">
        <w:rPr>
          <w:rFonts w:ascii="Times New Roman" w:eastAsia="SimSun" w:hAnsi="Times New Roman" w:cs="Times New Roman"/>
          <w:kern w:val="0"/>
          <w:sz w:val="28"/>
          <w:szCs w:val="28"/>
          <w14:ligatures w14:val="none"/>
        </w:rPr>
        <w:t>1958</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18</w:t>
      </w:r>
      <w:r w:rsidRPr="0072735C">
        <w:rPr>
          <w:rFonts w:ascii="Times New Roman" w:eastAsia="SimSun" w:hAnsi="Times New Roman" w:cs="Times New Roman"/>
          <w:kern w:val="0"/>
          <w:sz w:val="28"/>
          <w:szCs w:val="28"/>
          <w14:ligatures w14:val="none"/>
        </w:rPr>
        <w:t>页。</w:t>
      </w:r>
    </w:p>
    <w:p w14:paraId="385F2D41"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 xml:space="preserve">[39] </w:t>
      </w:r>
      <w:r w:rsidRPr="0072735C">
        <w:rPr>
          <w:rFonts w:ascii="Times New Roman" w:eastAsia="SimSun" w:hAnsi="Times New Roman" w:cs="Times New Roman"/>
          <w:kern w:val="0"/>
          <w:sz w:val="28"/>
          <w:szCs w:val="28"/>
          <w14:ligatures w14:val="none"/>
        </w:rPr>
        <w:t>同上。</w:t>
      </w:r>
    </w:p>
    <w:p w14:paraId="3657F3A3"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[40] [</w:t>
      </w:r>
      <w:r w:rsidRPr="0072735C">
        <w:rPr>
          <w:rFonts w:ascii="Times New Roman" w:eastAsia="SimSun" w:hAnsi="Times New Roman" w:cs="Times New Roman"/>
          <w:kern w:val="0"/>
          <w:sz w:val="28"/>
          <w:szCs w:val="28"/>
          <w14:ligatures w14:val="none"/>
        </w:rPr>
        <w:t>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班固：《汉书》卷九十六下《西域传下》，北京：中华书局</w:t>
      </w:r>
      <w:r w:rsidRPr="0072735C">
        <w:rPr>
          <w:rFonts w:ascii="Times New Roman" w:eastAsia="SimSun" w:hAnsi="Times New Roman" w:cs="Times New Roman"/>
          <w:kern w:val="0"/>
          <w:sz w:val="28"/>
          <w:szCs w:val="28"/>
          <w14:ligatures w14:val="none"/>
        </w:rPr>
        <w:t>1962</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3928</w:t>
      </w:r>
      <w:r w:rsidRPr="0072735C">
        <w:rPr>
          <w:rFonts w:ascii="Times New Roman" w:eastAsia="SimSun" w:hAnsi="Times New Roman" w:cs="Times New Roman"/>
          <w:kern w:val="0"/>
          <w:sz w:val="28"/>
          <w:szCs w:val="28"/>
          <w14:ligatures w14:val="none"/>
        </w:rPr>
        <w:t>页。</w:t>
      </w:r>
    </w:p>
    <w:p w14:paraId="672A8E5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[41] [</w:t>
      </w:r>
      <w:r w:rsidRPr="0072735C">
        <w:rPr>
          <w:rFonts w:ascii="Times New Roman" w:eastAsia="SimSun" w:hAnsi="Times New Roman" w:cs="Times New Roman"/>
          <w:kern w:val="0"/>
          <w:sz w:val="28"/>
          <w:szCs w:val="28"/>
          <w14:ligatures w14:val="none"/>
        </w:rPr>
        <w:t>南朝宋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范晔撰，</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李贤等注：《后汉书》卷八十八《西域传》，北京：中华书局</w:t>
      </w:r>
      <w:r w:rsidRPr="0072735C">
        <w:rPr>
          <w:rFonts w:ascii="Times New Roman" w:eastAsia="SimSun" w:hAnsi="Times New Roman" w:cs="Times New Roman"/>
          <w:kern w:val="0"/>
          <w:sz w:val="28"/>
          <w:szCs w:val="28"/>
          <w14:ligatures w14:val="none"/>
        </w:rPr>
        <w:t>1965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2918</w:t>
      </w:r>
      <w:r w:rsidRPr="0072735C">
        <w:rPr>
          <w:rFonts w:ascii="Times New Roman" w:eastAsia="SimSun" w:hAnsi="Times New Roman" w:cs="Times New Roman"/>
          <w:kern w:val="0"/>
          <w:sz w:val="28"/>
          <w:szCs w:val="28"/>
          <w14:ligatures w14:val="none"/>
        </w:rPr>
        <w:t>页。</w:t>
      </w:r>
    </w:p>
    <w:p w14:paraId="66A4003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[42] [</w:t>
      </w:r>
      <w:r w:rsidRPr="0072735C">
        <w:rPr>
          <w:rFonts w:ascii="Times New Roman" w:eastAsia="SimSun" w:hAnsi="Times New Roman" w:cs="Times New Roman"/>
          <w:kern w:val="0"/>
          <w:sz w:val="28"/>
          <w:szCs w:val="28"/>
          <w14:ligatures w14:val="none"/>
        </w:rPr>
        <w:t>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班固：《汉书》卷二十二《礼乐志》，北京：中华书局</w:t>
      </w:r>
      <w:r w:rsidRPr="0072735C">
        <w:rPr>
          <w:rFonts w:ascii="Times New Roman" w:eastAsia="SimSun" w:hAnsi="Times New Roman" w:cs="Times New Roman"/>
          <w:kern w:val="0"/>
          <w:sz w:val="28"/>
          <w:szCs w:val="28"/>
          <w14:ligatures w14:val="none"/>
        </w:rPr>
        <w:t>1962</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1073</w:t>
      </w:r>
      <w:r w:rsidRPr="0072735C">
        <w:rPr>
          <w:rFonts w:ascii="Times New Roman" w:eastAsia="SimSun" w:hAnsi="Times New Roman" w:cs="Times New Roman"/>
          <w:kern w:val="0"/>
          <w:sz w:val="28"/>
          <w:szCs w:val="28"/>
          <w14:ligatures w14:val="none"/>
        </w:rPr>
        <w:t>页。</w:t>
      </w:r>
    </w:p>
    <w:p w14:paraId="3CAA136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[43] [</w:t>
      </w:r>
      <w:r w:rsidRPr="0072735C">
        <w:rPr>
          <w:rFonts w:ascii="Times New Roman" w:eastAsia="SimSun" w:hAnsi="Times New Roman" w:cs="Times New Roman"/>
          <w:kern w:val="0"/>
          <w:sz w:val="28"/>
          <w:szCs w:val="28"/>
          <w14:ligatures w14:val="none"/>
        </w:rPr>
        <w:t>北魏</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杨衒之撰，周祖谟校释：《洛阳伽蓝记校释》卷一，北京：中华书局</w:t>
      </w:r>
      <w:r w:rsidRPr="0072735C">
        <w:rPr>
          <w:rFonts w:ascii="Times New Roman" w:eastAsia="SimSun" w:hAnsi="Times New Roman" w:cs="Times New Roman"/>
          <w:kern w:val="0"/>
          <w:sz w:val="28"/>
          <w:szCs w:val="28"/>
          <w14:ligatures w14:val="none"/>
        </w:rPr>
        <w:t>2010</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35</w:t>
      </w:r>
      <w:r w:rsidRPr="0072735C">
        <w:rPr>
          <w:rFonts w:ascii="Times New Roman" w:eastAsia="SimSun" w:hAnsi="Times New Roman" w:cs="Times New Roman"/>
          <w:kern w:val="0"/>
          <w:sz w:val="28"/>
          <w:szCs w:val="28"/>
          <w14:ligatures w14:val="none"/>
        </w:rPr>
        <w:t>页。</w:t>
      </w:r>
    </w:p>
    <w:p w14:paraId="63B832A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[44] [</w:t>
      </w:r>
      <w:r w:rsidRPr="0072735C">
        <w:rPr>
          <w:rFonts w:ascii="Times New Roman" w:eastAsia="SimSun" w:hAnsi="Times New Roman" w:cs="Times New Roman"/>
          <w:kern w:val="0"/>
          <w:sz w:val="28"/>
          <w:szCs w:val="28"/>
          <w14:ligatures w14:val="none"/>
        </w:rPr>
        <w:t>北齐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魏收：《魏书》卷一〇九《乐志五》，北京：中华书局</w:t>
      </w:r>
      <w:r w:rsidRPr="0072735C">
        <w:rPr>
          <w:rFonts w:ascii="Times New Roman" w:eastAsia="SimSun" w:hAnsi="Times New Roman" w:cs="Times New Roman"/>
          <w:kern w:val="0"/>
          <w:sz w:val="28"/>
          <w:szCs w:val="28"/>
          <w14:ligatures w14:val="none"/>
        </w:rPr>
        <w:t>1974</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2829</w:t>
      </w:r>
      <w:r w:rsidRPr="0072735C">
        <w:rPr>
          <w:rFonts w:ascii="Times New Roman" w:eastAsia="SimSun" w:hAnsi="Times New Roman" w:cs="Times New Roman"/>
          <w:kern w:val="0"/>
          <w:sz w:val="28"/>
          <w:szCs w:val="28"/>
          <w14:ligatures w14:val="none"/>
        </w:rPr>
        <w:t>页。</w:t>
      </w:r>
    </w:p>
    <w:p w14:paraId="2C7D479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[45]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刘昫等撰：《旧唐书》卷一九八《西戎传》，北京：中华书局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5296</w:t>
      </w:r>
      <w:r w:rsidRPr="0072735C">
        <w:rPr>
          <w:rFonts w:ascii="Times New Roman" w:eastAsia="SimSun" w:hAnsi="Times New Roman" w:cs="Times New Roman"/>
          <w:kern w:val="0"/>
          <w:sz w:val="28"/>
          <w:szCs w:val="28"/>
          <w14:ligatures w14:val="none"/>
        </w:rPr>
        <w:t>页；</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魏徵等撰：《隋书》卷八十三《西域传》，北京：中华书局</w:t>
      </w:r>
      <w:r w:rsidRPr="0072735C">
        <w:rPr>
          <w:rFonts w:ascii="Times New Roman" w:eastAsia="SimSun" w:hAnsi="Times New Roman" w:cs="Times New Roman"/>
          <w:kern w:val="0"/>
          <w:sz w:val="28"/>
          <w:szCs w:val="28"/>
          <w14:ligatures w14:val="none"/>
        </w:rPr>
        <w:t>1973</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1856</w:t>
      </w:r>
      <w:r w:rsidRPr="0072735C">
        <w:rPr>
          <w:rFonts w:ascii="Times New Roman" w:eastAsia="SimSun" w:hAnsi="Times New Roman" w:cs="Times New Roman"/>
          <w:kern w:val="0"/>
          <w:sz w:val="28"/>
          <w:szCs w:val="28"/>
          <w14:ligatures w14:val="none"/>
        </w:rPr>
        <w:t>页。</w:t>
      </w:r>
    </w:p>
    <w:p w14:paraId="5D30CB9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[46] [</w:t>
      </w:r>
      <w:r w:rsidRPr="0072735C">
        <w:rPr>
          <w:rFonts w:ascii="Times New Roman" w:eastAsia="SimSun" w:hAnsi="Times New Roman" w:cs="Times New Roman"/>
          <w:kern w:val="0"/>
          <w:sz w:val="28"/>
          <w:szCs w:val="28"/>
          <w14:ligatures w14:val="none"/>
        </w:rPr>
        <w:t>后晋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刘昫等撰：《旧唐书》卷二十九《音乐志二》，北京：中华书局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1059</w:t>
      </w:r>
      <w:r w:rsidRPr="0072735C">
        <w:rPr>
          <w:rFonts w:ascii="Times New Roman" w:eastAsia="SimSun" w:hAnsi="Times New Roman" w:cs="Times New Roman"/>
          <w:kern w:val="0"/>
          <w:sz w:val="28"/>
          <w:szCs w:val="28"/>
          <w14:ligatures w14:val="none"/>
        </w:rPr>
        <w:t>页。</w:t>
      </w:r>
    </w:p>
    <w:p w14:paraId="33FF483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[47]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欧阳修、宋祁撰：《新唐书》卷二十二《礼乐志十二》，北京：中华书局</w:t>
      </w:r>
      <w:r w:rsidRPr="0072735C">
        <w:rPr>
          <w:rFonts w:ascii="Times New Roman" w:eastAsia="SimSun" w:hAnsi="Times New Roman" w:cs="Times New Roman"/>
          <w:kern w:val="0"/>
          <w:sz w:val="28"/>
          <w:szCs w:val="28"/>
          <w14:ligatures w14:val="none"/>
        </w:rPr>
        <w:t>1975</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476</w:t>
      </w:r>
      <w:r w:rsidRPr="0072735C">
        <w:rPr>
          <w:rFonts w:ascii="Times New Roman" w:eastAsia="SimSun" w:hAnsi="Times New Roman" w:cs="Times New Roman"/>
          <w:kern w:val="0"/>
          <w:sz w:val="28"/>
          <w:szCs w:val="28"/>
          <w14:ligatures w14:val="none"/>
        </w:rPr>
        <w:t>页。</w:t>
      </w:r>
    </w:p>
    <w:p w14:paraId="6382DA3F"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[48]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杜佑撰，王文锦等点校：《通典》卷一四五，北京：中华书局</w:t>
      </w:r>
      <w:r w:rsidRPr="0072735C">
        <w:rPr>
          <w:rFonts w:ascii="Times New Roman" w:eastAsia="SimSun" w:hAnsi="Times New Roman" w:cs="Times New Roman"/>
          <w:kern w:val="0"/>
          <w:sz w:val="28"/>
          <w:szCs w:val="28"/>
          <w14:ligatures w14:val="none"/>
        </w:rPr>
        <w:t>1988</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3709</w:t>
      </w:r>
      <w:r w:rsidRPr="0072735C">
        <w:rPr>
          <w:rFonts w:ascii="Times New Roman" w:eastAsia="SimSun" w:hAnsi="Times New Roman" w:cs="Times New Roman"/>
          <w:kern w:val="0"/>
          <w:sz w:val="28"/>
          <w:szCs w:val="28"/>
          <w14:ligatures w14:val="none"/>
        </w:rPr>
        <w:t>页。</w:t>
      </w:r>
    </w:p>
    <w:p w14:paraId="2DFB826C"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[49]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李昉等编：《太平广记》卷二〇四，北京：中华书局</w:t>
      </w:r>
      <w:r w:rsidRPr="0072735C">
        <w:rPr>
          <w:rFonts w:ascii="Times New Roman" w:eastAsia="SimSun" w:hAnsi="Times New Roman" w:cs="Times New Roman"/>
          <w:kern w:val="0"/>
          <w:sz w:val="28"/>
          <w:szCs w:val="28"/>
          <w14:ligatures w14:val="none"/>
        </w:rPr>
        <w:t>1961</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1543</w:t>
      </w:r>
      <w:r w:rsidRPr="0072735C">
        <w:rPr>
          <w:rFonts w:ascii="Times New Roman" w:eastAsia="SimSun" w:hAnsi="Times New Roman" w:cs="Times New Roman"/>
          <w:kern w:val="0"/>
          <w:sz w:val="28"/>
          <w:szCs w:val="28"/>
          <w14:ligatures w14:val="none"/>
        </w:rPr>
        <w:t>页。</w:t>
      </w:r>
    </w:p>
    <w:p w14:paraId="24C7336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[50] [</w:t>
      </w:r>
      <w:r w:rsidRPr="0072735C">
        <w:rPr>
          <w:rFonts w:ascii="Times New Roman" w:eastAsia="SimSun" w:hAnsi="Times New Roman" w:cs="Times New Roman"/>
          <w:kern w:val="0"/>
          <w:sz w:val="28"/>
          <w:szCs w:val="28"/>
          <w14:ligatures w14:val="none"/>
        </w:rPr>
        <w:t>元</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脱脱等撰：《宋史》卷一四二《乐志十七》，北京：中华书局</w:t>
      </w:r>
      <w:r w:rsidRPr="0072735C">
        <w:rPr>
          <w:rFonts w:ascii="Times New Roman" w:eastAsia="SimSun" w:hAnsi="Times New Roman" w:cs="Times New Roman"/>
          <w:kern w:val="0"/>
          <w:sz w:val="28"/>
          <w:szCs w:val="28"/>
          <w14:ligatures w14:val="none"/>
        </w:rPr>
        <w:t>1977</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3350</w:t>
      </w:r>
      <w:r w:rsidRPr="0072735C">
        <w:rPr>
          <w:rFonts w:ascii="Times New Roman" w:eastAsia="SimSun" w:hAnsi="Times New Roman" w:cs="Times New Roman"/>
          <w:kern w:val="0"/>
          <w:sz w:val="28"/>
          <w:szCs w:val="28"/>
          <w14:ligatures w14:val="none"/>
        </w:rPr>
        <w:t>页。</w:t>
      </w:r>
    </w:p>
    <w:p w14:paraId="090C3C9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[51] [</w:t>
      </w:r>
      <w:r w:rsidRPr="0072735C">
        <w:rPr>
          <w:rFonts w:ascii="Times New Roman" w:eastAsia="SimSun" w:hAnsi="Times New Roman" w:cs="Times New Roman"/>
          <w:kern w:val="0"/>
          <w:sz w:val="28"/>
          <w:szCs w:val="28"/>
          <w14:ligatures w14:val="none"/>
        </w:rPr>
        <w:t>宋</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郭茂倩编：《乐府诗集》卷五十一，北京：中华书局</w:t>
      </w:r>
      <w:r w:rsidRPr="0072735C">
        <w:rPr>
          <w:rFonts w:ascii="Times New Roman" w:eastAsia="SimSun" w:hAnsi="Times New Roman" w:cs="Times New Roman"/>
          <w:kern w:val="0"/>
          <w:sz w:val="28"/>
          <w:szCs w:val="28"/>
          <w14:ligatures w14:val="none"/>
        </w:rPr>
        <w:t>1979</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746-747</w:t>
      </w:r>
      <w:r w:rsidRPr="0072735C">
        <w:rPr>
          <w:rFonts w:ascii="Times New Roman" w:eastAsia="SimSun" w:hAnsi="Times New Roman" w:cs="Times New Roman"/>
          <w:kern w:val="0"/>
          <w:sz w:val="28"/>
          <w:szCs w:val="28"/>
          <w14:ligatures w14:val="none"/>
        </w:rPr>
        <w:t>页。</w:t>
      </w:r>
    </w:p>
    <w:p w14:paraId="357DCAA5"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[52]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白居易：《西凉伎》，载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彭定求等编《全唐诗》卷四二七，北京：中华书局</w:t>
      </w:r>
      <w:r w:rsidRPr="0072735C">
        <w:rPr>
          <w:rFonts w:ascii="Times New Roman" w:eastAsia="SimSun" w:hAnsi="Times New Roman" w:cs="Times New Roman"/>
          <w:kern w:val="0"/>
          <w:sz w:val="28"/>
          <w:szCs w:val="28"/>
          <w14:ligatures w14:val="none"/>
        </w:rPr>
        <w:t>1960</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4707</w:t>
      </w:r>
      <w:r w:rsidRPr="0072735C">
        <w:rPr>
          <w:rFonts w:ascii="Times New Roman" w:eastAsia="SimSun" w:hAnsi="Times New Roman" w:cs="Times New Roman"/>
          <w:kern w:val="0"/>
          <w:sz w:val="28"/>
          <w:szCs w:val="28"/>
          <w14:ligatures w14:val="none"/>
        </w:rPr>
        <w:t>页。</w:t>
      </w:r>
    </w:p>
    <w:p w14:paraId="35D3E89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[53]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元稹：《西凉伎》，载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彭定求等编《全唐诗》卷四一九，北京：中华书局</w:t>
      </w:r>
      <w:r w:rsidRPr="0072735C">
        <w:rPr>
          <w:rFonts w:ascii="Times New Roman" w:eastAsia="SimSun" w:hAnsi="Times New Roman" w:cs="Times New Roman"/>
          <w:kern w:val="0"/>
          <w:sz w:val="28"/>
          <w:szCs w:val="28"/>
          <w14:ligatures w14:val="none"/>
        </w:rPr>
        <w:t>1960</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4617</w:t>
      </w:r>
      <w:r w:rsidRPr="0072735C">
        <w:rPr>
          <w:rFonts w:ascii="Times New Roman" w:eastAsia="SimSun" w:hAnsi="Times New Roman" w:cs="Times New Roman"/>
          <w:kern w:val="0"/>
          <w:sz w:val="28"/>
          <w:szCs w:val="28"/>
          <w14:ligatures w14:val="none"/>
        </w:rPr>
        <w:t>页。</w:t>
      </w:r>
    </w:p>
    <w:p w14:paraId="1D8EE21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[54] [</w:t>
      </w:r>
      <w:r w:rsidRPr="0072735C">
        <w:rPr>
          <w:rFonts w:ascii="Times New Roman" w:eastAsia="SimSun" w:hAnsi="Times New Roman" w:cs="Times New Roman"/>
          <w:kern w:val="0"/>
          <w:sz w:val="28"/>
          <w:szCs w:val="28"/>
          <w14:ligatures w14:val="none"/>
        </w:rPr>
        <w:t>新罗</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崔致远：《乡乐杂咏五首</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狻猊》，载《桂苑笔耕集》卷二十，首尔：韩国学中央研究院藏本。</w:t>
      </w:r>
    </w:p>
    <w:p w14:paraId="0D84622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 xml:space="preserve">[55] </w:t>
      </w:r>
      <w:r w:rsidRPr="0072735C">
        <w:rPr>
          <w:rFonts w:ascii="Times New Roman" w:eastAsia="SimSun" w:hAnsi="Times New Roman" w:cs="Times New Roman"/>
          <w:kern w:val="0"/>
          <w:sz w:val="28"/>
          <w:szCs w:val="28"/>
          <w14:ligatures w14:val="none"/>
        </w:rPr>
        <w:t>袁珂校注：《山海经校注》，上海：上海古籍出版社</w:t>
      </w:r>
      <w:r w:rsidRPr="0072735C">
        <w:rPr>
          <w:rFonts w:ascii="Times New Roman" w:eastAsia="SimSun" w:hAnsi="Times New Roman" w:cs="Times New Roman"/>
          <w:kern w:val="0"/>
          <w:sz w:val="28"/>
          <w:szCs w:val="28"/>
          <w14:ligatures w14:val="none"/>
        </w:rPr>
        <w:t>1980</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408</w:t>
      </w:r>
      <w:r w:rsidRPr="0072735C">
        <w:rPr>
          <w:rFonts w:ascii="Times New Roman" w:eastAsia="SimSun" w:hAnsi="Times New Roman" w:cs="Times New Roman"/>
          <w:kern w:val="0"/>
          <w:sz w:val="28"/>
          <w:szCs w:val="28"/>
          <w14:ligatures w14:val="none"/>
        </w:rPr>
        <w:t>页。</w:t>
      </w:r>
    </w:p>
    <w:p w14:paraId="2AB624D2"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 xml:space="preserve">[56] </w:t>
      </w:r>
      <w:r w:rsidRPr="0072735C">
        <w:rPr>
          <w:rFonts w:ascii="Times New Roman" w:eastAsia="SimSun" w:hAnsi="Times New Roman" w:cs="Times New Roman"/>
          <w:kern w:val="0"/>
          <w:sz w:val="28"/>
          <w:szCs w:val="28"/>
          <w14:ligatures w14:val="none"/>
        </w:rPr>
        <w:t>《神龙求雨书》，睡虎地秦墓竹简整理小组编：《睡虎地秦墓竹简》，北京：文物出版社</w:t>
      </w:r>
      <w:r w:rsidRPr="0072735C">
        <w:rPr>
          <w:rFonts w:ascii="Times New Roman" w:eastAsia="SimSun" w:hAnsi="Times New Roman" w:cs="Times New Roman"/>
          <w:kern w:val="0"/>
          <w:sz w:val="28"/>
          <w:szCs w:val="28"/>
          <w14:ligatures w14:val="none"/>
        </w:rPr>
        <w:t>1990</w:t>
      </w:r>
      <w:r w:rsidRPr="0072735C">
        <w:rPr>
          <w:rFonts w:ascii="Times New Roman" w:eastAsia="SimSun" w:hAnsi="Times New Roman" w:cs="Times New Roman"/>
          <w:kern w:val="0"/>
          <w:sz w:val="28"/>
          <w:szCs w:val="28"/>
          <w14:ligatures w14:val="none"/>
        </w:rPr>
        <w:t>年版。</w:t>
      </w:r>
    </w:p>
    <w:p w14:paraId="28AF5E0A"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[57] [</w:t>
      </w:r>
      <w:r w:rsidRPr="0072735C">
        <w:rPr>
          <w:rFonts w:ascii="Times New Roman" w:eastAsia="SimSun" w:hAnsi="Times New Roman" w:cs="Times New Roman"/>
          <w:kern w:val="0"/>
          <w:sz w:val="28"/>
          <w:szCs w:val="28"/>
          <w14:ligatures w14:val="none"/>
        </w:rPr>
        <w:t>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董仲舒撰，苏舆义证：《春秋繁露义证》卷十六《求雨》，北京：中华书局</w:t>
      </w:r>
      <w:r w:rsidRPr="0072735C">
        <w:rPr>
          <w:rFonts w:ascii="Times New Roman" w:eastAsia="SimSun" w:hAnsi="Times New Roman" w:cs="Times New Roman"/>
          <w:kern w:val="0"/>
          <w:sz w:val="28"/>
          <w:szCs w:val="28"/>
          <w14:ligatures w14:val="none"/>
        </w:rPr>
        <w:t>1992</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419</w:t>
      </w:r>
      <w:r w:rsidRPr="0072735C">
        <w:rPr>
          <w:rFonts w:ascii="Times New Roman" w:eastAsia="SimSun" w:hAnsi="Times New Roman" w:cs="Times New Roman"/>
          <w:kern w:val="0"/>
          <w:sz w:val="28"/>
          <w:szCs w:val="28"/>
          <w14:ligatures w14:val="none"/>
        </w:rPr>
        <w:t>页。</w:t>
      </w:r>
    </w:p>
    <w:p w14:paraId="6AB75FA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[58]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杜佑撰，王文锦等点校：《通典》卷一四五，北京：中华书局</w:t>
      </w:r>
      <w:r w:rsidRPr="0072735C">
        <w:rPr>
          <w:rFonts w:ascii="Times New Roman" w:eastAsia="SimSun" w:hAnsi="Times New Roman" w:cs="Times New Roman"/>
          <w:kern w:val="0"/>
          <w:sz w:val="28"/>
          <w:szCs w:val="28"/>
          <w14:ligatures w14:val="none"/>
        </w:rPr>
        <w:t>1988</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3710</w:t>
      </w:r>
      <w:r w:rsidRPr="0072735C">
        <w:rPr>
          <w:rFonts w:ascii="Times New Roman" w:eastAsia="SimSun" w:hAnsi="Times New Roman" w:cs="Times New Roman"/>
          <w:kern w:val="0"/>
          <w:sz w:val="28"/>
          <w:szCs w:val="28"/>
          <w14:ligatures w14:val="none"/>
        </w:rPr>
        <w:t>页。</w:t>
      </w:r>
    </w:p>
    <w:p w14:paraId="17DC6D9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lastRenderedPageBreak/>
        <w:t>[59]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李约：《观祈雨》，载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彭定求等编《全唐诗》卷三一〇，北京：中华书局</w:t>
      </w:r>
      <w:r w:rsidRPr="0072735C">
        <w:rPr>
          <w:rFonts w:ascii="Times New Roman" w:eastAsia="SimSun" w:hAnsi="Times New Roman" w:cs="Times New Roman"/>
          <w:kern w:val="0"/>
          <w:sz w:val="28"/>
          <w:szCs w:val="28"/>
          <w14:ligatures w14:val="none"/>
        </w:rPr>
        <w:t>1960</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3495</w:t>
      </w:r>
      <w:r w:rsidRPr="0072735C">
        <w:rPr>
          <w:rFonts w:ascii="Times New Roman" w:eastAsia="SimSun" w:hAnsi="Times New Roman" w:cs="Times New Roman"/>
          <w:kern w:val="0"/>
          <w:sz w:val="28"/>
          <w:szCs w:val="28"/>
          <w14:ligatures w14:val="none"/>
        </w:rPr>
        <w:t>页。</w:t>
      </w:r>
    </w:p>
    <w:p w14:paraId="7E652C58"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[60]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张九龄：《奉和圣制烛龙斋祭》，载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彭定求等编《全唐诗》卷四八，北京：中华书局</w:t>
      </w:r>
      <w:r w:rsidRPr="0072735C">
        <w:rPr>
          <w:rFonts w:ascii="Times New Roman" w:eastAsia="SimSun" w:hAnsi="Times New Roman" w:cs="Times New Roman"/>
          <w:kern w:val="0"/>
          <w:sz w:val="28"/>
          <w:szCs w:val="28"/>
          <w14:ligatures w14:val="none"/>
        </w:rPr>
        <w:t>1960</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590</w:t>
      </w:r>
      <w:r w:rsidRPr="0072735C">
        <w:rPr>
          <w:rFonts w:ascii="Times New Roman" w:eastAsia="SimSun" w:hAnsi="Times New Roman" w:cs="Times New Roman"/>
          <w:kern w:val="0"/>
          <w:sz w:val="28"/>
          <w:szCs w:val="28"/>
          <w14:ligatures w14:val="none"/>
        </w:rPr>
        <w:t>页。</w:t>
      </w:r>
    </w:p>
    <w:p w14:paraId="0A631ACB"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[61] [</w:t>
      </w:r>
      <w:r w:rsidRPr="0072735C">
        <w:rPr>
          <w:rFonts w:ascii="Times New Roman" w:eastAsia="SimSun" w:hAnsi="Times New Roman" w:cs="Times New Roman"/>
          <w:kern w:val="0"/>
          <w:sz w:val="28"/>
          <w:szCs w:val="28"/>
          <w14:ligatures w14:val="none"/>
        </w:rPr>
        <w:t>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郑玄注，</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孔颖达疏：《礼记正义》卷二十一《礼运》，北京：北京大学出版社</w:t>
      </w:r>
      <w:r w:rsidRPr="0072735C">
        <w:rPr>
          <w:rFonts w:ascii="Times New Roman" w:eastAsia="SimSun" w:hAnsi="Times New Roman" w:cs="Times New Roman"/>
          <w:kern w:val="0"/>
          <w:sz w:val="28"/>
          <w:szCs w:val="28"/>
          <w14:ligatures w14:val="none"/>
        </w:rPr>
        <w:t>1999</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658</w:t>
      </w:r>
      <w:r w:rsidRPr="0072735C">
        <w:rPr>
          <w:rFonts w:ascii="Times New Roman" w:eastAsia="SimSun" w:hAnsi="Times New Roman" w:cs="Times New Roman"/>
          <w:kern w:val="0"/>
          <w:sz w:val="28"/>
          <w:szCs w:val="28"/>
          <w14:ligatures w14:val="none"/>
        </w:rPr>
        <w:t>页。</w:t>
      </w:r>
    </w:p>
    <w:p w14:paraId="170783BD"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[62] [</w:t>
      </w:r>
      <w:r w:rsidRPr="0072735C">
        <w:rPr>
          <w:rFonts w:ascii="Times New Roman" w:eastAsia="SimSun" w:hAnsi="Times New Roman" w:cs="Times New Roman"/>
          <w:kern w:val="0"/>
          <w:sz w:val="28"/>
          <w:szCs w:val="28"/>
          <w14:ligatures w14:val="none"/>
        </w:rPr>
        <w:t>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班固：《汉书》卷九十六下《西域传下》，北京：中华书局</w:t>
      </w:r>
      <w:r w:rsidRPr="0072735C">
        <w:rPr>
          <w:rFonts w:ascii="Times New Roman" w:eastAsia="SimSun" w:hAnsi="Times New Roman" w:cs="Times New Roman"/>
          <w:kern w:val="0"/>
          <w:sz w:val="28"/>
          <w:szCs w:val="28"/>
          <w14:ligatures w14:val="none"/>
        </w:rPr>
        <w:t>1962</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3928</w:t>
      </w:r>
      <w:r w:rsidRPr="0072735C">
        <w:rPr>
          <w:rFonts w:ascii="Times New Roman" w:eastAsia="SimSun" w:hAnsi="Times New Roman" w:cs="Times New Roman"/>
          <w:kern w:val="0"/>
          <w:sz w:val="28"/>
          <w:szCs w:val="28"/>
          <w14:ligatures w14:val="none"/>
        </w:rPr>
        <w:t>页。</w:t>
      </w:r>
    </w:p>
    <w:p w14:paraId="1655A0A9"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[63]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颜师古注：《汉书》卷九十六下《西域传下》注，北京：中华书局</w:t>
      </w:r>
      <w:r w:rsidRPr="0072735C">
        <w:rPr>
          <w:rFonts w:ascii="Times New Roman" w:eastAsia="SimSun" w:hAnsi="Times New Roman" w:cs="Times New Roman"/>
          <w:kern w:val="0"/>
          <w:sz w:val="28"/>
          <w:szCs w:val="28"/>
          <w14:ligatures w14:val="none"/>
        </w:rPr>
        <w:t>1962</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3929</w:t>
      </w:r>
      <w:r w:rsidRPr="0072735C">
        <w:rPr>
          <w:rFonts w:ascii="Times New Roman" w:eastAsia="SimSun" w:hAnsi="Times New Roman" w:cs="Times New Roman"/>
          <w:kern w:val="0"/>
          <w:sz w:val="28"/>
          <w:szCs w:val="28"/>
          <w14:ligatures w14:val="none"/>
        </w:rPr>
        <w:t>页。</w:t>
      </w:r>
    </w:p>
    <w:p w14:paraId="6E01334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[64] [</w:t>
      </w:r>
      <w:r w:rsidRPr="0072735C">
        <w:rPr>
          <w:rFonts w:ascii="Times New Roman" w:eastAsia="SimSun" w:hAnsi="Times New Roman" w:cs="Times New Roman"/>
          <w:kern w:val="0"/>
          <w:sz w:val="28"/>
          <w:szCs w:val="28"/>
          <w14:ligatures w14:val="none"/>
        </w:rPr>
        <w:t>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张衡：《西京赋》，载萧统编《文选》卷二，上海：上海古籍出版社</w:t>
      </w:r>
      <w:r w:rsidRPr="0072735C">
        <w:rPr>
          <w:rFonts w:ascii="Times New Roman" w:eastAsia="SimSun" w:hAnsi="Times New Roman" w:cs="Times New Roman"/>
          <w:kern w:val="0"/>
          <w:sz w:val="28"/>
          <w:szCs w:val="28"/>
          <w14:ligatures w14:val="none"/>
        </w:rPr>
        <w:t>1986</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51</w:t>
      </w:r>
      <w:r w:rsidRPr="0072735C">
        <w:rPr>
          <w:rFonts w:ascii="Times New Roman" w:eastAsia="SimSun" w:hAnsi="Times New Roman" w:cs="Times New Roman"/>
          <w:kern w:val="0"/>
          <w:sz w:val="28"/>
          <w:szCs w:val="28"/>
          <w14:ligatures w14:val="none"/>
        </w:rPr>
        <w:t>页。</w:t>
      </w:r>
    </w:p>
    <w:p w14:paraId="3F1A3537"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[65] [</w:t>
      </w:r>
      <w:r w:rsidRPr="0072735C">
        <w:rPr>
          <w:rFonts w:ascii="Times New Roman" w:eastAsia="SimSun" w:hAnsi="Times New Roman" w:cs="Times New Roman"/>
          <w:kern w:val="0"/>
          <w:sz w:val="28"/>
          <w:szCs w:val="28"/>
          <w14:ligatures w14:val="none"/>
        </w:rPr>
        <w:t>汉</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李尤：《平乐观赋》，载</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清</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严可均辑《全后汉文》卷五十二，北京：商务印书馆</w:t>
      </w:r>
      <w:r w:rsidRPr="0072735C">
        <w:rPr>
          <w:rFonts w:ascii="Times New Roman" w:eastAsia="SimSun" w:hAnsi="Times New Roman" w:cs="Times New Roman"/>
          <w:kern w:val="0"/>
          <w:sz w:val="28"/>
          <w:szCs w:val="28"/>
          <w14:ligatures w14:val="none"/>
        </w:rPr>
        <w:t>1999</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635</w:t>
      </w:r>
      <w:r w:rsidRPr="0072735C">
        <w:rPr>
          <w:rFonts w:ascii="Times New Roman" w:eastAsia="SimSun" w:hAnsi="Times New Roman" w:cs="Times New Roman"/>
          <w:kern w:val="0"/>
          <w:sz w:val="28"/>
          <w:szCs w:val="28"/>
          <w14:ligatures w14:val="none"/>
        </w:rPr>
        <w:t>页。</w:t>
      </w:r>
    </w:p>
    <w:p w14:paraId="6B785ED0"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[66]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魏徵等撰：《隋书》卷十四《音乐志中》，北京：中华书局</w:t>
      </w:r>
      <w:r w:rsidRPr="0072735C">
        <w:rPr>
          <w:rFonts w:ascii="Times New Roman" w:eastAsia="SimSun" w:hAnsi="Times New Roman" w:cs="Times New Roman"/>
          <w:kern w:val="0"/>
          <w:sz w:val="28"/>
          <w:szCs w:val="28"/>
          <w14:ligatures w14:val="none"/>
        </w:rPr>
        <w:t>1973</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346</w:t>
      </w:r>
      <w:r w:rsidRPr="0072735C">
        <w:rPr>
          <w:rFonts w:ascii="Times New Roman" w:eastAsia="SimSun" w:hAnsi="Times New Roman" w:cs="Times New Roman"/>
          <w:kern w:val="0"/>
          <w:sz w:val="28"/>
          <w:szCs w:val="28"/>
          <w14:ligatures w14:val="none"/>
        </w:rPr>
        <w:t>页。</w:t>
      </w:r>
    </w:p>
    <w:p w14:paraId="03DA379E" w14:textId="77777777" w:rsidR="0072735C" w:rsidRPr="0072735C" w:rsidRDefault="0072735C" w:rsidP="0072735C">
      <w:pPr>
        <w:spacing w:after="240" w:line="240" w:lineRule="auto"/>
        <w:rPr>
          <w:rFonts w:ascii="Times New Roman" w:eastAsia="SimSun" w:hAnsi="Times New Roman" w:cs="Times New Roman"/>
          <w:kern w:val="0"/>
          <w:sz w:val="28"/>
          <w:szCs w:val="28"/>
          <w14:ligatures w14:val="none"/>
        </w:rPr>
      </w:pPr>
      <w:r w:rsidRPr="0072735C">
        <w:rPr>
          <w:rFonts w:ascii="Times New Roman" w:eastAsia="SimSun" w:hAnsi="Times New Roman" w:cs="Times New Roman"/>
          <w:kern w:val="0"/>
          <w:sz w:val="28"/>
          <w:szCs w:val="28"/>
          <w14:ligatures w14:val="none"/>
        </w:rPr>
        <w:t>[67] [</w:t>
      </w:r>
      <w:r w:rsidRPr="0072735C">
        <w:rPr>
          <w:rFonts w:ascii="Times New Roman" w:eastAsia="SimSun" w:hAnsi="Times New Roman" w:cs="Times New Roman"/>
          <w:kern w:val="0"/>
          <w:sz w:val="28"/>
          <w:szCs w:val="28"/>
          <w14:ligatures w14:val="none"/>
        </w:rPr>
        <w:t>唐</w:t>
      </w:r>
      <w:r w:rsidRPr="0072735C">
        <w:rPr>
          <w:rFonts w:ascii="Times New Roman" w:eastAsia="SimSun" w:hAnsi="Times New Roman" w:cs="Times New Roman"/>
          <w:kern w:val="0"/>
          <w:sz w:val="28"/>
          <w:szCs w:val="28"/>
          <w14:ligatures w14:val="none"/>
        </w:rPr>
        <w:t>]</w:t>
      </w:r>
      <w:r w:rsidRPr="0072735C">
        <w:rPr>
          <w:rFonts w:ascii="Times New Roman" w:eastAsia="SimSun" w:hAnsi="Times New Roman" w:cs="Times New Roman"/>
          <w:kern w:val="0"/>
          <w:sz w:val="28"/>
          <w:szCs w:val="28"/>
          <w14:ligatures w14:val="none"/>
        </w:rPr>
        <w:t>魏徵等撰：《隋书》卷十五《音乐志下》，北京：中华书局</w:t>
      </w:r>
      <w:r w:rsidRPr="0072735C">
        <w:rPr>
          <w:rFonts w:ascii="Times New Roman" w:eastAsia="SimSun" w:hAnsi="Times New Roman" w:cs="Times New Roman"/>
          <w:kern w:val="0"/>
          <w:sz w:val="28"/>
          <w:szCs w:val="28"/>
          <w14:ligatures w14:val="none"/>
        </w:rPr>
        <w:t>1973</w:t>
      </w:r>
      <w:r w:rsidRPr="0072735C">
        <w:rPr>
          <w:rFonts w:ascii="Times New Roman" w:eastAsia="SimSun" w:hAnsi="Times New Roman" w:cs="Times New Roman"/>
          <w:kern w:val="0"/>
          <w:sz w:val="28"/>
          <w:szCs w:val="28"/>
          <w14:ligatures w14:val="none"/>
        </w:rPr>
        <w:t>年版，第</w:t>
      </w:r>
      <w:r w:rsidRPr="0072735C">
        <w:rPr>
          <w:rFonts w:ascii="Times New Roman" w:eastAsia="SimSun" w:hAnsi="Times New Roman" w:cs="Times New Roman"/>
          <w:kern w:val="0"/>
          <w:sz w:val="28"/>
          <w:szCs w:val="28"/>
          <w14:ligatures w14:val="none"/>
        </w:rPr>
        <w:t>378</w:t>
      </w:r>
      <w:r w:rsidRPr="0072735C">
        <w:rPr>
          <w:rFonts w:ascii="Times New Roman" w:eastAsia="SimSun" w:hAnsi="Times New Roman" w:cs="Times New Roman"/>
          <w:kern w:val="0"/>
          <w:sz w:val="28"/>
          <w:szCs w:val="28"/>
          <w14:ligatures w14:val="none"/>
        </w:rPr>
        <w:t>页。</w:t>
      </w:r>
    </w:p>
    <w:p w14:paraId="25996A2A" w14:textId="77777777" w:rsidR="00466E5F" w:rsidRPr="0072735C" w:rsidRDefault="00466E5F" w:rsidP="0072735C">
      <w:pPr>
        <w:rPr>
          <w:rFonts w:ascii="Times New Roman" w:eastAsia="SimSun" w:hAnsi="Times New Roman" w:cs="Times New Roman"/>
          <w:sz w:val="28"/>
          <w:szCs w:val="28"/>
        </w:rPr>
      </w:pPr>
    </w:p>
    <w:sectPr w:rsidR="00466E5F" w:rsidRPr="00727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E5F"/>
    <w:rsid w:val="000A0E86"/>
    <w:rsid w:val="00466E5F"/>
    <w:rsid w:val="006E06D2"/>
    <w:rsid w:val="0072735C"/>
    <w:rsid w:val="00C76875"/>
    <w:rsid w:val="00D5768F"/>
    <w:rsid w:val="00ED1548"/>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787D"/>
  <w15:chartTrackingRefBased/>
  <w15:docId w15:val="{EC997CD7-A59B-4142-9D2E-8D07B7BF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6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6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E5F"/>
    <w:rPr>
      <w:rFonts w:eastAsiaTheme="majorEastAsia" w:cstheme="majorBidi"/>
      <w:color w:val="272727" w:themeColor="text1" w:themeTint="D8"/>
    </w:rPr>
  </w:style>
  <w:style w:type="paragraph" w:styleId="Title">
    <w:name w:val="Title"/>
    <w:basedOn w:val="Normal"/>
    <w:next w:val="Normal"/>
    <w:link w:val="TitleChar"/>
    <w:uiPriority w:val="10"/>
    <w:qFormat/>
    <w:rsid w:val="00466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E5F"/>
    <w:pPr>
      <w:spacing w:before="160"/>
      <w:jc w:val="center"/>
    </w:pPr>
    <w:rPr>
      <w:i/>
      <w:iCs/>
      <w:color w:val="404040" w:themeColor="text1" w:themeTint="BF"/>
    </w:rPr>
  </w:style>
  <w:style w:type="character" w:customStyle="1" w:styleId="QuoteChar">
    <w:name w:val="Quote Char"/>
    <w:basedOn w:val="DefaultParagraphFont"/>
    <w:link w:val="Quote"/>
    <w:uiPriority w:val="29"/>
    <w:rsid w:val="00466E5F"/>
    <w:rPr>
      <w:i/>
      <w:iCs/>
      <w:color w:val="404040" w:themeColor="text1" w:themeTint="BF"/>
    </w:rPr>
  </w:style>
  <w:style w:type="paragraph" w:styleId="ListParagraph">
    <w:name w:val="List Paragraph"/>
    <w:basedOn w:val="Normal"/>
    <w:uiPriority w:val="34"/>
    <w:qFormat/>
    <w:rsid w:val="00466E5F"/>
    <w:pPr>
      <w:ind w:left="720"/>
      <w:contextualSpacing/>
    </w:pPr>
  </w:style>
  <w:style w:type="character" w:styleId="IntenseEmphasis">
    <w:name w:val="Intense Emphasis"/>
    <w:basedOn w:val="DefaultParagraphFont"/>
    <w:uiPriority w:val="21"/>
    <w:qFormat/>
    <w:rsid w:val="00466E5F"/>
    <w:rPr>
      <w:i/>
      <w:iCs/>
      <w:color w:val="0F4761" w:themeColor="accent1" w:themeShade="BF"/>
    </w:rPr>
  </w:style>
  <w:style w:type="paragraph" w:styleId="IntenseQuote">
    <w:name w:val="Intense Quote"/>
    <w:basedOn w:val="Normal"/>
    <w:next w:val="Normal"/>
    <w:link w:val="IntenseQuoteChar"/>
    <w:uiPriority w:val="30"/>
    <w:qFormat/>
    <w:rsid w:val="00466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E5F"/>
    <w:rPr>
      <w:i/>
      <w:iCs/>
      <w:color w:val="0F4761" w:themeColor="accent1" w:themeShade="BF"/>
    </w:rPr>
  </w:style>
  <w:style w:type="character" w:styleId="IntenseReference">
    <w:name w:val="Intense Reference"/>
    <w:basedOn w:val="DefaultParagraphFont"/>
    <w:uiPriority w:val="32"/>
    <w:qFormat/>
    <w:rsid w:val="00466E5F"/>
    <w:rPr>
      <w:b/>
      <w:bCs/>
      <w:smallCaps/>
      <w:color w:val="0F4761" w:themeColor="accent1" w:themeShade="BF"/>
      <w:spacing w:val="5"/>
    </w:rPr>
  </w:style>
  <w:style w:type="paragraph" w:customStyle="1" w:styleId="code-line">
    <w:name w:val="code-line"/>
    <w:basedOn w:val="Normal"/>
    <w:rsid w:val="00466E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6E5F"/>
    <w:rPr>
      <w:b/>
      <w:bCs/>
    </w:rPr>
  </w:style>
  <w:style w:type="character" w:styleId="Hyperlink">
    <w:name w:val="Hyperlink"/>
    <w:basedOn w:val="DefaultParagraphFont"/>
    <w:uiPriority w:val="99"/>
    <w:semiHidden/>
    <w:unhideWhenUsed/>
    <w:rsid w:val="00466E5F"/>
    <w:rPr>
      <w:color w:val="0000FF"/>
      <w:u w:val="single"/>
    </w:rPr>
  </w:style>
  <w:style w:type="character" w:styleId="Emphasis">
    <w:name w:val="Emphasis"/>
    <w:basedOn w:val="DefaultParagraphFont"/>
    <w:uiPriority w:val="20"/>
    <w:qFormat/>
    <w:rsid w:val="00466E5F"/>
    <w:rPr>
      <w:i/>
      <w:iCs/>
    </w:rPr>
  </w:style>
  <w:style w:type="table" w:styleId="TableGrid">
    <w:name w:val="Table Grid"/>
    <w:basedOn w:val="TableNormal"/>
    <w:uiPriority w:val="39"/>
    <w:rsid w:val="00727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13075</Words>
  <Characters>13206</Characters>
  <Application>Microsoft Office Word</Application>
  <DocSecurity>0</DocSecurity>
  <Lines>489</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Yijun</dc:creator>
  <cp:keywords/>
  <dc:description/>
  <cp:lastModifiedBy>HUANG, Yijun</cp:lastModifiedBy>
  <cp:revision>3</cp:revision>
  <dcterms:created xsi:type="dcterms:W3CDTF">2026-01-31T17:22:00Z</dcterms:created>
  <dcterms:modified xsi:type="dcterms:W3CDTF">2026-01-31T18:18:00Z</dcterms:modified>
</cp:coreProperties>
</file>