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视觉识别的医药运输机器人设计与实现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电气工程及其自动化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电气2</w:t>
            </w:r>
            <w:r>
              <w:rPr>
                <w:rFonts w:hint="eastAsia"/>
                <w:color w:val="000000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洪玉龙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ind w:left="420" w:leftChars="200" w:firstLine="0" w:firstLineChars="0"/>
              <w:rPr>
                <w:rFonts w:hint="default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行业调研；硬件选型方案-药品、护士及病人人脸和房号识别、智能路径规划、智能避障等；设计流程思路；程序设计、调试的过程；横向比较其他方案的特点；实物模型调试及过程中所遇到问题的总结。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104D7445"/>
    <w:rsid w:val="29B20D56"/>
    <w:rsid w:val="410C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671</Words>
  <Characters>776</Characters>
  <Lines>0</Lines>
  <Paragraphs>0</Paragraphs>
  <TotalTime>0</TotalTime>
  <ScaleCrop>false</ScaleCrop>
  <LinksUpToDate>false</LinksUpToDate>
  <CharactersWithSpaces>836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