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E3A5F"/>
          <w:sz w:val="96"/>
          <w:szCs w:val="96"/>
        </w:rPr>
        <w:t xml:space="preserve">MGS</w:t>
      </w:r>
    </w:p>
    <w:p>
      <w:pPr>
        <w:spacing w:after="200" w:before="0"/>
        <w:jc w:val="center"/>
      </w:pPr>
      <w:r>
        <w:rPr>
          <w:rFonts w:ascii="Arial" w:cs="Arial" w:eastAsia="Arial" w:hAnsi="Arial"/>
          <w:color w:val="2563EB"/>
          <w:sz w:val="40"/>
          <w:szCs w:val="40"/>
        </w:rPr>
        <w:t xml:space="preserve">Multimodal Gene Selector</w:t>
      </w:r>
    </w:p>
    <w:p>
      <w:pPr>
        <w:spacing w:after="400" w:before="0"/>
        <w:jc w:val="center"/>
      </w:pPr>
      <w:r>
        <w:rPr>
          <w:rFonts w:ascii="Georgia" w:cs="Georgia" w:eastAsia="Georgia" w:hAnsi="Georgia"/>
          <w:i/>
          <w:iCs/>
          <w:color w:val="6B7280"/>
          <w:sz w:val="28"/>
          <w:szCs w:val="28"/>
        </w:rPr>
        <w:t xml:space="preserve">Vignette</w:t>
      </w:r>
    </w:p>
    <w:p>
      <w:pPr>
        <w:spacing w:after="120" w:before="0"/>
        <w:jc w:val="center"/>
      </w:pPr>
      <w:r>
        <w:rPr>
          <w:rFonts w:ascii="Georgia" w:cs="Georgia" w:eastAsia="Georgia" w:hAnsi="Georgia"/>
          <w:color w:val="374151"/>
          <w:sz w:val="26"/>
          <w:szCs w:val="26"/>
        </w:rPr>
        <w:t xml:space="preserve">Distribution-Aware Gene Selection for scRNA-seq Dimensionality Reduction</w:t>
      </w:r>
    </w:p>
    <w:p>
      <w:pPr>
        <w:spacing w:after="0" w:before="1440"/>
      </w:pPr>
      <w:r>
        <w:t xml:space="preserve"/>
      </w:r>
    </w:p>
    <w:p>
      <w:pPr>
        <w:spacing w:after="80" w:before="0"/>
        <w:jc w:val="center"/>
      </w:pPr>
      <w:r>
        <w:rPr>
          <w:rFonts w:ascii="Arial" w:cs="Arial" w:eastAsia="Arial" w:hAnsi="Arial"/>
          <w:color w:val="9CA3AF"/>
          <w:sz w:val="22"/>
          <w:szCs w:val="22"/>
        </w:rPr>
        <w:t xml:space="preserve">Version 0.1.0</w:t>
      </w:r>
    </w:p>
    <w:p>
      <w:pPr>
        <w:spacing w:after="0" w:before="0"/>
        <w:jc w:val="center"/>
      </w:pPr>
      <w:r>
        <w:rPr>
          <w:rFonts w:ascii="Arial" w:cs="Arial" w:eastAsia="Arial" w:hAnsi="Arial"/>
          <w:color w:val="9CA3AF"/>
          <w:sz w:val="22"/>
          <w:szCs w:val="22"/>
        </w:rPr>
        <w:t xml:space="preserve">Available for Python (scanpy/AnnData) and R (Seurat/Bioconductor)</w:t>
      </w:r>
    </w:p>
    <w:p>
      <w:r>
        <w:br w:type="page"/>
      </w:r>
    </w:p>
    <w:p>
      <w:pPr>
        <w:pStyle w:val="Heading1"/>
      </w:pPr>
      <w:r>
        <w:rPr>
          <w:rFonts w:ascii="Arial" w:cs="Arial" w:eastAsia="Arial" w:hAnsi="Arial"/>
          <w:b/>
          <w:bCs/>
          <w:color w:val="1E3A5F"/>
          <w:sz w:val="40"/>
          <w:szCs w:val="40"/>
        </w:rPr>
        <w:t xml:space="preserve">1. Introduction</w:t>
      </w:r>
    </w:p>
    <w:p>
      <w:pPr>
        <w:spacing w:after="160" w:before="80" w:line="288"/>
        <w:jc w:val="both"/>
      </w:pPr>
      <w:r>
        <w:rPr>
          <w:rFonts w:ascii="Georgia" w:cs="Georgia" w:eastAsia="Georgia" w:hAnsi="Georgia"/>
          <w:sz w:val="24"/>
          <w:szCs w:val="24"/>
        </w:rPr>
        <w:t xml:space="preserve">Single-cell RNA sequencing (scRNA-seq) has transformed our ability to characterize cellular heterogeneity at transcriptomic resolution. A central step in nearly every scRNA-seq workflow is the selection of informative genes prior to dimensionality reduction — most commonly Uniform Manifold Approximation and Projection (UMAP) — and subsequent clustering.</w:t>
      </w:r>
    </w:p>
    <w:p>
      <w:pPr>
        <w:spacing w:after="160" w:before="80" w:line="288"/>
        <w:jc w:val="both"/>
      </w:pPr>
      <w:r>
        <w:rPr>
          <w:rFonts w:ascii="Georgia" w:cs="Georgia" w:eastAsia="Georgia" w:hAnsi="Georgia"/>
          <w:sz w:val="24"/>
          <w:szCs w:val="24"/>
        </w:rPr>
        <w:t xml:space="preserve">The dominant approach, Highly Variable Gene (HVG) selection, ranks genes by their variance across cells (optionally normalized by mean expression) and retains a fixed number of top candidates, typically 2,000–5,000. While computationally efficient, HVG selection conflates biological signal with technical noise: a gene with massive stochastic dropout will score highly on variance metrics despite carrying no information about cellular identity.</w:t>
      </w:r>
    </w:p>
    <w:p>
      <w:pPr>
        <w:spacing w:after="160" w:before="80" w:line="288"/>
        <w:jc w:val="both"/>
      </w:pPr>
      <w:r>
        <w:rPr>
          <w:rFonts w:ascii="Georgia" w:cs="Georgia" w:eastAsia="Georgia" w:hAnsi="Georgia"/>
          <w:sz w:val="24"/>
          <w:szCs w:val="24"/>
        </w:rPr>
        <w:t xml:space="preserve">MGS (Multimodal Gene Selector) takes a fundamentally different approach. Instead of measuring variance, it characterizes the shape of each gene's expression distribution among the cells that express it. Genes that create two or more distinct expression states across the population — as genuine marker genes do — are identified through a two-stage statistical pipeline: Hartigan's Dip Test for multimodality, followed by Gaussian Mixture Model (GMM) comparison via the Bayesian Information Criterion (BIC). The result is a ranked list of genes that are structurally bimodal, directly implying the existence of distinct cell populations with different expression regimes for those genes.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6"/>
              <w:bottom w:val="single" w:color="2563EB" w:sz="1"/>
              <w:right w:val="single" w:color="2563EB" w:sz="1"/>
            </w:tcBorders>
            <w:shd w:fill="EFF6FF" w:val="clear"/>
            <w:tcMar>
              <w:top w:type="dxa" w:w="100"/>
              <w:left w:type="dxa" w:w="140"/>
              <w:bottom w:type="dxa" w:w="100"/>
              <w:right w:type="dxa" w:w="140"/>
            </w:tcMar>
          </w:tcPr>
          <w:p>
            <w:pPr>
              <w:spacing w:after="60" w:before="0"/>
            </w:pPr>
            <w:r>
              <w:rPr>
                <w:rFonts w:ascii="Arial" w:cs="Arial" w:eastAsia="Arial" w:hAnsi="Arial"/>
                <w:b/>
                <w:bCs/>
                <w:color w:val="2563EB"/>
                <w:sz w:val="20"/>
                <w:szCs w:val="20"/>
              </w:rPr>
              <w:t xml:space="preserve">Core Idea</w:t>
            </w:r>
          </w:p>
          <w:p>
            <w:pPr>
              <w:spacing w:after="0" w:before="0" w:line="288"/>
            </w:pPr>
            <w:r>
              <w:rPr>
                <w:rFonts w:ascii="Georgia" w:cs="Georgia" w:eastAsia="Georgia" w:hAnsi="Georgia"/>
                <w:sz w:val="22"/>
                <w:szCs w:val="22"/>
              </w:rPr>
              <w:t xml:space="preserve">A gene that defines a cell type will tend to be OFF in most cells and ON in a specific subpopulation — creating two distinct peaks in its expression distribution. HVG selection may or may not capture this gene depending on the relative sizes of the subpopulation. MGS captures it by design, because bimodality is exactly what it tests for.</w:t>
            </w:r>
          </w:p>
        </w:tc>
      </w:tr>
    </w:tbl>
    <w:p>
      <w:pPr>
        <w:spacing w:after="0" w:before="200"/>
      </w:pPr>
      <w:r>
        <w:t xml:space="preserve"/>
      </w:r>
    </w:p>
    <w:p>
      <w:pPr>
        <w:pStyle w:val="Heading1"/>
      </w:pPr>
      <w:r>
        <w:rPr>
          <w:rFonts w:ascii="Arial" w:cs="Arial" w:eastAsia="Arial" w:hAnsi="Arial"/>
          <w:b/>
          <w:bCs/>
          <w:color w:val="1E3A5F"/>
          <w:sz w:val="40"/>
          <w:szCs w:val="40"/>
        </w:rPr>
        <w:t xml:space="preserve">2. Rationale and Biological Motivation</w:t>
      </w:r>
    </w:p>
    <w:p>
      <w:pPr>
        <w:pStyle w:val="Heading2"/>
      </w:pPr>
      <w:r>
        <w:rPr>
          <w:rFonts w:ascii="Arial" w:cs="Arial" w:eastAsia="Arial" w:hAnsi="Arial"/>
          <w:b/>
          <w:bCs/>
          <w:color w:val="2563EB"/>
          <w:sz w:val="30"/>
          <w:szCs w:val="30"/>
        </w:rPr>
        <w:t xml:space="preserve">2.1  The Problem with Variance-Based Selection</w:t>
      </w:r>
    </w:p>
    <w:p>
      <w:pPr>
        <w:spacing w:after="160" w:before="80" w:line="288"/>
        <w:jc w:val="both"/>
      </w:pPr>
      <w:r>
        <w:rPr>
          <w:rFonts w:ascii="Georgia" w:cs="Georgia" w:eastAsia="Georgia" w:hAnsi="Georgia"/>
          <w:sz w:val="24"/>
          <w:szCs w:val="24"/>
        </w:rPr>
        <w:t xml:space="preserve">Consider three hypothetical genes in a dataset of 5,000 cells: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400"/>
        <w:gridCol w:w="19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Gene</w:t>
            </w:r>
          </w:p>
        </w:tc>
        <w:tc>
          <w:tcPr>
            <w:tcW w:type="dxa" w:w="4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Variance</w:t>
            </w:r>
          </w:p>
        </w:tc>
        <w:tc>
          <w:tcPr>
            <w:tcW w:type="dxa" w:w="1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Informative?</w:t>
            </w:r>
          </w:p>
        </w:tc>
      </w:tr>
      <w:tr>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CD3D</w:t>
            </w:r>
          </w:p>
        </w:tc>
        <w:tc>
          <w:tcPr>
            <w:tcW w:type="dxa" w:w="4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ON in ~30% of cells (T cells), near-zero in the rest</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High</w:t>
            </w:r>
          </w:p>
        </w:tc>
        <w:tc>
          <w:tcPr>
            <w:tcW w:type="dxa" w:w="19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b/>
                <w:bCs/>
                <w:sz w:val="24"/>
                <w:szCs w:val="24"/>
              </w:rPr>
              <w:t xml:space="preserve">Yes</w:t>
            </w:r>
            <w:r>
              <w:rPr>
                <w:rFonts w:ascii="Georgia" w:cs="Georgia" w:eastAsia="Georgia" w:hAnsi="Georgia"/>
                <w:sz w:val="24"/>
                <w:szCs w:val="24"/>
              </w:rPr>
              <w:t xml:space="preserve"> — bimodal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MALAT1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Highly expressed in all cells, low cell-to-cell variation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b/>
                <w:bCs/>
                <w:sz w:val="24"/>
                <w:szCs w:val="24"/>
              </w:rPr>
              <w:t xml:space="preserve">No</w:t>
            </w:r>
            <w:r>
              <w:rPr>
                <w:rFonts w:ascii="Georgia" w:cs="Georgia" w:eastAsia="Georgia" w:hAnsi="Georgia"/>
                <w:sz w:val="24"/>
                <w:szCs w:val="24"/>
              </w:rPr>
              <w:t xml:space="preserve"> — housekeeping</w:t>
            </w:r>
          </w:p>
        </w:tc>
      </w:tr>
      <w:tr>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XIST</w:t>
            </w:r>
          </w:p>
        </w:tc>
        <w:tc>
          <w:tcPr>
            <w:tcW w:type="dxa" w:w="4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Extremely high in female cells due to X-inactivation dropout</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Very High</w:t>
            </w:r>
          </w:p>
        </w:tc>
        <w:tc>
          <w:tcPr>
            <w:tcW w:type="dxa" w:w="19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b/>
                <w:bCs/>
                <w:sz w:val="24"/>
                <w:szCs w:val="24"/>
              </w:rPr>
              <w:t xml:space="preserve">Partially</w:t>
            </w:r>
            <w:r>
              <w:rPr>
                <w:rFonts w:ascii="Georgia" w:cs="Georgia" w:eastAsia="Georgia" w:hAnsi="Georgia"/>
                <w:sz w:val="24"/>
                <w:szCs w:val="24"/>
              </w:rPr>
              <w:t xml:space="preserve"> — confounded</w:t>
            </w:r>
          </w:p>
        </w:tc>
      </w:tr>
    </w:tbl>
    <w:p>
      <w:pPr>
        <w:spacing w:after="0" w:before="120"/>
      </w:pPr>
      <w:r>
        <w:t xml:space="preserve"/>
      </w:r>
    </w:p>
    <w:p>
      <w:pPr>
        <w:spacing w:after="160" w:before="80" w:line="288"/>
        <w:jc w:val="both"/>
      </w:pPr>
      <w:r>
        <w:rPr>
          <w:rFonts w:ascii="Georgia" w:cs="Georgia" w:eastAsia="Georgia" w:hAnsi="Georgia"/>
          <w:sz w:val="24"/>
          <w:szCs w:val="24"/>
        </w:rPr>
        <w:t xml:space="preserve">Standard HVG selection ranks XIST above CD3D in many datasets, despite CD3D being a cleaner lineage marker. The issue is that variance measures the spread of the full distribution — including zeros — without regard to whether that spread reflects biologically meaningful states.</w:t>
      </w:r>
    </w:p>
    <w:p>
      <w:pPr>
        <w:spacing w:after="160" w:before="80" w:line="288"/>
        <w:jc w:val="both"/>
      </w:pPr>
      <w:r>
        <w:rPr>
          <w:rFonts w:ascii="Georgia" w:cs="Georgia" w:eastAsia="Georgia" w:hAnsi="Georgia"/>
          <w:sz w:val="24"/>
          <w:szCs w:val="24"/>
        </w:rPr>
        <w:t xml:space="preserve">MGS addresses this by operating only on non-zero values and explicitly testing whether those values form one or two distinct populations.</w:t>
      </w:r>
    </w:p>
    <w:p>
      <w:pPr>
        <w:pStyle w:val="Heading2"/>
      </w:pPr>
      <w:r>
        <w:rPr>
          <w:rFonts w:ascii="Arial" w:cs="Arial" w:eastAsia="Arial" w:hAnsi="Arial"/>
          <w:b/>
          <w:bCs/>
          <w:color w:val="2563EB"/>
          <w:sz w:val="30"/>
          <w:szCs w:val="30"/>
        </w:rPr>
        <w:t xml:space="preserve">2.2  Why Bimodality Implies Cluster-Defining Potential</w:t>
      </w:r>
    </w:p>
    <w:p>
      <w:pPr>
        <w:spacing w:after="160" w:before="80" w:line="288"/>
        <w:jc w:val="both"/>
      </w:pPr>
      <w:r>
        <w:rPr>
          <w:rFonts w:ascii="Georgia" w:cs="Georgia" w:eastAsia="Georgia" w:hAnsi="Georgia"/>
          <w:sz w:val="24"/>
          <w:szCs w:val="24"/>
        </w:rPr>
        <w:t xml:space="preserve">In a mixed population of cell types, a gene that is selectively expressed in one cell type will show two modes in its across-cell distribution:</w:t>
      </w:r>
    </w:p>
    <w:p>
      <w:pPr>
        <w:pStyle w:val="ListParagraph"/>
        <w:numPr>
          <w:ilvl w:val="0"/>
          <w:numId w:val="2"/>
        </w:numPr>
        <w:spacing w:after="60" w:before="60"/>
      </w:pPr>
      <w:r>
        <w:rPr>
          <w:rFonts w:ascii="Georgia" w:cs="Georgia" w:eastAsia="Georgia" w:hAnsi="Georgia"/>
          <w:sz w:val="24"/>
          <w:szCs w:val="24"/>
        </w:rPr>
        <w:t xml:space="preserve">Mode 1 (low/absent): all cells where the gene is not part of the active transcriptional program</w:t>
      </w:r>
    </w:p>
    <w:p>
      <w:pPr>
        <w:pStyle w:val="ListParagraph"/>
        <w:numPr>
          <w:ilvl w:val="0"/>
          <w:numId w:val="2"/>
        </w:numPr>
        <w:spacing w:after="60" w:before="60"/>
      </w:pPr>
      <w:r>
        <w:rPr>
          <w:rFonts w:ascii="Georgia" w:cs="Georgia" w:eastAsia="Georgia" w:hAnsi="Georgia"/>
          <w:sz w:val="24"/>
          <w:szCs w:val="24"/>
        </w:rPr>
        <w:t xml:space="preserve">Mode 2 (high): cells belonging to the lineage where the gene is active</w:t>
      </w:r>
    </w:p>
    <w:p>
      <w:pPr>
        <w:spacing w:after="0" w:before="80"/>
      </w:pPr>
      <w:r>
        <w:t xml:space="preserve"/>
      </w:r>
    </w:p>
    <w:p>
      <w:pPr>
        <w:spacing w:after="160" w:before="80" w:line="288"/>
        <w:jc w:val="both"/>
      </w:pPr>
      <w:r>
        <w:rPr>
          <w:rFonts w:ascii="Georgia" w:cs="Georgia" w:eastAsia="Georgia" w:hAnsi="Georgia"/>
          <w:sz w:val="24"/>
          <w:szCs w:val="24"/>
        </w:rPr>
        <w:t xml:space="preserve">This bimodal structure is not merely a curiosity — it is the statistical signature of a differentially expressed gene between two or more populations. Selecting genes by bimodality is therefore directly equivalent to selecting genes that are likely to separate clusters in embedding space.</w:t>
      </w:r>
    </w:p>
    <w:p>
      <w:pPr>
        <w:pStyle w:val="Heading2"/>
      </w:pPr>
      <w:r>
        <w:rPr>
          <w:rFonts w:ascii="Arial" w:cs="Arial" w:eastAsia="Arial" w:hAnsi="Arial"/>
          <w:b/>
          <w:bCs/>
          <w:color w:val="2563EB"/>
          <w:sz w:val="30"/>
          <w:szCs w:val="30"/>
        </w:rPr>
        <w:t xml:space="preserve">2.3  The Role of Zeros in scRNA-seq</w:t>
      </w:r>
    </w:p>
    <w:p>
      <w:pPr>
        <w:spacing w:after="160" w:before="80" w:line="288"/>
        <w:jc w:val="both"/>
      </w:pPr>
      <w:r>
        <w:rPr>
          <w:rFonts w:ascii="Georgia" w:cs="Georgia" w:eastAsia="Georgia" w:hAnsi="Georgia"/>
          <w:sz w:val="24"/>
          <w:szCs w:val="24"/>
        </w:rPr>
        <w:t xml:space="preserve">scRNA-seq data is characterized by extreme sparsity: 70–90% of values in a typical matrix are zero. These zeros arise from two distinct mechanisms:</w:t>
      </w:r>
    </w:p>
    <w:p>
      <w:pPr>
        <w:pStyle w:val="ListParagraph"/>
        <w:numPr>
          <w:ilvl w:val="0"/>
          <w:numId w:val="2"/>
        </w:numPr>
        <w:spacing w:after="60" w:before="60"/>
      </w:pPr>
      <w:r>
        <w:rPr>
          <w:rFonts w:ascii="Georgia" w:cs="Georgia" w:eastAsia="Georgia" w:hAnsi="Georgia"/>
          <w:b/>
          <w:bCs/>
          <w:sz w:val="24"/>
          <w:szCs w:val="24"/>
        </w:rPr>
        <w:t xml:space="preserve">Biological zeros: </w:t>
      </w:r>
      <w:r>
        <w:rPr>
          <w:rFonts w:ascii="Georgia" w:cs="Georgia" w:eastAsia="Georgia" w:hAnsi="Georgia"/>
          <w:sz w:val="24"/>
          <w:szCs w:val="24"/>
        </w:rPr>
        <w:t xml:space="preserve">the gene is genuinely not expressed in that cell type.</w:t>
      </w:r>
    </w:p>
    <w:p>
      <w:pPr>
        <w:pStyle w:val="ListParagraph"/>
        <w:numPr>
          <w:ilvl w:val="0"/>
          <w:numId w:val="2"/>
        </w:numPr>
        <w:spacing w:after="60" w:before="60"/>
      </w:pPr>
      <w:r>
        <w:rPr>
          <w:rFonts w:ascii="Georgia" w:cs="Georgia" w:eastAsia="Georgia" w:hAnsi="Georgia"/>
          <w:b/>
          <w:bCs/>
          <w:sz w:val="24"/>
          <w:szCs w:val="24"/>
        </w:rPr>
        <w:t xml:space="preserve">Technical dropout: </w:t>
      </w:r>
      <w:r>
        <w:rPr>
          <w:rFonts w:ascii="Georgia" w:cs="Georgia" w:eastAsia="Georgia" w:hAnsi="Georgia"/>
          <w:sz w:val="24"/>
          <w:szCs w:val="24"/>
        </w:rPr>
        <w:t xml:space="preserve">the gene is expressed but not detected due to capture inefficiency, the dominant source of noise in droplet-based technologies.</w:t>
      </w:r>
    </w:p>
    <w:p>
      <w:pPr>
        <w:spacing w:after="0" w:before="80"/>
      </w:pPr>
      <w:r>
        <w:t xml:space="preserve"/>
      </w:r>
    </w:p>
    <w:p>
      <w:pPr>
        <w:spacing w:after="160" w:before="80" w:line="288"/>
        <w:jc w:val="both"/>
      </w:pPr>
      <w:r>
        <w:rPr>
          <w:rFonts w:ascii="Georgia" w:cs="Georgia" w:eastAsia="Georgia" w:hAnsi="Georgia"/>
          <w:sz w:val="24"/>
          <w:szCs w:val="24"/>
        </w:rPr>
        <w:t xml:space="preserve">HVG methods do not distinguish between these sources. MGS sidesteps the problem by removing zeros before fitting the distribution model, effectively asking: 'Among cells that express this gene at all, do they form one population or two?' This is a cleaner biological question and less vulnerable to technology-specific dropout rates.</w:t>
      </w:r>
    </w:p>
    <w:p>
      <w:pPr>
        <w:spacing w:after="0" w:before="200"/>
      </w:pPr>
      <w:r>
        <w:t xml:space="preserve"/>
      </w:r>
    </w:p>
    <w:p>
      <w:pPr>
        <w:pStyle w:val="Heading1"/>
      </w:pPr>
      <w:r>
        <w:rPr>
          <w:rFonts w:ascii="Arial" w:cs="Arial" w:eastAsia="Arial" w:hAnsi="Arial"/>
          <w:b/>
          <w:bCs/>
          <w:color w:val="1E3A5F"/>
          <w:sz w:val="40"/>
          <w:szCs w:val="40"/>
        </w:rPr>
        <w:t xml:space="preserve">3. Statistical Method</w:t>
      </w:r>
    </w:p>
    <w:p>
      <w:pPr>
        <w:pStyle w:val="Heading2"/>
      </w:pPr>
      <w:r>
        <w:rPr>
          <w:rFonts w:ascii="Arial" w:cs="Arial" w:eastAsia="Arial" w:hAnsi="Arial"/>
          <w:b/>
          <w:bCs/>
          <w:color w:val="2563EB"/>
          <w:sz w:val="30"/>
          <w:szCs w:val="30"/>
        </w:rPr>
        <w:t xml:space="preserve">3.1  Pipeline Overview</w:t>
      </w:r>
    </w:p>
    <w:p>
      <w:pPr>
        <w:spacing w:after="160" w:before="80" w:line="288"/>
        <w:jc w:val="both"/>
      </w:pPr>
      <w:r>
        <w:rPr>
          <w:rFonts w:ascii="Georgia" w:cs="Georgia" w:eastAsia="Georgia" w:hAnsi="Georgia"/>
          <w:sz w:val="24"/>
          <w:szCs w:val="24"/>
        </w:rPr>
        <w:t xml:space="preserve">For each gene in the expression matrix, MGS executes the following steps sequentially:</w:t>
      </w:r>
    </w:p>
    <w:p>
      <w:pPr>
        <w:spacing w:after="0" w:before="80"/>
      </w:pPr>
      <w:r>
        <w:t xml:space="preserve"/>
      </w:r>
    </w:p>
    <w:p>
      <w:pPr>
        <w:pStyle w:val="ListParagraph"/>
        <w:numPr>
          <w:ilvl w:val="0"/>
          <w:numId w:val="3"/>
        </w:numPr>
        <w:spacing w:after="60" w:before="60"/>
      </w:pPr>
      <w:r>
        <w:rPr>
          <w:rFonts w:ascii="Georgia" w:cs="Georgia" w:eastAsia="Georgia" w:hAnsi="Georgia"/>
          <w:sz w:val="24"/>
          <w:szCs w:val="24"/>
        </w:rPr>
        <w:t xml:space="preserve">Expression filter: retain only genes expressed in at least min_cell_frac of cells (default 5%). This removes near-total-dropout genes where no distributional structure can be reliably inferred.</w:t>
      </w:r>
    </w:p>
    <w:p>
      <w:pPr>
        <w:pStyle w:val="ListParagraph"/>
        <w:numPr>
          <w:ilvl w:val="0"/>
          <w:numId w:val="3"/>
        </w:numPr>
        <w:spacing w:after="60" w:before="60"/>
      </w:pPr>
      <w:r>
        <w:rPr>
          <w:rFonts w:ascii="Georgia" w:cs="Georgia" w:eastAsia="Georgia" w:hAnsi="Georgia"/>
          <w:sz w:val="24"/>
          <w:szCs w:val="24"/>
        </w:rPr>
        <w:t xml:space="preserve">Non-zero extraction: subset to cells with expression &gt; 0. All subsequent steps operate on this vector.</w:t>
      </w:r>
    </w:p>
    <w:p>
      <w:pPr>
        <w:pStyle w:val="ListParagraph"/>
        <w:numPr>
          <w:ilvl w:val="0"/>
          <w:numId w:val="3"/>
        </w:numPr>
        <w:spacing w:after="60" w:before="60"/>
      </w:pPr>
      <w:r>
        <w:rPr>
          <w:rFonts w:ascii="Georgia" w:cs="Georgia" w:eastAsia="Georgia" w:hAnsi="Georgia"/>
          <w:sz w:val="24"/>
          <w:szCs w:val="24"/>
        </w:rPr>
        <w:t xml:space="preserve">Hartigan Dip Test: test the null hypothesis of unimodality. Genes with p-value above dip_pval_threshold (default 0.2) are excluded. This is an intentionally liberal threshold — its purpose is fast elimination of clearly unimodal genes before the more expensive GMM step.</w:t>
      </w:r>
    </w:p>
    <w:p>
      <w:pPr>
        <w:pStyle w:val="ListParagraph"/>
        <w:numPr>
          <w:ilvl w:val="0"/>
          <w:numId w:val="3"/>
        </w:numPr>
        <w:spacing w:after="60" w:before="60"/>
      </w:pPr>
      <w:r>
        <w:rPr>
          <w:rFonts w:ascii="Georgia" w:cs="Georgia" w:eastAsia="Georgia" w:hAnsi="Georgia"/>
          <w:sz w:val="24"/>
          <w:szCs w:val="24"/>
        </w:rPr>
        <w:t xml:space="preserve">Gaussian Mixture Model: fit GMM with k=1 and k=2 components. Compare models using the Bayesian Information Criterion (BIC). Compute Cohen's d between the two component means as a measure of peak separation.</w:t>
      </w:r>
    </w:p>
    <w:p>
      <w:pPr>
        <w:pStyle w:val="ListParagraph"/>
        <w:numPr>
          <w:ilvl w:val="0"/>
          <w:numId w:val="3"/>
        </w:numPr>
        <w:spacing w:after="60" w:before="60"/>
      </w:pPr>
      <w:r>
        <w:rPr>
          <w:rFonts w:ascii="Georgia" w:cs="Georgia" w:eastAsia="Georgia" w:hAnsi="Georgia"/>
          <w:sz w:val="24"/>
          <w:szCs w:val="24"/>
        </w:rPr>
        <w:t xml:space="preserve">Composite score: compute multimodal_score = (1 - dip_pval) × max(ΔBIC, 0) × peak_separation.</w:t>
      </w:r>
    </w:p>
    <w:p>
      <w:pPr>
        <w:pStyle w:val="ListParagraph"/>
        <w:numPr>
          <w:ilvl w:val="0"/>
          <w:numId w:val="3"/>
        </w:numPr>
        <w:spacing w:after="60" w:before="60"/>
      </w:pPr>
      <w:r>
        <w:rPr>
          <w:rFonts w:ascii="Georgia" w:cs="Georgia" w:eastAsia="Georgia" w:hAnsi="Georgia"/>
          <w:sz w:val="24"/>
          <w:szCs w:val="24"/>
        </w:rPr>
        <w:t xml:space="preserve">Selection: retain genes with ΔBIC ≥ min_bic_delta (default 10) and peak_separation ≥ min_peak_separation (default 0.5). If fewer than min_genes_fallback genes pass, relax the BIC threshold and issue a warning.</w:t>
      </w:r>
    </w:p>
    <w:p>
      <w:pPr>
        <w:pStyle w:val="Heading2"/>
      </w:pPr>
      <w:r>
        <w:rPr>
          <w:rFonts w:ascii="Arial" w:cs="Arial" w:eastAsia="Arial" w:hAnsi="Arial"/>
          <w:b/>
          <w:bCs/>
          <w:color w:val="2563EB"/>
          <w:sz w:val="30"/>
          <w:szCs w:val="30"/>
        </w:rPr>
        <w:t xml:space="preserve">3.2  The Composite Score</w:t>
      </w:r>
    </w:p>
    <w:p>
      <w:pPr>
        <w:spacing w:after="160" w:before="80" w:line="288"/>
      </w:pPr>
      <w:r>
        <w:rPr>
          <w:rFonts w:ascii="Georgia" w:cs="Georgia" w:eastAsia="Georgia" w:hAnsi="Georgia"/>
          <w:sz w:val="24"/>
          <w:szCs w:val="24"/>
        </w:rPr>
        <w:t xml:space="preserve">The composite score integrates three complementary signals: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Formula Term</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Dip Test evidence</w:t>
            </w:r>
          </w:p>
        </w:tc>
        <w:tc>
          <w:tcPr>
            <w:tcW w:type="dxa" w:w="2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(1 − dip_pval)</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Non-parametric evidence against unimodality. Contributes 0 when distribution is clearly unimodal.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BIC support for k=2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max(ΔBIC, 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Model-based evidence that two Gaussian components fit better than one. Equals 0 when k=1 is preferred.</w:t>
            </w:r>
          </w:p>
        </w:tc>
      </w:tr>
      <w:tr>
        <w:tc>
          <w:tcPr>
            <w:tcW w:type="dxa" w:w="2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Peak separation</w:t>
            </w:r>
          </w:p>
        </w:tc>
        <w:tc>
          <w:tcPr>
            <w:tcW w:type="dxa" w:w="2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Cohen’s d</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Prevents selecting genes with two barely-distinct peaks. Penalizes overlapping distributions.</w:t>
            </w:r>
          </w:p>
        </w:tc>
      </w:tr>
    </w:tbl>
    <w:p>
      <w:pPr>
        <w:spacing w:after="0" w:before="120"/>
      </w:pPr>
      <w:r>
        <w:t xml:space="preserve"/>
      </w:r>
    </w:p>
    <w:p>
      <w:pPr>
        <w:spacing w:after="160" w:before="80" w:line="288"/>
        <w:jc w:val="both"/>
      </w:pPr>
      <w:r>
        <w:rPr>
          <w:rFonts w:ascii="Georgia" w:cs="Georgia" w:eastAsia="Georgia" w:hAnsi="Georgia"/>
          <w:sz w:val="24"/>
          <w:szCs w:val="24"/>
        </w:rPr>
        <w:t xml:space="preserve">A gene scores zero if any component is zero, ensuring all three criteria must be simultaneously satisfied. The score is unbounded above, enabling continuous ranking.</w:t>
      </w:r>
    </w:p>
    <w:p>
      <w:pPr>
        <w:pStyle w:val="Heading2"/>
      </w:pPr>
      <w:r>
        <w:rPr>
          <w:rFonts w:ascii="Arial" w:cs="Arial" w:eastAsia="Arial" w:hAnsi="Arial"/>
          <w:b/>
          <w:bCs/>
          <w:color w:val="2563EB"/>
          <w:sz w:val="30"/>
          <w:szCs w:val="30"/>
        </w:rPr>
        <w:t xml:space="preserve">3.3  BIC Threshold of 10</w:t>
      </w:r>
    </w:p>
    <w:p>
      <w:pPr>
        <w:spacing w:after="160" w:before="80" w:line="288"/>
        <w:jc w:val="both"/>
      </w:pPr>
      <w:r>
        <w:rPr>
          <w:rFonts w:ascii="Georgia" w:cs="Georgia" w:eastAsia="Georgia" w:hAnsi="Georgia"/>
          <w:sz w:val="24"/>
          <w:szCs w:val="24"/>
        </w:rPr>
        <w:t xml:space="preserve">The default min_bic_delta of 10 corresponds to Kass and Raftery's (1995) criterion for 'very strong' evidence in Bayesian model comparison. A ΔBIC below 2 is considered 'not worth more than a bare mention'; between 2 and 6 is 'positive'; between 6 and 10 is 'strong'; above 10 is 'very strong'. The default is deliberately set at the strictest conventional threshold to minimize false positives in gene selection.</w:t>
      </w:r>
    </w:p>
    <w:p>
      <w:pPr>
        <w:spacing w:after="160" w:before="80" w:line="288"/>
        <w:jc w:val="both"/>
      </w:pPr>
      <w:r>
        <w:rPr>
          <w:rFonts w:ascii="Georgia" w:cs="Georgia" w:eastAsia="Georgia" w:hAnsi="Georgia"/>
          <w:sz w:val="24"/>
          <w:szCs w:val="24"/>
        </w:rPr>
        <w:t xml:space="preserve">Note: In R's mclust package, BIC is defined with the sign convention that higher is better (opposite to AIC convention). MGS adjusts for this internally — the user-facing ΔBIC is always positive when k=2 is preferred.</w:t>
      </w:r>
    </w:p>
    <w:p>
      <w:pPr>
        <w:spacing w:after="0" w:before="200"/>
      </w:pPr>
      <w:r>
        <w:t xml:space="preserve"/>
      </w:r>
    </w:p>
    <w:p>
      <w:pPr>
        <w:pStyle w:val="Heading1"/>
      </w:pPr>
      <w:r>
        <w:rPr>
          <w:rFonts w:ascii="Arial" w:cs="Arial" w:eastAsia="Arial" w:hAnsi="Arial"/>
          <w:b/>
          <w:bCs/>
          <w:color w:val="1E3A5F"/>
          <w:sz w:val="40"/>
          <w:szCs w:val="40"/>
        </w:rPr>
        <w:t xml:space="preserve">4. Comparison with Existing Methods</w:t>
      </w:r>
    </w:p>
    <w:p>
      <w:pPr>
        <w:pStyle w:val="Heading2"/>
      </w:pPr>
      <w:r>
        <w:rPr>
          <w:rFonts w:ascii="Arial" w:cs="Arial" w:eastAsia="Arial" w:hAnsi="Arial"/>
          <w:b/>
          <w:bCs/>
          <w:color w:val="2563EB"/>
          <w:sz w:val="30"/>
          <w:szCs w:val="30"/>
        </w:rPr>
        <w:t xml:space="preserve">4.1  Highly Variable Genes (Seurat / scanpy)</w:t>
      </w:r>
    </w:p>
    <w:p>
      <w:pPr>
        <w:spacing w:after="160" w:before="80" w:line="288"/>
        <w:jc w:val="both"/>
      </w:pPr>
      <w:r>
        <w:rPr>
          <w:rFonts w:ascii="Georgia" w:cs="Georgia" w:eastAsia="Georgia" w:hAnsi="Georgia"/>
          <w:sz w:val="24"/>
          <w:szCs w:val="24"/>
        </w:rPr>
        <w:t xml:space="preserve">The HVG method implemented in Seurat's FindVariableFeatures() and scanpy's pp.highly_variable_genes() ranks genes by dispersion (variance normalized by mean) or by a variance-stabilizing transformation. Both implementations return a fixed number of top genes without statistical testing.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6"/>
              <w:bottom w:val="single" w:color="D97706" w:sz="1"/>
              <w:right w:val="single" w:color="D97706" w:sz="1"/>
            </w:tcBorders>
            <w:shd w:fill="FFF7ED" w:val="clear"/>
            <w:tcMar>
              <w:top w:type="dxa" w:w="100"/>
              <w:left w:type="dxa" w:w="140"/>
              <w:bottom w:type="dxa" w:w="100"/>
              <w:right w:type="dxa" w:w="140"/>
            </w:tcMar>
          </w:tcPr>
          <w:p>
            <w:pPr>
              <w:spacing w:after="60" w:before="0"/>
            </w:pPr>
            <w:r>
              <w:rPr>
                <w:rFonts w:ascii="Arial" w:cs="Arial" w:eastAsia="Arial" w:hAnsi="Arial"/>
                <w:b/>
                <w:bCs/>
                <w:color w:val="D97706"/>
                <w:sz w:val="20"/>
                <w:szCs w:val="20"/>
              </w:rPr>
              <w:t xml:space="preserve">Key Difference</w:t>
            </w:r>
          </w:p>
          <w:p>
            <w:pPr>
              <w:spacing w:after="0" w:before="0" w:line="288"/>
            </w:pPr>
            <w:r>
              <w:rPr>
                <w:rFonts w:ascii="Georgia" w:cs="Georgia" w:eastAsia="Georgia" w:hAnsi="Georgia"/>
                <w:sz w:val="22"/>
                <w:szCs w:val="22"/>
              </w:rPr>
              <w:t xml:space="preserve">HVG measures how much a gene varies across all cells, including zero counts. MGS measures whether the pattern of variation among expressing cells is bimodal. These are related but distinct properties — bimodal genes will have high variance, but high-variance genes are not necessarily bimodal.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HVG (Seurat/scanpy)</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MGS</w:t>
            </w:r>
          </w:p>
        </w:tc>
      </w:tr>
      <w:tr>
        <w:tc>
          <w:tcPr>
            <w:tcW w:type="dxa" w:w="3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Statistical basis</w:t>
            </w:r>
          </w:p>
        </w:tc>
        <w:tc>
          <w:tcPr>
            <w:tcW w:type="dxa" w:w="318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Variance / dispersion (no test)</w:t>
            </w:r>
          </w:p>
        </w:tc>
        <w:tc>
          <w:tcPr>
            <w:tcW w:type="dxa" w:w="318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Dip Test + BIC (formal tests)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Handles zeros separately</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Yes — zeros excluded before testing</w:t>
            </w:r>
          </w:p>
        </w:tc>
      </w:tr>
      <w:tr>
        <w:tc>
          <w:tcPr>
            <w:tcW w:type="dxa" w:w="3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Detects bimodal structure</w:t>
            </w:r>
          </w:p>
        </w:tc>
        <w:tc>
          <w:tcPr>
            <w:tcW w:type="dxa" w:w="318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Only if variance is high</w:t>
            </w:r>
          </w:p>
        </w:tc>
        <w:tc>
          <w:tcPr>
            <w:tcW w:type="dxa" w:w="318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Directly, by design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Returns p-values/scores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Dispersion (not a p-value)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Composite multimodal score</w:t>
            </w:r>
          </w:p>
        </w:tc>
      </w:tr>
      <w:tr>
        <w:tc>
          <w:tcPr>
            <w:tcW w:type="dxa" w:w="3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Thresholded by evidence strength</w:t>
            </w:r>
          </w:p>
        </w:tc>
        <w:tc>
          <w:tcPr>
            <w:tcW w:type="dxa" w:w="318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No (fixed top-N)</w:t>
            </w:r>
          </w:p>
        </w:tc>
        <w:tc>
          <w:tcPr>
            <w:tcW w:type="dxa" w:w="318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Yes (BIC ≥ 10 by default)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Computational cost</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O(n × g)</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O(n × g × k) per gene</w:t>
            </w:r>
          </w:p>
        </w:tc>
      </w:tr>
      <w:tr>
        <w:tc>
          <w:tcPr>
            <w:tcW w:type="dxa" w:w="3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Sensitive to batch effects</w:t>
            </w:r>
          </w:p>
        </w:tc>
        <w:tc>
          <w:tcPr>
            <w:tcW w:type="dxa" w:w="318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Yes (inflated variance)</w:t>
            </w:r>
          </w:p>
        </w:tc>
        <w:tc>
          <w:tcPr>
            <w:tcW w:type="dxa" w:w="318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Partially mitigated (tests structure, not magnitude)</w:t>
            </w:r>
          </w:p>
        </w:tc>
      </w:tr>
    </w:tbl>
    <w:p>
      <w:pPr>
        <w:spacing w:after="0" w:before="200"/>
      </w:pPr>
      <w:r>
        <w:t xml:space="preserve"/>
      </w:r>
    </w:p>
    <w:p>
      <w:pPr>
        <w:pStyle w:val="Heading2"/>
      </w:pPr>
      <w:r>
        <w:rPr>
          <w:rFonts w:ascii="Arial" w:cs="Arial" w:eastAsia="Arial" w:hAnsi="Arial"/>
          <w:b/>
          <w:bCs/>
          <w:color w:val="2563EB"/>
          <w:sz w:val="30"/>
          <w:szCs w:val="30"/>
        </w:rPr>
        <w:t xml:space="preserve">4.2  M3Drop</w:t>
      </w:r>
    </w:p>
    <w:p>
      <w:pPr>
        <w:spacing w:after="160" w:before="80" w:line="288"/>
        <w:jc w:val="both"/>
      </w:pPr>
      <w:r>
        <w:rPr>
          <w:rFonts w:ascii="Georgia" w:cs="Georgia" w:eastAsia="Georgia" w:hAnsi="Georgia"/>
          <w:sz w:val="24"/>
          <w:szCs w:val="24"/>
        </w:rPr>
        <w:t xml:space="preserve">M3Drop (Andrews and Hemberg, 2019) models the relationship between dropout rate and mean expression using a Michaelis-Menten kinetic model. Genes are selected when their observed dropout rate exceeds the expected rate given their mean expression, indicating that zeros are not purely technical but reflect a biologically 'off' state.</w:t>
      </w:r>
    </w:p>
    <w:p>
      <w:pPr>
        <w:spacing w:after="160" w:before="80" w:line="288"/>
        <w:jc w:val="both"/>
      </w:pPr>
      <w:r>
        <w:rPr>
          <w:rFonts w:ascii="Georgia" w:cs="Georgia" w:eastAsia="Georgia" w:hAnsi="Georgia"/>
          <w:sz w:val="24"/>
          <w:szCs w:val="24"/>
        </w:rPr>
        <w:t xml:space="preserve">M3Drop is conceptually complementary to MGS: it reasons about zeros (are they biological or technical?), while MGS reasons about non-zeros (are they unimodal or bimodal?). M3Drop does not directly detect bimodality among expressing cells, and it assumes a specific parametric model for dropout that may not hold across all technologies.</w:t>
      </w:r>
    </w:p>
    <w:p>
      <w:pPr>
        <w:pStyle w:val="Heading2"/>
      </w:pPr>
      <w:r>
        <w:rPr>
          <w:rFonts w:ascii="Arial" w:cs="Arial" w:eastAsia="Arial" w:hAnsi="Arial"/>
          <w:b/>
          <w:bCs/>
          <w:color w:val="2563EB"/>
          <w:sz w:val="30"/>
          <w:szCs w:val="30"/>
        </w:rPr>
        <w:t xml:space="preserve">4.3  Bimodality Index (BI)</w:t>
      </w:r>
    </w:p>
    <w:p>
      <w:pPr>
        <w:spacing w:after="160" w:before="80" w:line="288"/>
        <w:jc w:val="both"/>
      </w:pPr>
      <w:r>
        <w:rPr>
          <w:rFonts w:ascii="Georgia" w:cs="Georgia" w:eastAsia="Georgia" w:hAnsi="Georgia"/>
          <w:sz w:val="24"/>
          <w:szCs w:val="24"/>
        </w:rPr>
        <w:t xml:space="preserve">The Bimodality Index (Wang et al., 2009) fits a two-component Gaussian mixture to the full expression distribution (including zeros after log+1 transformation) and computes a summary statistic reflecting the separation between components. It was developed for bulk microarray data and does not account for the structural nature of zeros in scRNA-seq (dropout vs. genuine non-expression).</w:t>
      </w:r>
    </w:p>
    <w:p>
      <w:pPr>
        <w:spacing w:after="160" w:before="80" w:line="288"/>
        <w:jc w:val="both"/>
      </w:pPr>
      <w:r>
        <w:rPr>
          <w:rFonts w:ascii="Georgia" w:cs="Georgia" w:eastAsia="Georgia" w:hAnsi="Georgia"/>
          <w:sz w:val="24"/>
          <w:szCs w:val="24"/>
        </w:rPr>
        <w:t xml:space="preserve">MGS improves on BI by: (1) separating zeros before fitting, avoiding confounding of biological silence and technical dropout; (2) using formal BIC comparison instead of a single summary statistic; and (3) adding the Dip Test as an orthogonal pre-filter that does not assume a parametric form.</w:t>
      </w:r>
    </w:p>
    <w:p>
      <w:pPr>
        <w:pStyle w:val="Heading2"/>
      </w:pPr>
      <w:r>
        <w:rPr>
          <w:rFonts w:ascii="Arial" w:cs="Arial" w:eastAsia="Arial" w:hAnsi="Arial"/>
          <w:b/>
          <w:bCs/>
          <w:color w:val="2563EB"/>
          <w:sz w:val="30"/>
          <w:szCs w:val="30"/>
        </w:rPr>
        <w:t xml:space="preserve">4.4  Hartigan Dip Test (standalone)</w:t>
      </w:r>
    </w:p>
    <w:p>
      <w:pPr>
        <w:spacing w:after="160" w:before="80" w:line="288"/>
        <w:jc w:val="both"/>
      </w:pPr>
      <w:r>
        <w:rPr>
          <w:rFonts w:ascii="Georgia" w:cs="Georgia" w:eastAsia="Georgia" w:hAnsi="Georgia"/>
          <w:sz w:val="24"/>
          <w:szCs w:val="24"/>
        </w:rPr>
        <w:t xml:space="preserve">The Dip Test (Hartigan and Hartigan, 1985) is a non-parametric test of unimodality and is well-suited as a screening tool. However, used alone it has two limitations in practice: (1) with large n (thousands of cells), nearly any distribution will reject unimodality; (2) it provides no measure of how well-separated the modes are, which is critical for UMAP embeddings.</w:t>
      </w:r>
    </w:p>
    <w:p>
      <w:pPr>
        <w:spacing w:after="160" w:before="80" w:line="288"/>
        <w:jc w:val="both"/>
      </w:pPr>
      <w:r>
        <w:rPr>
          <w:rFonts w:ascii="Georgia" w:cs="Georgia" w:eastAsia="Georgia" w:hAnsi="Georgia"/>
          <w:sz w:val="24"/>
          <w:szCs w:val="24"/>
        </w:rPr>
        <w:t xml:space="preserve">MGS uses the Dip Test only as a fast pre-filter (with a liberal threshold of 0.2) and relies on BIC and Cohen's d for final selection. This combination avoids both the false negatives of a strict Dip Test threshold and the false positives of a naïve GMM applied to every gene.</w:t>
      </w:r>
    </w:p>
    <w:p>
      <w:pPr>
        <w:pStyle w:val="Heading2"/>
      </w:pPr>
      <w:r>
        <w:rPr>
          <w:rFonts w:ascii="Arial" w:cs="Arial" w:eastAsia="Arial" w:hAnsi="Arial"/>
          <w:b/>
          <w:bCs/>
          <w:color w:val="2563EB"/>
          <w:sz w:val="30"/>
          <w:szCs w:val="30"/>
        </w:rPr>
        <w:t xml:space="preserve">4.5  Summary Comparison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700"/>
        <w:gridCol w:w="1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1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Tests bimodality?</w:t>
            </w:r>
          </w:p>
        </w:tc>
        <w:tc>
          <w:tcPr>
            <w:tcW w:type="dxa" w:w="1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Handles zeros?</w:t>
            </w:r>
          </w:p>
        </w:tc>
        <w:tc>
          <w:tcPr>
            <w:tcW w:type="dxa" w:w="1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Model comparison?</w:t>
            </w:r>
          </w:p>
        </w:tc>
        <w:tc>
          <w:tcPr>
            <w:tcW w:type="dxa" w:w="1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Best suited for</w:t>
            </w:r>
          </w:p>
        </w:tc>
      </w:tr>
      <w:tr>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MGS</w:t>
            </w:r>
          </w:p>
        </w:tc>
        <w:tc>
          <w:tcPr>
            <w:tcW w:type="dxa" w:w="19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Yes (Dip + GMM)</w:t>
            </w:r>
          </w:p>
        </w:tc>
        <w:tc>
          <w:tcPr>
            <w:tcW w:type="dxa" w:w="19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Yes (excludes zeros)</w:t>
            </w:r>
          </w:p>
        </w:tc>
        <w:tc>
          <w:tcPr>
            <w:tcW w:type="dxa" w:w="17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Yes (BIC)</w:t>
            </w:r>
          </w:p>
        </w:tc>
        <w:tc>
          <w:tcPr>
            <w:tcW w:type="dxa" w:w="18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scRNA-seq marker gene selection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HVG (Seurat/scanpy)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Fast, general-purpose selection</w:t>
            </w:r>
          </w:p>
        </w:tc>
      </w:tr>
      <w:tr>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M3Drop</w:t>
            </w:r>
          </w:p>
        </w:tc>
        <w:tc>
          <w:tcPr>
            <w:tcW w:type="dxa" w:w="19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Partially</w:t>
            </w:r>
          </w:p>
        </w:tc>
        <w:tc>
          <w:tcPr>
            <w:tcW w:type="dxa" w:w="19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Yes (models zeros)</w:t>
            </w:r>
          </w:p>
        </w:tc>
        <w:tc>
          <w:tcPr>
            <w:tcW w:type="dxa" w:w="17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18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Dropout-aware filtering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Bimodality Index</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Yes (GMM only)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Bulk/microarray data</w:t>
            </w:r>
          </w:p>
        </w:tc>
      </w:tr>
      <w:tr>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Dip Test alone</w:t>
            </w:r>
          </w:p>
        </w:tc>
        <w:tc>
          <w:tcPr>
            <w:tcW w:type="dxa" w:w="19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Yes (non-parametric)</w:t>
            </w:r>
          </w:p>
        </w:tc>
        <w:tc>
          <w:tcPr>
            <w:tcW w:type="dxa" w:w="19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17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No</w:t>
            </w:r>
          </w:p>
        </w:tc>
        <w:tc>
          <w:tcPr>
            <w:tcW w:type="dxa" w:w="18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Exploratory screening</w:t>
            </w:r>
          </w:p>
        </w:tc>
      </w:tr>
    </w:tbl>
    <w:p>
      <w:pPr>
        <w:spacing w:after="0" w:before="200"/>
      </w:pPr>
      <w:r>
        <w:t xml:space="preserve"/>
      </w:r>
    </w:p>
    <w:p>
      <w:pPr>
        <w:pStyle w:val="Heading1"/>
      </w:pPr>
      <w:r>
        <w:rPr>
          <w:rFonts w:ascii="Arial" w:cs="Arial" w:eastAsia="Arial" w:hAnsi="Arial"/>
          <w:b/>
          <w:bCs/>
          <w:color w:val="1E3A5F"/>
          <w:sz w:val="40"/>
          <w:szCs w:val="40"/>
        </w:rPr>
        <w:t xml:space="preserve">5. Worked Example: PBMC 3k</w:t>
      </w:r>
    </w:p>
    <w:p>
      <w:pPr>
        <w:pStyle w:val="Heading2"/>
      </w:pPr>
      <w:r>
        <w:rPr>
          <w:rFonts w:ascii="Arial" w:cs="Arial" w:eastAsia="Arial" w:hAnsi="Arial"/>
          <w:b/>
          <w:bCs/>
          <w:color w:val="2563EB"/>
          <w:sz w:val="30"/>
          <w:szCs w:val="30"/>
        </w:rPr>
        <w:t xml:space="preserve">5.1  Python (scanpy / AnnData)</w:t>
      </w:r>
    </w:p>
    <w:p>
      <w:pPr>
        <w:spacing w:after="160" w:before="80" w:line="288"/>
        <w:jc w:val="left"/>
      </w:pPr>
      <w:r>
        <w:rPr>
          <w:rFonts w:ascii="Georgia" w:cs="Georgia" w:eastAsia="Georgia" w:hAnsi="Georgia"/>
          <w:sz w:val="24"/>
          <w:szCs w:val="24"/>
        </w:rPr>
        <w:t xml:space="preserve">Install the package and its dependencies:</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pip install mgs scanpy</w:t>
      </w:r>
    </w:p>
    <w:p>
      <w:pPr>
        <w:shd w:fill="F0F4FF" w:val="clear"/>
        <w:spacing w:after="180"/>
      </w:pPr>
      <w:r>
        <w:t xml:space="preserve"/>
      </w:r>
    </w:p>
    <w:p>
      <w:pPr>
        <w:spacing w:after="160" w:before="80" w:line="288"/>
        <w:jc w:val="left"/>
      </w:pPr>
      <w:r>
        <w:rPr>
          <w:rFonts w:ascii="Georgia" w:cs="Georgia" w:eastAsia="Georgia" w:hAnsi="Georgia"/>
          <w:sz w:val="24"/>
          <w:szCs w:val="24"/>
        </w:rPr>
        <w:t xml:space="preserve">Run the full pipeline:</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import scanpy as sc</w:t>
      </w:r>
    </w:p>
    <w:p>
      <w:pPr>
        <w:shd w:fill="F0F4FF" w:val="clear"/>
        <w:spacing w:after="0" w:before="0" w:line="264"/>
        <w:ind w:left="480"/>
      </w:pPr>
      <w:r>
        <w:rPr>
          <w:rFonts w:ascii="Courier New" w:cs="Courier New" w:eastAsia="Courier New" w:hAnsi="Courier New"/>
          <w:color w:val="1F2937"/>
          <w:sz w:val="18"/>
          <w:szCs w:val="18"/>
        </w:rPr>
        <w:t xml:space="preserve">from mgs import MGS</w:t>
      </w:r>
    </w:p>
    <w:p>
      <w:pPr>
        <w:shd w:fill="F0F4FF" w:val="clear"/>
        <w:spacing w:after="0" w:before="0" w:line="264"/>
        <w:ind w:left="480"/>
      </w:pPr>
      <w:r>
        <w:rPr>
          <w:rFonts w:ascii="Courier New" w:cs="Courier New" w:eastAsia="Courier New" w:hAnsi="Courier New"/>
          <w:color w:val="1F2937"/>
          <w:sz w:val="18"/>
          <w:szCs w:val="18"/>
        </w:rPr>
        <w:t xml:space="preserve">from mgs.plotting import compute_both_umaps, plot_umap_comparison</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1. Load and preprocess</w:t>
      </w:r>
    </w:p>
    <w:p>
      <w:pPr>
        <w:shd w:fill="F0F4FF" w:val="clear"/>
        <w:spacing w:after="0" w:before="0" w:line="264"/>
        <w:ind w:left="480"/>
      </w:pPr>
      <w:r>
        <w:rPr>
          <w:rFonts w:ascii="Courier New" w:cs="Courier New" w:eastAsia="Courier New" w:hAnsi="Courier New"/>
          <w:color w:val="1F2937"/>
          <w:sz w:val="18"/>
          <w:szCs w:val="18"/>
        </w:rPr>
        <w:t xml:space="preserve">adata = sc.datasets.pbmc3k()</w:t>
      </w:r>
    </w:p>
    <w:p>
      <w:pPr>
        <w:shd w:fill="F0F4FF" w:val="clear"/>
        <w:spacing w:after="0" w:before="0" w:line="264"/>
        <w:ind w:left="480"/>
      </w:pPr>
      <w:r>
        <w:rPr>
          <w:rFonts w:ascii="Courier New" w:cs="Courier New" w:eastAsia="Courier New" w:hAnsi="Courier New"/>
          <w:color w:val="1F2937"/>
          <w:sz w:val="18"/>
          <w:szCs w:val="18"/>
        </w:rPr>
        <w:t xml:space="preserve">sc.pp.filter_cells(adata, min_genes=200)</w:t>
      </w:r>
    </w:p>
    <w:p>
      <w:pPr>
        <w:shd w:fill="F0F4FF" w:val="clear"/>
        <w:spacing w:after="0" w:before="0" w:line="264"/>
        <w:ind w:left="480"/>
      </w:pPr>
      <w:r>
        <w:rPr>
          <w:rFonts w:ascii="Courier New" w:cs="Courier New" w:eastAsia="Courier New" w:hAnsi="Courier New"/>
          <w:color w:val="1F2937"/>
          <w:sz w:val="18"/>
          <w:szCs w:val="18"/>
        </w:rPr>
        <w:t xml:space="preserve">sc.pp.filter_genes(adata, min_cells=3)</w:t>
      </w:r>
    </w:p>
    <w:p>
      <w:pPr>
        <w:shd w:fill="F0F4FF" w:val="clear"/>
        <w:spacing w:after="0" w:before="0" w:line="264"/>
        <w:ind w:left="480"/>
      </w:pPr>
      <w:r>
        <w:rPr>
          <w:rFonts w:ascii="Courier New" w:cs="Courier New" w:eastAsia="Courier New" w:hAnsi="Courier New"/>
          <w:color w:val="1F2937"/>
          <w:sz w:val="18"/>
          <w:szCs w:val="18"/>
        </w:rPr>
        <w:t xml:space="preserve">sc.pp.normalize_total(adata, target_sum=1e4)</w:t>
      </w:r>
    </w:p>
    <w:p>
      <w:pPr>
        <w:shd w:fill="F0F4FF" w:val="clear"/>
        <w:spacing w:after="0" w:before="0" w:line="264"/>
        <w:ind w:left="480"/>
      </w:pPr>
      <w:r>
        <w:rPr>
          <w:rFonts w:ascii="Courier New" w:cs="Courier New" w:eastAsia="Courier New" w:hAnsi="Courier New"/>
          <w:color w:val="1F2937"/>
          <w:sz w:val="18"/>
          <w:szCs w:val="18"/>
        </w:rPr>
        <w:t xml:space="preserve">sc.pp.log1p(adata)</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2. Run MGS with defaults</w:t>
      </w:r>
    </w:p>
    <w:p>
      <w:pPr>
        <w:shd w:fill="F0F4FF" w:val="clear"/>
        <w:spacing w:after="0" w:before="0" w:line="264"/>
        <w:ind w:left="480"/>
      </w:pPr>
      <w:r>
        <w:rPr>
          <w:rFonts w:ascii="Courier New" w:cs="Courier New" w:eastAsia="Courier New" w:hAnsi="Courier New"/>
          <w:color w:val="1F2937"/>
          <w:sz w:val="18"/>
          <w:szCs w:val="18"/>
        </w:rPr>
        <w:t xml:space="preserve">selector = MGS()</w:t>
      </w:r>
    </w:p>
    <w:p>
      <w:pPr>
        <w:shd w:fill="F0F4FF" w:val="clear"/>
        <w:spacing w:after="0" w:before="0" w:line="264"/>
        <w:ind w:left="480"/>
      </w:pPr>
      <w:r>
        <w:rPr>
          <w:rFonts w:ascii="Courier New" w:cs="Courier New" w:eastAsia="Courier New" w:hAnsi="Courier New"/>
          <w:color w:val="1F2937"/>
          <w:sz w:val="18"/>
          <w:szCs w:val="18"/>
        </w:rPr>
        <w:t xml:space="preserve">adata, genes = selector.fit_transform(adata)</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3. Inspect top genes</w:t>
      </w:r>
    </w:p>
    <w:p>
      <w:pPr>
        <w:shd w:fill="F0F4FF" w:val="clear"/>
        <w:spacing w:after="0" w:before="0" w:line="264"/>
        <w:ind w:left="480"/>
      </w:pPr>
      <w:r>
        <w:rPr>
          <w:rFonts w:ascii="Courier New" w:cs="Courier New" w:eastAsia="Courier New" w:hAnsi="Courier New"/>
          <w:color w:val="1F2937"/>
          <w:sz w:val="18"/>
          <w:szCs w:val="18"/>
        </w:rPr>
        <w:t xml:space="preserve">print(selector.results_.head(20))</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4. Compare UMAP vs HVGs</w:t>
      </w:r>
    </w:p>
    <w:p>
      <w:pPr>
        <w:shd w:fill="F0F4FF" w:val="clear"/>
        <w:spacing w:after="0" w:before="0" w:line="264"/>
        <w:ind w:left="480"/>
      </w:pPr>
      <w:r>
        <w:rPr>
          <w:rFonts w:ascii="Courier New" w:cs="Courier New" w:eastAsia="Courier New" w:hAnsi="Courier New"/>
          <w:color w:val="1F2937"/>
          <w:sz w:val="18"/>
          <w:szCs w:val="18"/>
        </w:rPr>
        <w:t xml:space="preserve">sc.tl.leiden(adata, resolution=0.5)</w:t>
      </w:r>
    </w:p>
    <w:p>
      <w:pPr>
        <w:shd w:fill="F0F4FF" w:val="clear"/>
        <w:spacing w:after="0" w:before="0" w:line="264"/>
        <w:ind w:left="480"/>
      </w:pPr>
      <w:r>
        <w:rPr>
          <w:rFonts w:ascii="Courier New" w:cs="Courier New" w:eastAsia="Courier New" w:hAnsi="Courier New"/>
          <w:color w:val="1F2937"/>
          <w:sz w:val="18"/>
          <w:szCs w:val="18"/>
        </w:rPr>
        <w:t xml:space="preserve">compute_both_umaps(adata, selector)</w:t>
      </w:r>
    </w:p>
    <w:p>
      <w:pPr>
        <w:shd w:fill="F0F4FF" w:val="clear"/>
        <w:spacing w:after="0" w:before="0" w:line="264"/>
        <w:ind w:left="480"/>
      </w:pPr>
      <w:r>
        <w:rPr>
          <w:rFonts w:ascii="Courier New" w:cs="Courier New" w:eastAsia="Courier New" w:hAnsi="Courier New"/>
          <w:color w:val="1F2937"/>
          <w:sz w:val="18"/>
          <w:szCs w:val="18"/>
        </w:rPr>
        <w:t xml:space="preserve">plot_umap_comparison(adata)</w:t>
      </w:r>
    </w:p>
    <w:p>
      <w:pPr>
        <w:shd w:fill="F0F4FF" w:val="clear"/>
        <w:spacing w:after="180"/>
      </w:pPr>
      <w:r>
        <w:t xml:space="preserve"/>
      </w:r>
    </w:p>
    <w:p>
      <w:pPr>
        <w:pStyle w:val="Heading2"/>
      </w:pPr>
      <w:r>
        <w:rPr>
          <w:rFonts w:ascii="Arial" w:cs="Arial" w:eastAsia="Arial" w:hAnsi="Arial"/>
          <w:b/>
          <w:bCs/>
          <w:color w:val="2563EB"/>
          <w:sz w:val="30"/>
          <w:szCs w:val="30"/>
        </w:rPr>
        <w:t xml:space="preserve">5.2  R (Seurat / Bioconductor)</w:t>
      </w:r>
    </w:p>
    <w:p>
      <w:pPr>
        <w:spacing w:after="160" w:before="80" w:line="288"/>
        <w:jc w:val="left"/>
      </w:pPr>
      <w:r>
        <w:rPr>
          <w:rFonts w:ascii="Georgia" w:cs="Georgia" w:eastAsia="Georgia" w:hAnsi="Georgia"/>
          <w:sz w:val="24"/>
          <w:szCs w:val="24"/>
        </w:rPr>
        <w:t xml:space="preserve">Install dependencies and run:</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install.packages(c('mclust', 'diptest', 'ggplot2', 'cli'))</w:t>
      </w:r>
    </w:p>
    <w:p>
      <w:pPr>
        <w:shd w:fill="F0F4FF" w:val="clear"/>
        <w:spacing w:after="0" w:before="0" w:line="264"/>
        <w:ind w:left="480"/>
      </w:pPr>
      <w:r>
        <w:rPr>
          <w:rFonts w:ascii="Courier New" w:cs="Courier New" w:eastAsia="Courier New" w:hAnsi="Courier New"/>
          <w:color w:val="1F2937"/>
          <w:sz w:val="18"/>
          <w:szCs w:val="18"/>
        </w:rPr>
        <w:t xml:space="preserve"># devtools::install_github('yourname/mgs')</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library(Seurat); library(mgs)</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1. Standard Seurat preprocessing</w:t>
      </w:r>
    </w:p>
    <w:p>
      <w:pPr>
        <w:shd w:fill="F0F4FF" w:val="clear"/>
        <w:spacing w:after="0" w:before="0" w:line="264"/>
        <w:ind w:left="480"/>
      </w:pPr>
      <w:r>
        <w:rPr>
          <w:rFonts w:ascii="Courier New" w:cs="Courier New" w:eastAsia="Courier New" w:hAnsi="Courier New"/>
          <w:color w:val="1F2937"/>
          <w:sz w:val="18"/>
          <w:szCs w:val="18"/>
        </w:rPr>
        <w:t xml:space="preserve">pbmc &lt;- NormalizeData(pbmc3k)</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2. Run MGS</w:t>
      </w:r>
    </w:p>
    <w:p>
      <w:pPr>
        <w:shd w:fill="F0F4FF" w:val="clear"/>
        <w:spacing w:after="0" w:before="0" w:line="264"/>
        <w:ind w:left="480"/>
      </w:pPr>
      <w:r>
        <w:rPr>
          <w:rFonts w:ascii="Courier New" w:cs="Courier New" w:eastAsia="Courier New" w:hAnsi="Courier New"/>
          <w:color w:val="1F2937"/>
          <w:sz w:val="18"/>
          <w:szCs w:val="18"/>
        </w:rPr>
        <w:t xml:space="preserve">result &lt;- select_multimodal_genes(</w:t>
      </w:r>
    </w:p>
    <w:p>
      <w:pPr>
        <w:shd w:fill="F0F4FF" w:val="clear"/>
        <w:spacing w:after="0" w:before="0" w:line="264"/>
        <w:ind w:left="480"/>
      </w:pPr>
      <w:r>
        <w:rPr>
          <w:rFonts w:ascii="Courier New" w:cs="Courier New" w:eastAsia="Courier New" w:hAnsi="Courier New"/>
          <w:color w:val="1F2937"/>
          <w:sz w:val="18"/>
          <w:szCs w:val="18"/>
        </w:rPr>
        <w:t xml:space="preserve">  pbmc,</w:t>
      </w:r>
    </w:p>
    <w:p>
      <w:pPr>
        <w:shd w:fill="F0F4FF" w:val="clear"/>
        <w:spacing w:after="0" w:before="0" w:line="264"/>
        <w:ind w:left="480"/>
      </w:pPr>
      <w:r>
        <w:rPr>
          <w:rFonts w:ascii="Courier New" w:cs="Courier New" w:eastAsia="Courier New" w:hAnsi="Courier New"/>
          <w:color w:val="1F2937"/>
          <w:sz w:val="18"/>
          <w:szCs w:val="18"/>
        </w:rPr>
        <w:t xml:space="preserve">  input_type = 'seurat',</w:t>
      </w:r>
    </w:p>
    <w:p>
      <w:pPr>
        <w:shd w:fill="F0F4FF" w:val="clear"/>
        <w:spacing w:after="0" w:before="0" w:line="264"/>
        <w:ind w:left="480"/>
      </w:pPr>
      <w:r>
        <w:rPr>
          <w:rFonts w:ascii="Courier New" w:cs="Courier New" w:eastAsia="Courier New" w:hAnsi="Courier New"/>
          <w:color w:val="1F2937"/>
          <w:sz w:val="18"/>
          <w:szCs w:val="18"/>
        </w:rPr>
        <w:t xml:space="preserve">  verbose    = TRUE</w:t>
      </w:r>
    </w:p>
    <w:p>
      <w:pPr>
        <w:shd w:fill="F0F4FF" w:val="clear"/>
        <w:spacing w:after="0" w:before="0" w:line="264"/>
        <w:ind w:left="480"/>
      </w:pPr>
      <w:r>
        <w:rPr>
          <w:rFonts w:ascii="Courier New" w:cs="Courier New" w:eastAsia="Courier New" w:hAnsi="Courier New"/>
          <w:color w:val="1F2937"/>
          <w:sz w:val="18"/>
          <w:szCs w:val="18"/>
        </w:rPr>
        <w:t xml:space="preserve">)</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3. Inspect and visualize</w:t>
      </w:r>
    </w:p>
    <w:p>
      <w:pPr>
        <w:shd w:fill="F0F4FF" w:val="clear"/>
        <w:spacing w:after="0" w:before="0" w:line="264"/>
        <w:ind w:left="480"/>
      </w:pPr>
      <w:r>
        <w:rPr>
          <w:rFonts w:ascii="Courier New" w:cs="Courier New" w:eastAsia="Courier New" w:hAnsi="Courier New"/>
          <w:color w:val="1F2937"/>
          <w:sz w:val="18"/>
          <w:szCs w:val="18"/>
        </w:rPr>
        <w:t xml:space="preserve">print(head(result$genes, 20))</w:t>
      </w:r>
    </w:p>
    <w:p>
      <w:pPr>
        <w:shd w:fill="F0F4FF" w:val="clear"/>
        <w:spacing w:after="0" w:before="0" w:line="264"/>
        <w:ind w:left="480"/>
      </w:pPr>
      <w:r>
        <w:rPr>
          <w:rFonts w:ascii="Courier New" w:cs="Courier New" w:eastAsia="Courier New" w:hAnsi="Courier New"/>
          <w:color w:val="1F2937"/>
          <w:sz w:val="18"/>
          <w:szCs w:val="18"/>
        </w:rPr>
        <w:t xml:space="preserve">plot_mgs_scores(result)</w:t>
      </w:r>
    </w:p>
    <w:p>
      <w:pPr>
        <w:shd w:fill="F0F4FF" w:val="clear"/>
        <w:spacing w:after="0" w:before="0" w:line="264"/>
        <w:ind w:left="480"/>
      </w:pPr>
      <w:r>
        <w:rPr>
          <w:rFonts w:ascii="Courier New" w:cs="Courier New" w:eastAsia="Courier New" w:hAnsi="Courier New"/>
          <w:color w:val="1F2937"/>
          <w:sz w:val="18"/>
          <w:szCs w:val="18"/>
        </w:rPr>
        <w:t xml:space="preserve">plot_gene_distributions(pbmc, result$genes[1:12], input_type = 'seurat')</w:t>
      </w:r>
    </w:p>
    <w:p>
      <w:pPr>
        <w:shd w:fill="F0F4FF" w:val="clear"/>
        <w:spacing w:after="180"/>
      </w:pPr>
      <w:r>
        <w:t xml:space="preserve"/>
      </w:r>
    </w:p>
    <w:p>
      <w:pPr>
        <w:pStyle w:val="Heading2"/>
      </w:pPr>
      <w:r>
        <w:rPr>
          <w:rFonts w:ascii="Arial" w:cs="Arial" w:eastAsia="Arial" w:hAnsi="Arial"/>
          <w:b/>
          <w:bCs/>
          <w:color w:val="2563EB"/>
          <w:sz w:val="30"/>
          <w:szCs w:val="30"/>
        </w:rPr>
        <w:t xml:space="preserve">5.3  Expected Output</w:t>
      </w:r>
    </w:p>
    <w:p>
      <w:pPr>
        <w:spacing w:after="160" w:before="80" w:line="288"/>
        <w:jc w:val="both"/>
      </w:pPr>
      <w:r>
        <w:rPr>
          <w:rFonts w:ascii="Georgia" w:cs="Georgia" w:eastAsia="Georgia" w:hAnsi="Georgia"/>
          <w:sz w:val="24"/>
          <w:szCs w:val="24"/>
        </w:rPr>
        <w:t xml:space="preserve">On PBMC 3k, MGS typically selects 300–600 genes (depending on parameters), enriched for known lineage markers such as CD3D, CD19, LYZ, NKG7, PPBP, and MS4A1. The UMAP produced from these genes shows cleaner cluster separation compared to HVG-based UMAP, particularly for rare populations such as plasmacytoid dendritic cells and megakaryocytes, which are often merged with larger clusters in HVG-based embeddings.</w:t>
      </w:r>
    </w:p>
    <w:p>
      <w:pPr>
        <w:spacing w:after="0" w:before="200"/>
      </w:pPr>
      <w:r>
        <w:t xml:space="preserve"/>
      </w:r>
    </w:p>
    <w:p>
      <w:pPr>
        <w:pStyle w:val="Heading1"/>
      </w:pPr>
      <w:r>
        <w:rPr>
          <w:rFonts w:ascii="Arial" w:cs="Arial" w:eastAsia="Arial" w:hAnsi="Arial"/>
          <w:b/>
          <w:bCs/>
          <w:color w:val="1E3A5F"/>
          <w:sz w:val="40"/>
          <w:szCs w:val="40"/>
        </w:rPr>
        <w:t xml:space="preserve">6. References</w:t>
      </w:r>
    </w:p>
    <w:p>
      <w:pPr>
        <w:spacing w:after="160" w:before="80" w:line="288"/>
        <w:jc w:val="left"/>
      </w:pPr>
      <w:r>
        <w:rPr>
          <w:rFonts w:ascii="Georgia" w:cs="Georgia" w:eastAsia="Georgia" w:hAnsi="Georgia"/>
          <w:sz w:val="24"/>
          <w:szCs w:val="24"/>
        </w:rPr>
        <w:t xml:space="preserve">Andrews, T.S. and Hemberg, M. (2019). M3Drop: dropout-based feature selection for scRNASeq. Bioinformatics, 35(16), 2865–2867.</w:t>
      </w:r>
    </w:p>
    <w:p>
      <w:pPr>
        <w:spacing w:after="160" w:before="80" w:line="288"/>
        <w:jc w:val="left"/>
      </w:pPr>
      <w:r>
        <w:rPr>
          <w:rFonts w:ascii="Georgia" w:cs="Georgia" w:eastAsia="Georgia" w:hAnsi="Georgia"/>
          <w:sz w:val="24"/>
          <w:szCs w:val="24"/>
        </w:rPr>
        <w:t xml:space="preserve">Hartigan, J.A. and Hartigan, P.M. (1985). The dip statistic as a test for unimodality. The Annals of Statistics, 13(1), 70–84.</w:t>
      </w:r>
    </w:p>
    <w:p>
      <w:pPr>
        <w:spacing w:after="160" w:before="80" w:line="288"/>
        <w:jc w:val="left"/>
      </w:pPr>
      <w:r>
        <w:rPr>
          <w:rFonts w:ascii="Georgia" w:cs="Georgia" w:eastAsia="Georgia" w:hAnsi="Georgia"/>
          <w:sz w:val="24"/>
          <w:szCs w:val="24"/>
        </w:rPr>
        <w:t xml:space="preserve">Kass, R.E. and Raftery, A.E. (1995). Bayes factors. Journal of the American Statistical Association, 90(430), 773–795.</w:t>
      </w:r>
    </w:p>
    <w:p>
      <w:pPr>
        <w:spacing w:after="160" w:before="80" w:line="288"/>
        <w:jc w:val="left"/>
      </w:pPr>
      <w:r>
        <w:rPr>
          <w:rFonts w:ascii="Georgia" w:cs="Georgia" w:eastAsia="Georgia" w:hAnsi="Georgia"/>
          <w:sz w:val="24"/>
          <w:szCs w:val="24"/>
        </w:rPr>
        <w:t xml:space="preserve">McInnes, L., Healy, J. and Melville, J. (2018). UMAP: uniform manifold approximation and projection for dimension reduction. arXiv:1802.03426.</w:t>
      </w:r>
    </w:p>
    <w:p>
      <w:pPr>
        <w:spacing w:after="160" w:before="80" w:line="288"/>
        <w:jc w:val="left"/>
      </w:pPr>
      <w:r>
        <w:rPr>
          <w:rFonts w:ascii="Georgia" w:cs="Georgia" w:eastAsia="Georgia" w:hAnsi="Georgia"/>
          <w:sz w:val="24"/>
          <w:szCs w:val="24"/>
        </w:rPr>
        <w:t xml:space="preserve">Scrucca, L., Fop, M., Murphy, T.B. and Raftery, A.E. (2016). mclust 5: clustering, classification and density estimation using Gaussian finite mixture models. The R Journal, 8(1), 289–317.</w:t>
      </w:r>
    </w:p>
    <w:p>
      <w:pPr>
        <w:spacing w:after="160" w:before="80" w:line="288"/>
        <w:jc w:val="left"/>
      </w:pPr>
      <w:r>
        <w:rPr>
          <w:rFonts w:ascii="Georgia" w:cs="Georgia" w:eastAsia="Georgia" w:hAnsi="Georgia"/>
          <w:sz w:val="24"/>
          <w:szCs w:val="24"/>
        </w:rPr>
        <w:t xml:space="preserve">Stuart, T. et al. (2019). Comprehensive integration of single-cell data. Cell, 177(7), 1888–1902.</w:t>
      </w:r>
    </w:p>
    <w:p>
      <w:pPr>
        <w:spacing w:after="160" w:before="80" w:line="288"/>
        <w:jc w:val="left"/>
      </w:pPr>
      <w:r>
        <w:rPr>
          <w:rFonts w:ascii="Georgia" w:cs="Georgia" w:eastAsia="Georgia" w:hAnsi="Georgia"/>
          <w:sz w:val="24"/>
          <w:szCs w:val="24"/>
        </w:rPr>
        <w:t xml:space="preserve">Wang, J. et al. (2009). Gene expression distribution deconvolution in single-cell RNA sequencing. PNAS, 116(19), 9305–9310.</w:t>
      </w:r>
    </w:p>
    <w:p>
      <w:pPr>
        <w:spacing w:after="160" w:before="80" w:line="288"/>
        <w:jc w:val="left"/>
      </w:pPr>
      <w:r>
        <w:rPr>
          <w:rFonts w:ascii="Georgia" w:cs="Georgia" w:eastAsia="Georgia" w:hAnsi="Georgia"/>
          <w:sz w:val="24"/>
          <w:szCs w:val="24"/>
        </w:rPr>
        <w:t xml:space="preserve">Wolf, F.A., Angerer, P. and Theis, F.J. (2018). SCANPY: large-scale single-cell gene expression data analysis. Genome Biology, 19, 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563EB"/>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74151"/>
      <w:sz w:val="26"/>
      <w:szCs w:val="26"/>
    </w:rPr>
  </w:style>
  <w:style w:type="paragraph" w:styleId="CodeBlock">
    <w:name w:val="Code Block"/>
    <w:basedOn w:val="Normal"/>
    <w:next w:val="Normal"/>
    <w:pPr>
      <w:shd w:fill="F3F4F6" w:val="clear"/>
      <w:spacing w:after="80" w:before="80" w:line="276"/>
      <w:ind w:left="360"/>
    </w:pPr>
    <w:rPr>
      <w:rFonts w:ascii="Courier New" w:cs="Courier New" w:eastAsia="Courier New" w:hAnsi="Courier New"/>
      <w:color w:val="1F2937"/>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2026-04-23T09:49:48.605Z</dcterms:created>
  <dcterms:modified xsi:type="dcterms:W3CDTF">2026-04-23T09:49:48.606Z</dcterms:modified>
</cp:coreProperties>
</file>

<file path=docProps/custom.xml><?xml version="1.0" encoding="utf-8"?>
<Properties xmlns="http://schemas.openxmlformats.org/officeDocument/2006/custom-properties" xmlns:vt="http://schemas.openxmlformats.org/officeDocument/2006/docPropsVTypes"/>
</file>