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Project Proposal: Forecasting California Gasoline Prices</w:t>
      </w:r>
    </w:p>
    <w:p>
      <w:pPr/>
      <w:r>
        <w:t xml:space="preserve">We will forecast weekly California gasoline prices and test whether AI tools beat conventional time-series models, then present the results in an interactive dashboard.</w:t>
      </w:r>
    </w:p>
    <w:p>
      <w:pPr>
        <w:pStyle w:val="Heading2"/>
      </w:pPr>
      <w:r>
        <w:t xml:space="preserve">Overview</w:t>
      </w:r>
    </w:p>
    <w:p>
      <w:pPr/>
      <w:r>
        <w:t xml:space="preserve">California pays far more for gasoline than the U.S. average, driven by a special fuel blend, seasonal formula switches, state taxes and recent refinery closures. A good short-term forecast helps drivers, fleets and policymakers.</w:t>
      </w:r>
    </w:p>
    <w:p>
      <w:pPr/>
      <w:r>
        <w:rPr>
          <w:b/>
        </w:rPr>
        <w:t xml:space="preserve">Research questions</w:t>
      </w:r>
    </w:p>
    <w:p>
      <w:pPr>
        <w:pStyle w:val="ListParagraph"/>
        <w:numPr>
          <w:ilvl w:val="0"/>
          <w:numId w:val="2"/>
        </w:numPr>
      </w:pPr>
      <w:r>
        <w:t xml:space="preserve">How accurately can we forecast California gasoline prices 4 and 12 weeks ahead?</w:t>
      </w:r>
    </w:p>
    <w:p>
      <w:pPr>
        <w:pStyle w:val="ListParagraph"/>
        <w:numPr>
          <w:ilvl w:val="0"/>
          <w:numId w:val="2"/>
        </w:numPr>
      </w:pPr>
      <w:r>
        <w:t xml:space="preserve">Do crude oil prices lead California pump prices, and do pump prices rise faster than they fall?</w:t>
      </w:r>
    </w:p>
    <w:p>
      <w:pPr>
        <w:pStyle w:val="ListParagraph"/>
        <w:numPr>
          <w:ilvl w:val="0"/>
          <w:numId w:val="2"/>
        </w:numPr>
      </w:pPr>
      <w:r>
        <w:t xml:space="preserve">Do AI forecasts (LLMs and time-series foundation models) beat ARIMA, ETS and ARIMAX?</w:t>
      </w:r>
    </w:p>
    <w:p>
      <w:pPr/>
      <w:r>
        <w:rPr>
          <w:b/>
        </w:rPr>
        <w:t xml:space="preserve">AI components:</w:t>
      </w:r>
      <w:r>
        <w:t xml:space="preserve"> Option A (AI vs. conventional forecast comparison) and Option B (Streamlit dashboard).</w:t>
      </w:r>
    </w:p>
    <w:p>
      <w:pPr>
        <w:pStyle w:val="Heading2"/>
      </w:pPr>
      <w:r>
        <w:t xml:space="preserve">Data sources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Variable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Source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Frequency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Use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California regular gasoline price (USD/gal)</w:t>
            </w:r>
          </w:p>
        </w:tc>
        <w:tc>
          <w:tcPr>
            <w:tcW w:w="2340" w:type="dxa"/>
          </w:tcPr>
          <w:p>
            <w:pPr/>
            <w:hyperlink r:id="rId3" w:history="1">
              <w:r>
                <w:rPr>
                  <w:rStyle w:val="Hyperlink"/>
                </w:rPr>
                <w:t xml:space="preserve">EIA</w:t>
              </w:r>
            </w:hyperlink>
          </w:p>
        </w:tc>
        <w:tc>
          <w:tcPr>
            <w:tcW w:w="2340" w:type="dxa"/>
          </w:tcPr>
          <w:p>
            <w:pPr/>
            <w:r>
              <w:t xml:space="preserve">Weekly, 2000 onward</w:t>
            </w:r>
          </w:p>
        </w:tc>
        <w:tc>
          <w:tcPr>
            <w:tcW w:w="2340" w:type="dxa"/>
          </w:tcPr>
          <w:p>
            <w:pPr/>
            <w:r>
              <w:t xml:space="preserve">Forecast target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U.S. regular gasoline price (USD/gal)</w:t>
            </w:r>
          </w:p>
        </w:tc>
        <w:tc>
          <w:tcPr>
            <w:tcW w:w="2340" w:type="dxa"/>
          </w:tcPr>
          <w:p>
            <w:pPr/>
            <w:hyperlink r:id="rId4" w:history="1">
              <w:r>
                <w:rPr>
                  <w:rStyle w:val="Hyperlink"/>
                </w:rPr>
                <w:t xml:space="preserve">FRED GASREGW</w:t>
              </w:r>
            </w:hyperlink>
          </w:p>
        </w:tc>
        <w:tc>
          <w:tcPr>
            <w:tcW w:w="2340" w:type="dxa"/>
          </w:tcPr>
          <w:p>
            <w:pPr/>
            <w:r>
              <w:t xml:space="preserve">Weekly</w:t>
            </w:r>
          </w:p>
        </w:tc>
        <w:tc>
          <w:tcPr>
            <w:tcW w:w="2340" w:type="dxa"/>
          </w:tcPr>
          <w:p>
            <w:pPr/>
            <w:r>
              <w:t xml:space="preserve">California-U.S. spread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WTI crude oil price (USD/barrel)</w:t>
            </w:r>
          </w:p>
        </w:tc>
        <w:tc>
          <w:tcPr>
            <w:tcW w:w="2340" w:type="dxa"/>
          </w:tcPr>
          <w:p>
            <w:pPr/>
            <w:hyperlink r:id="rId5" w:history="1">
              <w:r>
                <w:rPr>
                  <w:rStyle w:val="Hyperlink"/>
                </w:rPr>
                <w:t xml:space="preserve">FRED DCOILWTICO</w:t>
              </w:r>
            </w:hyperlink>
          </w:p>
        </w:tc>
        <w:tc>
          <w:tcPr>
            <w:tcW w:w="2340" w:type="dxa"/>
          </w:tcPr>
          <w:p>
            <w:pPr/>
            <w:r>
              <w:t xml:space="preserve">Daily, averaged weekly</w:t>
            </w:r>
          </w:p>
        </w:tc>
        <w:tc>
          <w:tcPr>
            <w:tcW w:w="2340" w:type="dxa"/>
          </w:tcPr>
          <w:p>
            <w:pPr/>
            <w:r>
              <w:t xml:space="preserve">Explanatory variable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Brent crude oil price (USD/barrel)</w:t>
            </w:r>
          </w:p>
        </w:tc>
        <w:tc>
          <w:tcPr>
            <w:tcW w:w="2340" w:type="dxa"/>
          </w:tcPr>
          <w:p>
            <w:pPr/>
            <w:hyperlink r:id="rId6" w:history="1">
              <w:r>
                <w:rPr>
                  <w:rStyle w:val="Hyperlink"/>
                </w:rPr>
                <w:t xml:space="preserve">FRED DCOILBRENTEU</w:t>
              </w:r>
            </w:hyperlink>
          </w:p>
        </w:tc>
        <w:tc>
          <w:tcPr>
            <w:tcW w:w="2340" w:type="dxa"/>
          </w:tcPr>
          <w:p>
            <w:pPr/>
            <w:r>
              <w:t xml:space="preserve">Daily, averaged weekly</w:t>
            </w:r>
          </w:p>
        </w:tc>
        <w:tc>
          <w:tcPr>
            <w:tcW w:w="2340" w:type="dxa"/>
          </w:tcPr>
          <w:p>
            <w:pPr/>
            <w:r>
              <w:t xml:space="preserve">Explanatory variable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Refinery utilization and stocks</w:t>
            </w:r>
          </w:p>
        </w:tc>
        <w:tc>
          <w:tcPr>
            <w:tcW w:w="2340" w:type="dxa"/>
          </w:tcPr>
          <w:p>
            <w:pPr/>
            <w:hyperlink r:id="rId7" w:history="1">
              <w:r>
                <w:rPr>
                  <w:rStyle w:val="Hyperlink"/>
                </w:rPr>
                <w:t xml:space="preserve">EIA Petroleum Data</w:t>
              </w:r>
            </w:hyperlink>
          </w:p>
        </w:tc>
        <w:tc>
          <w:tcPr>
            <w:tcW w:w="2340" w:type="dxa"/>
          </w:tcPr>
          <w:p>
            <w:pPr/>
            <w:r>
              <w:t xml:space="preserve">Weekly</w:t>
            </w:r>
          </w:p>
        </w:tc>
        <w:tc>
          <w:tcPr>
            <w:tcW w:w="2340" w:type="dxa"/>
          </w:tcPr>
          <w:p>
            <w:pPr/>
            <w:r>
              <w:t xml:space="preserve">Supply-side context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California events (summer blend, July 1 tax change, refinery closures)</w:t>
            </w:r>
          </w:p>
        </w:tc>
        <w:tc>
          <w:tcPr>
            <w:tcW w:w="2340" w:type="dxa"/>
          </w:tcPr>
          <w:p>
            <w:pPr/>
            <w:r>
              <w:t xml:space="preserve">Compiled by team</w:t>
            </w:r>
          </w:p>
        </w:tc>
        <w:tc>
          <w:tcPr>
            <w:tcW w:w="2340" w:type="dxa"/>
          </w:tcPr>
          <w:p>
            <w:pPr/>
            <w:r>
              <w:t xml:space="preserve">Event dates</w:t>
            </w:r>
          </w:p>
        </w:tc>
        <w:tc>
          <w:tcPr>
            <w:tcW w:w="2340" w:type="dxa"/>
          </w:tcPr>
          <w:p>
            <w:pPr/>
            <w:r>
              <w:t xml:space="preserve">Dummy variables</w:t>
            </w:r>
          </w:p>
        </w:tc>
      </w:tr>
    </w:tbl>
    <w:p>
      <w:pPr/>
      <w:r>
        <w:t xml:space="preserve">Data can be pulled automatically through the </w:t>
      </w:r>
      <w:hyperlink r:id="rId8" w:history="1">
        <w:r>
          <w:rPr>
            <w:rStyle w:val="Hyperlink"/>
          </w:rPr>
          <w:t xml:space="preserve">EIA API</w:t>
        </w:r>
      </w:hyperlink>
      <w:r>
        <w:t xml:space="preserve"> and FRED API. AI tools: </w:t>
      </w:r>
      <w:hyperlink r:id="rId9" w:history="1">
        <w:r>
          <w:rPr>
            <w:rStyle w:val="Hyperlink"/>
          </w:rPr>
          <w:t xml:space="preserve">Amazon Chronos</w:t>
        </w:r>
      </w:hyperlink>
      <w:r>
        <w:t xml:space="preserve">, </w:t>
      </w:r>
      <w:hyperlink r:id="rId10" w:history="1">
        <w:r>
          <w:rPr>
            <w:rStyle w:val="Hyperlink"/>
          </w:rPr>
          <w:t xml:space="preserve">Google TimesFM</w:t>
        </w:r>
      </w:hyperlink>
      <w:r>
        <w:t xml:space="preserve">, ChatGPT and Claude.</w:t>
      </w:r>
    </w:p>
    <w:p>
      <w:pPr>
        <w:pStyle w:val="Heading2"/>
      </w:pPr>
      <w:r>
        <w:t xml:space="preserve">Methodology</w:t>
      </w:r>
    </w:p>
    <w:p>
      <w:pPr/>
      <w:r>
        <w:t xml:space="preserve">Every model is backtested on the same weeks, the same horizons and the same information set, so AI and conventional forecasts are compared fairly.</w:t>
      </w:r>
    </w:p>
    <w:p>
      <w:pPr>
        <w:pStyle w:val="Heading3"/>
      </w:pPr>
      <w:r>
        <w:t xml:space="preserve">1. Data preparation</w:t>
      </w:r>
    </w:p>
    <w:p>
      <w:pPr>
        <w:pStyle w:val="ListParagraph"/>
        <w:numPr>
          <w:ilvl w:val="0"/>
          <w:numId w:val="3"/>
        </w:numPr>
      </w:pPr>
      <w:r>
        <w:t xml:space="preserve">Align all series to the EIA weekly date (Monday). Average daily crude prices over the same week; forward-fill holiday gaps.</w:t>
      </w:r>
    </w:p>
    <w:p>
      <w:pPr>
        <w:pStyle w:val="ListParagraph"/>
        <w:numPr>
          <w:ilvl w:val="0"/>
          <w:numId w:val="3"/>
        </w:numPr>
      </w:pPr>
      <w:r>
        <w:t xml:space="preserve">Model log prices to stabilize variance; convert forecasts back to USD/gal before scoring.</w:t>
      </w:r>
    </w:p>
    <w:p>
      <w:pPr>
        <w:pStyle w:val="ListParagraph"/>
        <w:numPr>
          <w:ilvl w:val="0"/>
          <w:numId w:val="3"/>
        </w:numPr>
      </w:pPr>
      <w:r>
        <w:t xml:space="preserve">Event dummies: summer-blend season, July 1 excise tax change, refinery closures and major outages, and the 2020 COVID demand collapse.</w:t>
      </w:r>
    </w:p>
    <w:p>
      <w:pPr>
        <w:pStyle w:val="Heading3"/>
      </w:pPr>
      <w:r>
        <w:t xml:space="preserve">2. Exploratory analysis</w:t>
      </w:r>
    </w:p>
    <w:p>
      <w:pPr>
        <w:pStyle w:val="ListParagraph"/>
        <w:numPr>
          <w:ilvl w:val="0"/>
          <w:numId w:val="4"/>
        </w:numPr>
      </w:pPr>
      <w:r>
        <w:t xml:space="preserve">Plot California and U.S. prices since 2000, the spread between them, and California prices against crude oil.</w:t>
      </w:r>
    </w:p>
    <w:p>
      <w:pPr>
        <w:pStyle w:val="ListParagraph"/>
        <w:numPr>
          <w:ilvl w:val="0"/>
          <w:numId w:val="4"/>
        </w:numPr>
      </w:pPr>
      <w:r>
        <w:t xml:space="preserve">STL decomposition (52-week season) to measure the summer price premium.</w:t>
      </w:r>
    </w:p>
    <w:p>
      <w:pPr>
        <w:pStyle w:val="ListParagraph"/>
        <w:numPr>
          <w:ilvl w:val="0"/>
          <w:numId w:val="4"/>
        </w:numPr>
      </w:pPr>
      <w:r>
        <w:t xml:space="preserve">ADF and KPSS tests on levels and first differences to choose the order of differencing.</w:t>
      </w:r>
    </w:p>
    <w:p>
      <w:pPr>
        <w:pStyle w:val="ListParagraph"/>
        <w:numPr>
          <w:ilvl w:val="0"/>
          <w:numId w:val="4"/>
        </w:numPr>
      </w:pPr>
      <w:r>
        <w:t xml:space="preserve">ACF/PACF plots to guide ARIMA orders; cross-correlation of weekly crude and gasoline changes to see how many weeks crude leads pump prices.</w:t>
      </w:r>
    </w:p>
    <w:p>
      <w:pPr>
        <w:pStyle w:val="Heading3"/>
      </w:pPr>
      <w:r>
        <w:t xml:space="preserve">3. Test design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Training set:</w:t>
      </w:r>
      <w:r>
        <w:t xml:space="preserve"> January 2000 to June 2025. </w:t>
      </w:r>
      <w:r>
        <w:rPr>
          <w:b/>
        </w:rPr>
        <w:t xml:space="preserve">Test set:</w:t>
      </w:r>
      <w:r>
        <w:t xml:space="preserve"> July 2025 to the latest week (about 65 weeks).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Rolling origin (expanding window):</w:t>
      </w:r>
      <w:r>
        <w:t xml:space="preserve"> at each test week, fit on all data up to that week and forecast 1 to 12 weeks ahead; we score the 4-week and 12-week forecasts.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No future information:</w:t>
      </w:r>
      <w:r>
        <w:t xml:space="preserve"> models with crude oil as a regressor only use crude prices known at the forecast date. Future crude prices are set by a random-walk assumption (last observed price), so ARIMAX gets no unfair advantage.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Look-ahead bias:</w:t>
      </w:r>
      <w:r>
        <w:t xml:space="preserve"> we record each AI model's training cutoff. If a cutoff falls inside the test period, that model is judged mainly on the anonymized experiment (section 5).</w:t>
      </w:r>
    </w:p>
    <w:p>
      <w:pPr>
        <w:pStyle w:val="Heading3"/>
      </w:pPr>
      <w:r>
        <w:t xml:space="preserve">4. Conventional models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Naive benchmarks:</w:t>
      </w:r>
      <w:r>
        <w:t xml:space="preserve"> last week's price (random walk) and the price 52 weeks earlier (seasonal naive). Every model must beat these.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ETS:</w:t>
      </w:r>
      <w:r>
        <w:t xml:space="preserve"> exponential smoothing with trend type and damping chosen by AICc.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ARIMA with Fourier terms:</w:t>
      </w:r>
      <w:r>
        <w:t xml:space="preserve"> auto-selected ARIMA on log prices, with Fourier terms for the 52-week season (more stable than a seasonal ARIMA with period 52).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ARIMAX:</w:t>
      </w:r>
      <w:r>
        <w:t xml:space="preserve"> the ARIMA above plus lagged weekly changes in Brent crude (1 to 4 lags) and the event dummies.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VAR:</w:t>
      </w:r>
      <w:r>
        <w:t xml:space="preserve"> weekly changes in California gasoline and Brent crude, lag length by AIC. Granger causality tests whether crude leads gasoline; impulse responses show how a 10% crude shock passes through over the following weeks.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Asymmetry test ("rockets and feathers"):</w:t>
      </w:r>
      <w:r>
        <w:t xml:space="preserve"> an error-correction model that splits crude price increases and decreases:</w:t>
      </w:r>
    </w:p>
    <w:p>
      <w:pPr>
        <w:pStyle w:val="Code"/>
      </w:pPr>
      <w:bookmarkStart w:id="1" w:name="bongo_lang_latex_1"/>
      <w:bookmarkEnd w:id="1"/>
      <w:r>
        <w:t xml:space="preserve">\Delta P_t = \alpha + \sum_{i=0}^{k} \beta_i^{+} \Delta C_{t-i}^{+} + \sum_{i=0}^{k} \beta_i^{-} \Delta C_{t-i}^{-} + \gamma (P_{t-1} - \theta C_{t-1}) + \varepsilon_t</w:t>
      </w:r>
    </w:p>
    <w:p>
      <w:pPr/>
      <w:r>
        <w:t xml:space="preserve">Here P is the California gasoline price and C is the crude price. A Wald test of equal increase and decrease effects tells us whether prices rise faster than they fall.</w:t>
      </w:r>
    </w:p>
    <w:p>
      <w:pPr>
        <w:pStyle w:val="Heading3"/>
      </w:pPr>
      <w:r>
        <w:t xml:space="preserve">5. AI models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Chronos and TimesFM:</w:t>
      </w:r>
      <w:r>
        <w:t xml:space="preserve"> pretrained time-series models used zero-shot (no retraining) on the same rolling origins, with the last 512 weeks as context. Both return quantiles, giving a median forecast and an 80% interval.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LLMs (ChatGPT and Claude via API):</w:t>
      </w:r>
      <w:r>
        <w:t xml:space="preserve"> to keep cost manageable, run every 4th test week (about 16 forecast dates), each repeated 3 times with the average reported. Responses are requested in JSON for clean parsing.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Experiment 1, anonymized:</w:t>
      </w:r>
      <w:r>
        <w:t xml:space="preserve"> the LLM sees only the last 156 weekly values, rescaled to an index, with no series name or dates.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Experiment 2, full context:</w:t>
      </w:r>
      <w:r>
        <w:t xml:space="preserve"> the LLM is told the series is California gasoline and receives a short news summary available at that date.</w:t>
      </w:r>
    </w:p>
    <w:p>
      <w:pPr>
        <w:pStyle w:val="ListParagraph"/>
        <w:numPr>
          <w:ilvl w:val="0"/>
          <w:numId w:val="7"/>
        </w:numPr>
      </w:pPr>
      <w:r>
        <w:t xml:space="preserve">The gap between the two experiments shows whether LLM accuracy comes from pattern recognition or from background knowledge. All prompts, model versions and raw outputs are logged.</w:t>
      </w:r>
    </w:p>
    <w:p>
      <w:pPr>
        <w:pStyle w:val="Heading3"/>
      </w:pPr>
      <w:r>
        <w:t xml:space="preserve">6. Evaluation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Accuracy:</w:t>
      </w:r>
      <w:r>
        <w:t xml:space="preserve"> MAE, RMSE and MAPE in USD/gal for each model at 4 and 12 weeks.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Skill vs. naive:</w:t>
      </w:r>
      <w:r>
        <w:t xml:space="preserve"> each model's MAE divided by the naive MAE (below 1 means it beats the naive forecast).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Significance:</w:t>
      </w:r>
      <w:r>
        <w:t xml:space="preserve"> Diebold-Mariano tests against the naive model and against the best conventional model.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Intervals:</w:t>
      </w:r>
      <w:r>
        <w:t xml:space="preserve"> share of actual prices that fall inside each model's 80% interval.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Forecast combination:</w:t>
      </w:r>
      <w:r>
        <w:t xml:space="preserve"> a simple average of the best conventional and best AI forecasts, to test whether AI adds complementary information.</w:t>
      </w:r>
    </w:p>
    <w:p>
      <w:pPr>
        <w:pStyle w:val="Heading3"/>
      </w:pPr>
      <w:r>
        <w:t xml:space="preserve">7. Dashboard</w:t>
      </w:r>
    </w:p>
    <w:p>
      <w:pPr>
        <w:pStyle w:val="ListParagraph"/>
        <w:numPr>
          <w:ilvl w:val="0"/>
          <w:numId w:val="9"/>
        </w:numPr>
      </w:pPr>
      <w:r>
        <w:t xml:space="preserve">Streamlit app reading precomputed forecasts, so it loads instantly.</w:t>
      </w:r>
    </w:p>
    <w:p>
      <w:pPr>
        <w:pStyle w:val="ListParagraph"/>
        <w:numPr>
          <w:ilvl w:val="0"/>
          <w:numId w:val="9"/>
        </w:numPr>
      </w:pPr>
      <w:r>
        <w:t xml:space="preserve">Pages: historical prices and spread, model comparison, forecast viewer (model and horizon selectors with intervals), and a crude-oil scenario tool (user sets a Brent price path; ARIMAX returns the implied gasoline path).</w:t>
      </w:r>
    </w:p>
    <w:p>
      <w:pPr>
        <w:pStyle w:val="ListParagraph"/>
        <w:numPr>
          <w:ilvl w:val="0"/>
          <w:numId w:val="9"/>
        </w:numPr>
      </w:pPr>
      <w:r>
        <w:t xml:space="preserve">Optional: a GitHub Actions job pulls new EIA data weekly and refreshes the forecasts automatically.</w:t>
      </w:r>
    </w:p>
    <w:p>
      <w:pPr>
        <w:pStyle w:val="Heading2"/>
      </w:pPr>
      <w:r>
        <w:t xml:space="preserve">Division of work</w:t>
      </w:r>
    </w:p>
    <w:p>
      <w:pPr/>
      <w:r>
        <w:t xml:space="preserve">Split the code into six modules that share one data file and one forecast output format, so members can work in parallel from day one.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Member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Role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Implementation tasks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Hands off to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Member 1</w:t>
            </w:r>
          </w:p>
        </w:tc>
        <w:tc>
          <w:tcPr>
            <w:tcW w:w="2340" w:type="dxa"/>
          </w:tcPr>
          <w:p>
            <w:pPr/>
            <w:r>
              <w:t xml:space="preserve">Data engineer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data_pull.py</w:t>
            </w:r>
            <w:r>
              <w:t xml:space="preserve">: pull EIA and FRED via API; weekly alignment; log transforms; event dummy calendar with sources; data dictionary. Later, the weekly auto-refresh job with Member 6</w:t>
            </w:r>
          </w:p>
        </w:tc>
        <w:tc>
          <w:tcPr>
            <w:tcW w:w="2340" w:type="dxa"/>
          </w:tcPr>
          <w:p>
            <w:pPr/>
            <w:r>
              <w:t xml:space="preserve">Clean </w:t>
            </w:r>
            <w:r>
              <w:rPr>
                <w:rStyle w:val="CodeChar"/>
              </w:rPr>
              <w:t xml:space="preserve">weekly_data.csv</w:t>
            </w:r>
            <w:r>
              <w:t xml:space="preserve"> to everyone (first priority, day 1–2)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Member 2</w:t>
            </w:r>
          </w:p>
        </w:tc>
        <w:tc>
          <w:tcPr>
            <w:tcW w:w="2340" w:type="dxa"/>
          </w:tcPr>
          <w:p>
            <w:pPr/>
            <w:r>
              <w:t xml:space="preserve">Exploratory analysis and charts</w:t>
            </w:r>
          </w:p>
        </w:tc>
        <w:tc>
          <w:tcPr>
            <w:tcW w:w="2340" w:type="dxa"/>
          </w:tcPr>
          <w:p>
            <w:pPr/>
            <w:r>
              <w:t xml:space="preserve">EDA notebook: trend, spread, STL, ADF/KPSS, ACF/PACF, crude-gasoline cross-correlation; shared </w:t>
            </w:r>
            <w:r>
              <w:rPr>
                <w:rStyle w:val="CodeChar"/>
              </w:rPr>
              <w:t xml:space="preserve">plots.py</w:t>
            </w:r>
            <w:r>
              <w:t xml:space="preserve"> so all charts look the same. Also helps Member 5 run the LLM experiments</w:t>
            </w:r>
          </w:p>
        </w:tc>
        <w:tc>
          <w:tcPr>
            <w:tcW w:w="2340" w:type="dxa"/>
          </w:tcPr>
          <w:p>
            <w:pPr/>
            <w:r>
              <w:t xml:space="preserve">Lag and seasonality findings to Members 3 and 4; chart style to all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Member 3</w:t>
            </w:r>
          </w:p>
        </w:tc>
        <w:tc>
          <w:tcPr>
            <w:tcW w:w="2340" w:type="dxa"/>
          </w:tcPr>
          <w:p>
            <w:pPr/>
            <w:r>
              <w:t xml:space="preserve">Backtest framework and baseline models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backtest.py</w:t>
            </w:r>
            <w:r>
              <w:t xml:space="preserve">: rolling-origin loop that any model plugs into; naive, seasonal naive, ETS, ARIMA with Fourier terms; metrics, skill ratios, Diebold-Mariano, forecast combination, final comparison table</w:t>
            </w:r>
          </w:p>
        </w:tc>
        <w:tc>
          <w:tcPr>
            <w:tcW w:w="2340" w:type="dxa"/>
          </w:tcPr>
          <w:p>
            <w:pPr/>
            <w:r>
              <w:t xml:space="preserve">Framework to Members 4 and 5; results table to Member 6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Member 4</w:t>
            </w:r>
          </w:p>
        </w:tc>
        <w:tc>
          <w:tcPr>
            <w:tcW w:w="2340" w:type="dxa"/>
          </w:tcPr>
          <w:p>
            <w:pPr/>
            <w:r>
              <w:t xml:space="preserve">Econometric models</w:t>
            </w:r>
          </w:p>
        </w:tc>
        <w:tc>
          <w:tcPr>
            <w:tcW w:w="2340" w:type="dxa"/>
          </w:tcPr>
          <w:p>
            <w:pPr/>
            <w:r>
              <w:t xml:space="preserve">ARIMAX with crude lags and dummies; VAR, Granger tests and impulse responses; asymmetry error-correction model; </w:t>
            </w:r>
            <w:r>
              <w:rPr>
                <w:rStyle w:val="CodeChar"/>
              </w:rPr>
              <w:t xml:space="preserve">scenario()</w:t>
            </w:r>
            <w:r>
              <w:t xml:space="preserve"> function that turns a Brent price path into a gasoline forecast</w:t>
            </w:r>
          </w:p>
        </w:tc>
        <w:tc>
          <w:tcPr>
            <w:tcW w:w="2340" w:type="dxa"/>
          </w:tcPr>
          <w:p>
            <w:pPr/>
            <w:r>
              <w:t xml:space="preserve">Forecasts to Member 3; </w:t>
            </w:r>
            <w:r>
              <w:rPr>
                <w:rStyle w:val="CodeChar"/>
              </w:rPr>
              <w:t xml:space="preserve">scenario()</w:t>
            </w:r>
            <w:r>
              <w:t xml:space="preserve"> to Member 6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Member 5</w:t>
            </w:r>
          </w:p>
        </w:tc>
        <w:tc>
          <w:tcPr>
            <w:tcW w:w="2340" w:type="dxa"/>
          </w:tcPr>
          <w:p>
            <w:pPr/>
            <w:r>
              <w:t xml:space="preserve">AI forecasting</w:t>
            </w:r>
          </w:p>
        </w:tc>
        <w:tc>
          <w:tcPr>
            <w:tcW w:w="2340" w:type="dxa"/>
          </w:tcPr>
          <w:p>
            <w:pPr/>
            <w:r>
              <w:t xml:space="preserve">Chronos and TimesFM inside the backtest loop; LLM API scripts for both experiments, JSON parsing, repeated runs; log of prompts, model versions and training cutoffs</w:t>
            </w:r>
          </w:p>
        </w:tc>
        <w:tc>
          <w:tcPr>
            <w:tcW w:w="2340" w:type="dxa"/>
          </w:tcPr>
          <w:p>
            <w:pPr/>
            <w:r>
              <w:t xml:space="preserve">Forecasts to Member 3; prompt log to the appendix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Member 6</w:t>
            </w:r>
          </w:p>
        </w:tc>
        <w:tc>
          <w:tcPr>
            <w:tcW w:w="2340" w:type="dxa"/>
          </w:tcPr>
          <w:p>
            <w:pPr/>
            <w:r>
              <w:t xml:space="preserve">Dashboard</w:t>
            </w:r>
          </w:p>
        </w:tc>
        <w:tc>
          <w:tcPr>
            <w:tcW w:w="2340" w:type="dxa"/>
          </w:tcPr>
          <w:p>
            <w:pPr/>
            <w:r>
              <w:t xml:space="preserve">Streamlit app: pages for history, model comparison, forecast viewer and scenario tool; reads precomputed forecast files; deployment to Streamlit Community Cloud</w:t>
            </w:r>
          </w:p>
        </w:tc>
        <w:tc>
          <w:tcPr>
            <w:tcW w:w="2340" w:type="dxa"/>
          </w:tcPr>
          <w:p>
            <w:pPr/>
            <w:r>
              <w:t xml:space="preserve">Live link and backup demo video</w:t>
            </w:r>
          </w:p>
        </w:tc>
      </w:tr>
    </w:tbl>
    <w:p>
      <w:pPr/>
      <w:r>
        <w:rPr>
          <w:b/>
        </w:rPr>
        <w:t xml:space="preserve">How the pieces fit together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Agree on two shared formats on day 1.</w:t>
      </w:r>
      <w:r>
        <w:t xml:space="preserve"> The data file (</w:t>
      </w:r>
      <w:r>
        <w:rPr>
          <w:rStyle w:val="CodeChar"/>
        </w:rPr>
        <w:t xml:space="preserve">weekly_data.csv</w:t>
      </w:r>
      <w:r>
        <w:t xml:space="preserve">, one row per week) and the forecast file, where every model writes the same columns: </w:t>
      </w:r>
      <w:r>
        <w:rPr>
          <w:rStyle w:val="CodeChar"/>
        </w:rPr>
        <w:t xml:space="preserve">model, origin_date, horizon, target_date, forecast, lower80, upper80</w:t>
      </w:r>
      <w:r>
        <w:t xml:space="preserve">. With this, Member 3 can score any model and Member 6 can display any model without extra work.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Start in parallel.</w:t>
      </w:r>
      <w:r>
        <w:t xml:space="preserve"> While Member 1 builds the data, Member 3 builds the backtest loop on sample data, Member 5 sets up Chronos, TimesFM and API keys, and Member 6 builds the app skeleton with placeholder data.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Plug in models.</w:t>
      </w:r>
      <w:r>
        <w:t xml:space="preserve"> Once the data is ready, Members 3, 4 and 5 run their models through the same backtest loop and save forecast files to the shared repo.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Score and display.</w:t>
      </w:r>
      <w:r>
        <w:t xml:space="preserve"> Member 3 produces the comparison table from all forecast files; Member 6 connects the app to the real results.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Cross-check.</w:t>
      </w:r>
      <w:r>
        <w:t xml:space="preserve"> Each member reviews one teammate's code (1↔2, 3↔4, 5↔6) before results are final, to catch errors and so everyone can explain the methods.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www.eia.gov/petroleum/gasdiesel/" TargetMode="External"/><Relationship Id="rId4" Type="http://schemas.openxmlformats.org/officeDocument/2006/relationships/hyperlink" Target="https://fred.stlouisfed.org/series/GASREGW" TargetMode="External"/><Relationship Id="rId5" Type="http://schemas.openxmlformats.org/officeDocument/2006/relationships/hyperlink" Target="https://fred.stlouisfed.org/series/DCOILWTICO" TargetMode="External"/><Relationship Id="rId6" Type="http://schemas.openxmlformats.org/officeDocument/2006/relationships/hyperlink" Target="https://fred.stlouisfed.org/series/DCOILBRENTEU" TargetMode="External"/><Relationship Id="rId7" Type="http://schemas.openxmlformats.org/officeDocument/2006/relationships/hyperlink" Target="https://www.eia.gov/petroleum/data.php" TargetMode="External"/><Relationship Id="rId8" Type="http://schemas.openxmlformats.org/officeDocument/2006/relationships/hyperlink" Target="https://www.eia.gov/opendata/" TargetMode="External"/><Relationship Id="rId9" Type="http://schemas.openxmlformats.org/officeDocument/2006/relationships/hyperlink" Target="https://github.com/amazon-science/chronos-forecasting" TargetMode="External"/><Relationship Id="rId10" Type="http://schemas.openxmlformats.org/officeDocument/2006/relationships/hyperlink" Target="https://github.com/google-research/timesfm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Project Proposal Forecasting California Gasoline Prices</dc:title>
  <dc:description>Claude Docs node/9ee1c67b-c0fa@30 docx-w6</dc:description>
  <cp:revision>30</cp:revision>
</cp:coreProperties>
</file>