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07C1" w:rsidRDefault="004507C1">
      <w:pPr>
        <w:jc w:val="center"/>
        <w:rPr>
          <w:b/>
          <w:bCs/>
          <w:sz w:val="32"/>
          <w:szCs w:val="32"/>
        </w:rPr>
      </w:pPr>
      <w:proofErr w:type="spellStart"/>
      <w:r>
        <w:rPr>
          <w:b/>
          <w:bCs/>
          <w:sz w:val="32"/>
          <w:szCs w:val="32"/>
        </w:rPr>
        <w:t>HyNECC</w:t>
      </w:r>
      <w:proofErr w:type="spellEnd"/>
      <w:r>
        <w:rPr>
          <w:b/>
          <w:bCs/>
          <w:sz w:val="32"/>
          <w:szCs w:val="32"/>
        </w:rPr>
        <w:t xml:space="preserve">: Hypersonic </w:t>
      </w:r>
      <w:proofErr w:type="spellStart"/>
      <w:r>
        <w:rPr>
          <w:b/>
          <w:bCs/>
          <w:sz w:val="32"/>
          <w:szCs w:val="32"/>
        </w:rPr>
        <w:t>NonEquilibrium</w:t>
      </w:r>
      <w:proofErr w:type="spellEnd"/>
      <w:r>
        <w:rPr>
          <w:b/>
          <w:bCs/>
          <w:sz w:val="32"/>
          <w:szCs w:val="32"/>
        </w:rPr>
        <w:t xml:space="preserve"> Comparison Cases</w:t>
      </w:r>
    </w:p>
    <w:p w:rsidR="000B19C9" w:rsidRPr="007A3F94" w:rsidRDefault="007A3F94" w:rsidP="008565BA">
      <w:pPr>
        <w:pStyle w:val="ListParagraph"/>
        <w:ind w:left="744"/>
        <w:jc w:val="center"/>
        <w:outlineLvl w:val="0"/>
        <w:rPr>
          <w:i/>
          <w:iCs/>
          <w:sz w:val="32"/>
          <w:szCs w:val="32"/>
        </w:rPr>
      </w:pPr>
      <w:r>
        <w:rPr>
          <w:i/>
          <w:iCs/>
          <w:sz w:val="32"/>
          <w:szCs w:val="32"/>
        </w:rPr>
        <w:t xml:space="preserve">S. Gimelshein and </w:t>
      </w:r>
      <w:r w:rsidR="00BF2FD6" w:rsidRPr="007A3F94">
        <w:rPr>
          <w:i/>
          <w:iCs/>
          <w:sz w:val="32"/>
          <w:szCs w:val="32"/>
        </w:rPr>
        <w:t xml:space="preserve">I. </w:t>
      </w:r>
      <w:proofErr w:type="spellStart"/>
      <w:r w:rsidR="00BF2FD6" w:rsidRPr="007A3F94">
        <w:rPr>
          <w:i/>
          <w:iCs/>
          <w:sz w:val="32"/>
          <w:szCs w:val="32"/>
        </w:rPr>
        <w:t>Wysong</w:t>
      </w:r>
      <w:proofErr w:type="spellEnd"/>
    </w:p>
    <w:p w:rsidR="007A3F94" w:rsidRDefault="007A3F94" w:rsidP="008565BA">
      <w:pPr>
        <w:pStyle w:val="ListParagraph"/>
        <w:ind w:left="744"/>
        <w:jc w:val="center"/>
        <w:outlineLvl w:val="0"/>
      </w:pPr>
      <w:r>
        <w:rPr>
          <w:i/>
          <w:iCs/>
          <w:sz w:val="32"/>
          <w:szCs w:val="32"/>
        </w:rPr>
        <w:t xml:space="preserve">A. </w:t>
      </w:r>
      <w:proofErr w:type="spellStart"/>
      <w:r>
        <w:rPr>
          <w:i/>
          <w:iCs/>
          <w:sz w:val="32"/>
          <w:szCs w:val="32"/>
        </w:rPr>
        <w:t>Alexeenko</w:t>
      </w:r>
      <w:proofErr w:type="spellEnd"/>
      <w:r>
        <w:rPr>
          <w:i/>
          <w:iCs/>
          <w:sz w:val="32"/>
          <w:szCs w:val="32"/>
        </w:rPr>
        <w:t>,</w:t>
      </w:r>
      <w:r w:rsidR="00FB25DB">
        <w:rPr>
          <w:i/>
          <w:iCs/>
          <w:sz w:val="32"/>
          <w:szCs w:val="32"/>
        </w:rPr>
        <w:t xml:space="preserve"> D. </w:t>
      </w:r>
      <w:proofErr w:type="spellStart"/>
      <w:r w:rsidR="00FB25DB">
        <w:rPr>
          <w:i/>
          <w:iCs/>
          <w:sz w:val="32"/>
          <w:szCs w:val="32"/>
        </w:rPr>
        <w:t>Andrienko</w:t>
      </w:r>
      <w:proofErr w:type="spellEnd"/>
      <w:r w:rsidR="00FB25DB">
        <w:rPr>
          <w:i/>
          <w:iCs/>
          <w:sz w:val="32"/>
          <w:szCs w:val="32"/>
        </w:rPr>
        <w:t xml:space="preserve">, </w:t>
      </w:r>
      <w:bookmarkStart w:id="0" w:name="_GoBack"/>
      <w:bookmarkEnd w:id="0"/>
      <w:r>
        <w:rPr>
          <w:i/>
          <w:iCs/>
          <w:sz w:val="32"/>
          <w:szCs w:val="32"/>
        </w:rPr>
        <w:t>D. Levin</w:t>
      </w:r>
      <w:r w:rsidR="00461015">
        <w:rPr>
          <w:i/>
          <w:iCs/>
          <w:sz w:val="32"/>
          <w:szCs w:val="32"/>
        </w:rPr>
        <w:t>, M. Panesi</w:t>
      </w:r>
    </w:p>
    <w:p w:rsidR="000B19C9" w:rsidRDefault="000B19C9"/>
    <w:p w:rsidR="000F29B8" w:rsidRDefault="000F29B8">
      <w:pPr>
        <w:rPr>
          <w:b/>
          <w:bCs/>
        </w:rPr>
      </w:pPr>
    </w:p>
    <w:p w:rsidR="000B19C9" w:rsidRDefault="00BF2FD6">
      <w:pPr>
        <w:rPr>
          <w:b/>
          <w:bCs/>
          <w:sz w:val="28"/>
          <w:szCs w:val="28"/>
        </w:rPr>
      </w:pPr>
      <w:r>
        <w:rPr>
          <w:b/>
          <w:bCs/>
        </w:rPr>
        <w:t xml:space="preserve">1. </w:t>
      </w:r>
      <w:r>
        <w:rPr>
          <w:b/>
          <w:bCs/>
          <w:sz w:val="28"/>
          <w:szCs w:val="28"/>
        </w:rPr>
        <w:t>Objective</w:t>
      </w:r>
    </w:p>
    <w:p w:rsidR="000F29B8" w:rsidRDefault="000F29B8"/>
    <w:p w:rsidR="000B19C9" w:rsidRDefault="00BF2FD6">
      <w:pPr>
        <w:pStyle w:val="PreformattedText"/>
        <w:jc w:val="both"/>
      </w:pPr>
      <w:r>
        <w:t xml:space="preserve">With the recent availability of QCT-based state-specific rates and the many proposed relaxation and reaction models, and the presentation of new experimental data on non-equilibrium high temperature flows, it will be advisable for the </w:t>
      </w:r>
      <w:r>
        <w:rPr>
          <w:i/>
          <w:iCs/>
        </w:rPr>
        <w:t xml:space="preserve">nonequilibrium CFD </w:t>
      </w:r>
      <w:r w:rsidRPr="00EB2177">
        <w:rPr>
          <w:i/>
          <w:iCs/>
        </w:rPr>
        <w:t>community</w:t>
      </w:r>
      <w:r>
        <w:t xml:space="preserve"> to adopt a common set of benchmark cases. Ideally, these cases would elucidate both the validity of various approaches and the underlying reasons for differences in results. </w:t>
      </w:r>
    </w:p>
    <w:p w:rsidR="008C1D12" w:rsidRDefault="008C1D12">
      <w:pPr>
        <w:pStyle w:val="PreformattedText"/>
        <w:jc w:val="both"/>
      </w:pPr>
      <w:r>
        <w:t>While the ultimate goal of the study is to include CFD/NS nonequilibrium solvers, we recognize that the initial formulation of test cases reflects a DSMC</w:t>
      </w:r>
      <w:r w:rsidR="00055787">
        <w:t>-oriented</w:t>
      </w:r>
      <w:r>
        <w:t xml:space="preserve"> approach.  It is hoped that initial discussions will generate the necessary interest and feedback to modify and add to the test cases and make them sufficiently general and robust to allow for the wider CFD community.</w:t>
      </w:r>
    </w:p>
    <w:p w:rsidR="00016536" w:rsidRDefault="00016536">
      <w:pPr>
        <w:pStyle w:val="PreformattedText"/>
        <w:jc w:val="both"/>
      </w:pPr>
    </w:p>
    <w:p w:rsidR="000B19C9" w:rsidRDefault="00BF2FD6" w:rsidP="008565BA">
      <w:pPr>
        <w:pStyle w:val="PreformattedText"/>
        <w:jc w:val="both"/>
        <w:outlineLvl w:val="0"/>
      </w:pPr>
      <w:r>
        <w:t>The goals of this study are</w:t>
      </w:r>
    </w:p>
    <w:p w:rsidR="000B19C9" w:rsidRDefault="00BF2FD6" w:rsidP="001F41EE">
      <w:pPr>
        <w:pStyle w:val="PreformattedText"/>
        <w:spacing w:before="120"/>
        <w:jc w:val="both"/>
      </w:pPr>
      <w:r>
        <w:t>(1) Comparison of rates produced by different models and implementations at</w:t>
      </w:r>
    </w:p>
    <w:p w:rsidR="000B19C9" w:rsidRDefault="00BF2FD6" w:rsidP="001F41EE">
      <w:pPr>
        <w:pStyle w:val="PreformattedText"/>
        <w:spacing w:before="120"/>
        <w:jc w:val="both"/>
      </w:pPr>
      <w:r>
        <w:tab/>
        <w:t>(a) equilibrium</w:t>
      </w:r>
    </w:p>
    <w:p w:rsidR="000B19C9" w:rsidRDefault="00BF2FD6" w:rsidP="001F41EE">
      <w:pPr>
        <w:pStyle w:val="PreformattedText"/>
        <w:spacing w:before="120"/>
        <w:jc w:val="both"/>
      </w:pPr>
      <w:r>
        <w:tab/>
        <w:t>(b) two- or three-temperature regimes</w:t>
      </w:r>
    </w:p>
    <w:p w:rsidR="000B19C9" w:rsidRDefault="00BF2FD6" w:rsidP="001F41EE">
      <w:pPr>
        <w:pStyle w:val="PreformattedText"/>
        <w:spacing w:before="120"/>
        <w:jc w:val="both"/>
      </w:pPr>
      <w:r>
        <w:tab/>
        <w:t>(c) quasi-steady state (QSS)</w:t>
      </w:r>
    </w:p>
    <w:p w:rsidR="000B19C9" w:rsidRDefault="00BF2FD6" w:rsidP="001F41EE">
      <w:pPr>
        <w:pStyle w:val="PreformattedText"/>
        <w:spacing w:before="120"/>
        <w:jc w:val="both"/>
      </w:pPr>
      <w:r>
        <w:t xml:space="preserve">(2) Projecting the differences and similarities in models and rates onto realistic nonequilibrium hypersonic flow conditions </w:t>
      </w:r>
    </w:p>
    <w:p w:rsidR="000B19C9" w:rsidRDefault="00BF2FD6" w:rsidP="001F41EE">
      <w:pPr>
        <w:pStyle w:val="PreformattedText"/>
        <w:spacing w:before="120"/>
        <w:jc w:val="both"/>
      </w:pPr>
      <w:r>
        <w:t>(3) Comparison with available experimental data in order to understand how well or poorly state-of-the-art solvers predict different flows</w:t>
      </w:r>
    </w:p>
    <w:p w:rsidR="000B19C9" w:rsidRDefault="00BF2FD6" w:rsidP="001F41EE">
      <w:pPr>
        <w:pStyle w:val="PreformattedText"/>
        <w:spacing w:before="120"/>
        <w:jc w:val="both"/>
      </w:pPr>
      <w:r>
        <w:t xml:space="preserve">(4) Find properties and conditions most indicative and most sensitive to models, parameters, </w:t>
      </w:r>
      <w:r w:rsidR="0023389F">
        <w:t xml:space="preserve">and </w:t>
      </w:r>
      <w:r>
        <w:t>implementations</w:t>
      </w:r>
    </w:p>
    <w:p w:rsidR="000B19C9" w:rsidRDefault="00BF2FD6" w:rsidP="001F41EE">
      <w:pPr>
        <w:pStyle w:val="PreformattedText"/>
        <w:spacing w:before="120"/>
        <w:jc w:val="both"/>
      </w:pPr>
      <w:r>
        <w:t>(5) Provide specific feedback to the experimental community on conditions, properties, and flows of interest.</w:t>
      </w:r>
    </w:p>
    <w:p w:rsidR="000B19C9" w:rsidRDefault="00BF2FD6" w:rsidP="001F41EE">
      <w:pPr>
        <w:pStyle w:val="PreformattedText"/>
        <w:spacing w:before="120"/>
        <w:jc w:val="both"/>
      </w:pPr>
      <w:r>
        <w:t>(6) Establish clear, straightforward set of benchmarks for future code and model development</w:t>
      </w:r>
    </w:p>
    <w:p w:rsidR="000B19C9" w:rsidRDefault="00BF2FD6" w:rsidP="001F41EE">
      <w:pPr>
        <w:pStyle w:val="PreformattedText"/>
        <w:spacing w:before="120"/>
        <w:jc w:val="both"/>
      </w:pPr>
      <w:r>
        <w:t xml:space="preserve">To achieve the goals, we propose to evaluate numerical accuracy and uncertainty of physical models and numerical approaches for modeling real gas effects in high temperature hypersonic flows through code-to-code and code-to-measurement comparison of four main benchmarks: relaxation rates, flow properties, surface parameters, and radiation signatures. The cases are assumed to be run by code experts, in “production mode”, so only the basic parameters of the problem are defined here. Solver-related parameters such as collision models and grid refinements are left to the discretion of the experts and/or the capability of the solver involved. Sensitivity studies of the impact of these parameters on results are of interest, but are not otherwise addressed at this stage. </w:t>
      </w:r>
    </w:p>
    <w:p w:rsidR="00016536" w:rsidRDefault="00016536"/>
    <w:p w:rsidR="00B93ABB" w:rsidRDefault="00B93ABB"/>
    <w:p w:rsidR="000B19C9" w:rsidRDefault="00BF2FD6">
      <w:pPr>
        <w:rPr>
          <w:b/>
          <w:bCs/>
          <w:sz w:val="28"/>
          <w:szCs w:val="28"/>
        </w:rPr>
      </w:pPr>
      <w:r>
        <w:rPr>
          <w:b/>
          <w:bCs/>
          <w:sz w:val="28"/>
          <w:szCs w:val="28"/>
        </w:rPr>
        <w:lastRenderedPageBreak/>
        <w:t>2. Overview of Test Cases</w:t>
      </w:r>
    </w:p>
    <w:p w:rsidR="000F29B8" w:rsidRDefault="000F29B8">
      <w:pPr>
        <w:rPr>
          <w:b/>
          <w:bCs/>
          <w:sz w:val="28"/>
          <w:szCs w:val="28"/>
        </w:rPr>
      </w:pPr>
    </w:p>
    <w:p w:rsidR="000B19C9" w:rsidRDefault="00BF2FD6">
      <w:pPr>
        <w:jc w:val="both"/>
      </w:pPr>
      <w:r>
        <w:t xml:space="preserve">The proposed test cases include three modeling configurations </w:t>
      </w:r>
      <w:r w:rsidR="008C1D12">
        <w:t>of</w:t>
      </w:r>
      <w:r>
        <w:t xml:space="preserve"> increasing complexity: (</w:t>
      </w:r>
      <w:proofErr w:type="spellStart"/>
      <w:r>
        <w:t>i</w:t>
      </w:r>
      <w:proofErr w:type="spellEnd"/>
      <w:r>
        <w:t>) 0D spatially homogeneous high-temperature heat bath, (ii) 1D normal shock wave, (iii) axially symmetric hypersonic</w:t>
      </w:r>
      <w:r w:rsidR="002C4BC4">
        <w:t>, high enthalpy</w:t>
      </w:r>
      <w:r>
        <w:t xml:space="preserve"> flow. The configuration (</w:t>
      </w:r>
      <w:proofErr w:type="spellStart"/>
      <w:r>
        <w:t>i</w:t>
      </w:r>
      <w:proofErr w:type="spellEnd"/>
      <w:r>
        <w:t xml:space="preserve">) provides the opportunity to </w:t>
      </w:r>
      <w:r w:rsidR="008C1D12">
        <w:t xml:space="preserve">directly </w:t>
      </w:r>
      <w:r>
        <w:t xml:space="preserve">compare equilibrium and non-equilibrium rates of vibrational excitation and chemical reactions under conditions that emulate those behind strong shock waves. The configurations (ii) and (iii) are based on recent measurements where the spatial distribution of flow properties, in one case, and surface parameters, in the other case, have been obtained using modern experimental facilities and techniques. </w:t>
      </w:r>
      <w:r w:rsidR="009F0513">
        <w:t xml:space="preserve">In both cases, the </w:t>
      </w:r>
      <w:r>
        <w:t xml:space="preserve">experimental </w:t>
      </w:r>
      <w:r w:rsidR="009F0513">
        <w:t xml:space="preserve">conditions </w:t>
      </w:r>
      <w:r>
        <w:t xml:space="preserve">are characterized by strong thermal and chemical non-equilibrium in the flow. The first set of test cases uses the conditions and data from the shock tube measurements of </w:t>
      </w:r>
      <w:proofErr w:type="spellStart"/>
      <w:r>
        <w:t>Ibraguimova</w:t>
      </w:r>
      <w:proofErr w:type="spellEnd"/>
      <w:r>
        <w:t xml:space="preserve"> et al. [1-3] which provide vibrational temperatures of O</w:t>
      </w:r>
      <w:r>
        <w:rPr>
          <w:vertAlign w:val="subscript"/>
        </w:rPr>
        <w:t>2</w:t>
      </w:r>
      <w:r>
        <w:t xml:space="preserve"> in a shock under strongly non-equilibrium conditions. These temperatures, evaluated from the absorption data on the Schumann-Runge UV band of O</w:t>
      </w:r>
      <w:r>
        <w:rPr>
          <w:vertAlign w:val="subscript"/>
        </w:rPr>
        <w:t>2</w:t>
      </w:r>
      <w:r>
        <w:t xml:space="preserve">, are based on contributions from vibrational levels through at least </w:t>
      </w:r>
      <w:r>
        <w:rPr>
          <w:rFonts w:ascii="Times New Roman" w:hAnsi="Times New Roman"/>
          <w:i/>
          <w:iCs/>
        </w:rPr>
        <w:t>v</w:t>
      </w:r>
      <w:r>
        <w:t xml:space="preserve">=10 and are not potentially-distorted ones based on only the </w:t>
      </w:r>
      <w:r>
        <w:rPr>
          <w:rFonts w:ascii="Times New Roman" w:hAnsi="Times New Roman"/>
          <w:i/>
          <w:iCs/>
        </w:rPr>
        <w:t>v</w:t>
      </w:r>
      <w:r>
        <w:rPr>
          <w:rFonts w:ascii="Times New Roman" w:hAnsi="Times New Roman"/>
          <w:i/>
          <w:iCs/>
          <w:vertAlign w:val="subscript"/>
        </w:rPr>
        <w:t>1</w:t>
      </w:r>
      <w:r>
        <w:t>/</w:t>
      </w:r>
      <w:r>
        <w:rPr>
          <w:rFonts w:ascii="Times New Roman" w:hAnsi="Times New Roman"/>
          <w:i/>
          <w:iCs/>
        </w:rPr>
        <w:t>v</w:t>
      </w:r>
      <w:r>
        <w:rPr>
          <w:rFonts w:ascii="Times New Roman" w:hAnsi="Times New Roman"/>
          <w:i/>
          <w:iCs/>
          <w:vertAlign w:val="subscript"/>
        </w:rPr>
        <w:t>0</w:t>
      </w:r>
      <w:r>
        <w:t xml:space="preserve"> ratio. The second set of test cases </w:t>
      </w:r>
      <w:r w:rsidR="009F0513">
        <w:t>is not finalized at this time yet, and two possibilities are currently discussed. The first possibility is to use</w:t>
      </w:r>
      <w:r>
        <w:t xml:space="preserve"> the measurements </w:t>
      </w:r>
      <w:r w:rsidR="00F15EC7">
        <w:t xml:space="preserve">[4-6] </w:t>
      </w:r>
      <w:r>
        <w:t>of pressure and heat flux distributions over a double cone configuration in LENS XX expansion tunnel</w:t>
      </w:r>
      <w:r w:rsidR="009F0513">
        <w:t>, where</w:t>
      </w:r>
      <w:r>
        <w:t xml:space="preserve"> dry air </w:t>
      </w:r>
      <w:r w:rsidR="009F0513">
        <w:t xml:space="preserve">was taken </w:t>
      </w:r>
      <w:r>
        <w:t xml:space="preserve">as a test gas at total enthalpies from 5 MJ/kg to 22 MJ/kg </w:t>
      </w:r>
      <w:r w:rsidR="00AF14E2">
        <w:t>(free stream velocities from 3.2 to 6.5 km/s</w:t>
      </w:r>
      <w:r w:rsidR="00F15EC7">
        <w:t>, respectively)</w:t>
      </w:r>
      <w:r>
        <w:t xml:space="preserve">. </w:t>
      </w:r>
      <w:r w:rsidR="009F0513">
        <w:t xml:space="preserve">The second possibility </w:t>
      </w:r>
      <w:r w:rsidR="00B5356D">
        <w:t xml:space="preserve">is to use the measurements of surface properties over a cylinder, presented in Ref. [13], with some additional detail given in Ref. [14], where </w:t>
      </w:r>
      <w:r w:rsidR="00AF14E2">
        <w:t xml:space="preserve">the test gas was also air, and </w:t>
      </w:r>
      <w:r w:rsidR="00634969">
        <w:t>free</w:t>
      </w:r>
      <w:r w:rsidR="00AF14E2">
        <w:t xml:space="preserve"> velocities</w:t>
      </w:r>
      <w:r w:rsidR="00634969">
        <w:t xml:space="preserve"> ranged from 4.8 to 6 km/s. </w:t>
      </w:r>
      <w:r w:rsidR="00AF14E2">
        <w:t xml:space="preserve"> </w:t>
      </w:r>
    </w:p>
    <w:p w:rsidR="000B19C9" w:rsidRDefault="000B19C9">
      <w:pPr>
        <w:jc w:val="both"/>
      </w:pPr>
    </w:p>
    <w:p w:rsidR="000B19C9" w:rsidRPr="007A3F94" w:rsidRDefault="00BF2FD6">
      <w:pPr>
        <w:jc w:val="both"/>
        <w:rPr>
          <w:b/>
        </w:rPr>
      </w:pPr>
      <w:r w:rsidRPr="007A3F94">
        <w:rPr>
          <w:b/>
        </w:rPr>
        <w:t xml:space="preserve">3. TC1: Spatially Homogeneous Heat Bath </w:t>
      </w:r>
    </w:p>
    <w:p w:rsidR="000B19C9" w:rsidRDefault="000B19C9">
      <w:pPr>
        <w:jc w:val="both"/>
      </w:pPr>
    </w:p>
    <w:p w:rsidR="000B19C9" w:rsidRPr="007A3F94" w:rsidRDefault="00BF2FD6" w:rsidP="008565BA">
      <w:pPr>
        <w:jc w:val="both"/>
        <w:outlineLvl w:val="0"/>
        <w:rPr>
          <w:i/>
        </w:rPr>
      </w:pPr>
      <w:r w:rsidRPr="007A3F94">
        <w:rPr>
          <w:i/>
        </w:rPr>
        <w:t xml:space="preserve">3.1. </w:t>
      </w:r>
      <w:r w:rsidR="00C36AA0" w:rsidRPr="007A3F94">
        <w:rPr>
          <w:i/>
        </w:rPr>
        <w:t>Flow Conditions</w:t>
      </w:r>
    </w:p>
    <w:p w:rsidR="000B19C9" w:rsidRDefault="000F29B8" w:rsidP="007A3F94">
      <w:pPr>
        <w:tabs>
          <w:tab w:val="left" w:pos="1515"/>
        </w:tabs>
        <w:jc w:val="both"/>
      </w:pPr>
      <w:r>
        <w:tab/>
      </w:r>
    </w:p>
    <w:p w:rsidR="000B19C9" w:rsidRDefault="00BF2FD6" w:rsidP="00B93ABB">
      <w:pPr>
        <w:overflowPunct/>
        <w:autoSpaceDE w:val="0"/>
        <w:autoSpaceDN w:val="0"/>
        <w:adjustRightInd w:val="0"/>
        <w:spacing w:before="120"/>
        <w:jc w:val="both"/>
        <w:rPr>
          <w:rFonts w:cs="Tahoma"/>
          <w:color w:val="auto"/>
          <w:kern w:val="0"/>
          <w:lang w:bidi="ar-SA"/>
        </w:rPr>
      </w:pPr>
      <w:r>
        <w:t xml:space="preserve">3.1.1. </w:t>
      </w:r>
      <w:r w:rsidR="00B35F00" w:rsidRPr="00B93ABB">
        <w:rPr>
          <w:rFonts w:cs="Tahoma"/>
          <w:color w:val="auto"/>
          <w:kern w:val="0"/>
          <w:lang w:bidi="ar-SA"/>
        </w:rPr>
        <w:t>A fixed-temperature bath is proposed for the evaluation of chemical</w:t>
      </w:r>
      <w:r w:rsidR="00CC235C">
        <w:rPr>
          <w:rFonts w:cs="Tahoma"/>
          <w:color w:val="auto"/>
          <w:kern w:val="0"/>
          <w:lang w:bidi="ar-SA"/>
        </w:rPr>
        <w:t xml:space="preserve"> </w:t>
      </w:r>
      <w:r w:rsidR="00B35F00" w:rsidRPr="00B93ABB">
        <w:rPr>
          <w:rFonts w:cs="Tahoma"/>
          <w:color w:val="auto"/>
          <w:kern w:val="0"/>
          <w:lang w:bidi="ar-SA"/>
        </w:rPr>
        <w:t>reaction rates, in which separate mode temperatures</w:t>
      </w:r>
      <w:r w:rsidR="00CC235C">
        <w:rPr>
          <w:rFonts w:cs="Tahoma"/>
          <w:color w:val="auto"/>
          <w:kern w:val="0"/>
          <w:lang w:bidi="ar-SA"/>
        </w:rPr>
        <w:t xml:space="preserve"> </w:t>
      </w:r>
      <w:r w:rsidR="00B35F00" w:rsidRPr="00B93ABB">
        <w:rPr>
          <w:rFonts w:cs="Tahoma"/>
          <w:color w:val="auto"/>
          <w:kern w:val="0"/>
          <w:lang w:bidi="ar-SA"/>
        </w:rPr>
        <w:t>(translational, rotational, and vibrational) are set, with</w:t>
      </w:r>
      <w:r w:rsidR="00CC235C">
        <w:rPr>
          <w:rFonts w:cs="Tahoma"/>
          <w:color w:val="auto"/>
          <w:kern w:val="0"/>
          <w:lang w:bidi="ar-SA"/>
        </w:rPr>
        <w:t xml:space="preserve"> </w:t>
      </w:r>
      <w:r w:rsidR="00B35F00" w:rsidRPr="00B93ABB">
        <w:rPr>
          <w:rFonts w:cs="Tahoma"/>
          <w:color w:val="auto"/>
          <w:kern w:val="0"/>
          <w:lang w:bidi="ar-SA"/>
        </w:rPr>
        <w:t>Maxwell-Boltzmann state distributions enforced at the prescribed</w:t>
      </w:r>
      <w:r w:rsidR="00CC235C">
        <w:rPr>
          <w:rFonts w:cs="Tahoma"/>
          <w:color w:val="auto"/>
          <w:kern w:val="0"/>
          <w:lang w:bidi="ar-SA"/>
        </w:rPr>
        <w:t xml:space="preserve"> </w:t>
      </w:r>
      <w:r w:rsidR="00B35F00" w:rsidRPr="00B93ABB">
        <w:rPr>
          <w:rFonts w:cs="Tahoma"/>
          <w:color w:val="auto"/>
          <w:kern w:val="0"/>
          <w:lang w:bidi="ar-SA"/>
        </w:rPr>
        <w:t>temperatures.</w:t>
      </w:r>
    </w:p>
    <w:p w:rsidR="004A12B6" w:rsidRPr="00B93ABB" w:rsidRDefault="004A12B6" w:rsidP="00B93ABB">
      <w:pPr>
        <w:overflowPunct/>
        <w:autoSpaceDE w:val="0"/>
        <w:autoSpaceDN w:val="0"/>
        <w:adjustRightInd w:val="0"/>
        <w:spacing w:before="120"/>
        <w:jc w:val="both"/>
        <w:rPr>
          <w:rFonts w:cs="Tahoma"/>
          <w:color w:val="auto"/>
          <w:kern w:val="0"/>
          <w:lang w:bidi="ar-SA"/>
        </w:rPr>
      </w:pPr>
      <w:r w:rsidRPr="00B93ABB">
        <w:rPr>
          <w:rFonts w:cs="Tahoma"/>
          <w:color w:val="auto"/>
          <w:kern w:val="0"/>
          <w:lang w:bidi="ar-SA"/>
        </w:rPr>
        <w:t>(a) In the DSMC method, a fixed-temperature bath can be modeled as a</w:t>
      </w:r>
      <w:r>
        <w:rPr>
          <w:rFonts w:cs="Tahoma"/>
          <w:color w:val="auto"/>
          <w:kern w:val="0"/>
          <w:lang w:bidi="ar-SA"/>
        </w:rPr>
        <w:t xml:space="preserve"> </w:t>
      </w:r>
      <w:r w:rsidRPr="00B93ABB">
        <w:rPr>
          <w:rFonts w:cs="Tahoma"/>
          <w:color w:val="auto"/>
          <w:kern w:val="0"/>
          <w:lang w:bidi="ar-SA"/>
        </w:rPr>
        <w:t>spatially uniform box with specular walls where the gas translational,</w:t>
      </w:r>
      <w:r>
        <w:rPr>
          <w:rFonts w:cs="Tahoma"/>
          <w:color w:val="auto"/>
          <w:kern w:val="0"/>
          <w:lang w:bidi="ar-SA"/>
        </w:rPr>
        <w:t xml:space="preserve"> </w:t>
      </w:r>
      <w:r w:rsidRPr="00B93ABB">
        <w:rPr>
          <w:rFonts w:cs="Tahoma"/>
          <w:color w:val="auto"/>
          <w:kern w:val="0"/>
          <w:lang w:bidi="ar-SA"/>
        </w:rPr>
        <w:t>rotational, and vibrational temperatures are all kept at their</w:t>
      </w:r>
      <w:r>
        <w:rPr>
          <w:rFonts w:cs="Tahoma"/>
          <w:color w:val="auto"/>
          <w:kern w:val="0"/>
          <w:lang w:bidi="ar-SA"/>
        </w:rPr>
        <w:t xml:space="preserve"> </w:t>
      </w:r>
      <w:r w:rsidRPr="00B93ABB">
        <w:rPr>
          <w:rFonts w:cs="Tahoma"/>
          <w:color w:val="auto"/>
          <w:kern w:val="0"/>
          <w:lang w:bidi="ar-SA"/>
        </w:rPr>
        <w:t>prescribed values. The chemical reaction rates should be calculated</w:t>
      </w:r>
      <w:r>
        <w:rPr>
          <w:rFonts w:cs="Tahoma"/>
          <w:color w:val="auto"/>
          <w:kern w:val="0"/>
          <w:lang w:bidi="ar-SA"/>
        </w:rPr>
        <w:t xml:space="preserve"> </w:t>
      </w:r>
      <w:r w:rsidRPr="00B93ABB">
        <w:rPr>
          <w:rFonts w:cs="Tahoma"/>
          <w:color w:val="auto"/>
          <w:kern w:val="0"/>
          <w:lang w:bidi="ar-SA"/>
        </w:rPr>
        <w:t>even though no internal energy transfer or chemical reactions should</w:t>
      </w:r>
      <w:r>
        <w:rPr>
          <w:rFonts w:cs="Tahoma"/>
          <w:color w:val="auto"/>
          <w:kern w:val="0"/>
          <w:lang w:bidi="ar-SA"/>
        </w:rPr>
        <w:t xml:space="preserve"> </w:t>
      </w:r>
      <w:r w:rsidRPr="00B93ABB">
        <w:rPr>
          <w:rFonts w:cs="Tahoma"/>
          <w:color w:val="auto"/>
          <w:kern w:val="0"/>
          <w:lang w:bidi="ar-SA"/>
        </w:rPr>
        <w:t>be allowed (i.e. the reaction events are counted but not modeled).</w:t>
      </w:r>
    </w:p>
    <w:p w:rsidR="004A12B6" w:rsidRPr="00B93ABB" w:rsidRDefault="004A12B6" w:rsidP="00B93ABB">
      <w:pPr>
        <w:overflowPunct/>
        <w:autoSpaceDE w:val="0"/>
        <w:autoSpaceDN w:val="0"/>
        <w:adjustRightInd w:val="0"/>
        <w:spacing w:before="120"/>
        <w:jc w:val="both"/>
        <w:rPr>
          <w:rFonts w:cs="Tahoma"/>
          <w:color w:val="auto"/>
          <w:kern w:val="0"/>
          <w:lang w:bidi="ar-SA"/>
        </w:rPr>
      </w:pPr>
      <w:r w:rsidRPr="00B93ABB">
        <w:rPr>
          <w:rFonts w:cs="Tahoma"/>
          <w:color w:val="auto"/>
          <w:kern w:val="0"/>
          <w:lang w:bidi="ar-SA"/>
        </w:rPr>
        <w:t>(b) For continuum CFD, such a bath reduces to the calculation of</w:t>
      </w:r>
      <w:r>
        <w:rPr>
          <w:rFonts w:cs="Tahoma"/>
          <w:color w:val="auto"/>
          <w:kern w:val="0"/>
          <w:lang w:bidi="ar-SA"/>
        </w:rPr>
        <w:t xml:space="preserve"> </w:t>
      </w:r>
      <w:r w:rsidRPr="00B93ABB">
        <w:rPr>
          <w:rFonts w:cs="Tahoma"/>
          <w:color w:val="auto"/>
          <w:kern w:val="0"/>
          <w:lang w:bidi="ar-SA"/>
        </w:rPr>
        <w:t>chemical reaction rates determined as functions of total or</w:t>
      </w:r>
      <w:r>
        <w:rPr>
          <w:rFonts w:cs="Tahoma"/>
          <w:color w:val="auto"/>
          <w:kern w:val="0"/>
          <w:lang w:bidi="ar-SA"/>
        </w:rPr>
        <w:t xml:space="preserve"> </w:t>
      </w:r>
      <w:r w:rsidRPr="00B93ABB">
        <w:rPr>
          <w:rFonts w:cs="Tahoma"/>
          <w:color w:val="auto"/>
          <w:kern w:val="0"/>
          <w:lang w:bidi="ar-SA"/>
        </w:rPr>
        <w:t>translation-rotational and vibrational temperatures.</w:t>
      </w:r>
    </w:p>
    <w:p w:rsidR="004A12B6" w:rsidRPr="00B93ABB" w:rsidRDefault="004A12B6" w:rsidP="00B93ABB">
      <w:pPr>
        <w:overflowPunct/>
        <w:autoSpaceDE w:val="0"/>
        <w:autoSpaceDN w:val="0"/>
        <w:adjustRightInd w:val="0"/>
        <w:spacing w:before="120"/>
        <w:jc w:val="both"/>
        <w:rPr>
          <w:rFonts w:cs="Tahoma"/>
          <w:color w:val="auto"/>
          <w:kern w:val="0"/>
          <w:lang w:bidi="ar-SA"/>
        </w:rPr>
      </w:pPr>
      <w:r w:rsidRPr="00B93ABB">
        <w:rPr>
          <w:rFonts w:cs="Tahoma"/>
          <w:color w:val="auto"/>
          <w:kern w:val="0"/>
          <w:lang w:bidi="ar-SA"/>
        </w:rPr>
        <w:t>(c) In the QCT framework, the methodology described in Ref.</w:t>
      </w:r>
      <w:r>
        <w:rPr>
          <w:rFonts w:cs="Tahoma"/>
          <w:color w:val="auto"/>
          <w:kern w:val="0"/>
          <w:lang w:bidi="ar-SA"/>
        </w:rPr>
        <w:t xml:space="preserve"> [</w:t>
      </w:r>
      <w:r w:rsidR="00827150">
        <w:rPr>
          <w:rFonts w:cs="Tahoma"/>
          <w:color w:val="auto"/>
          <w:kern w:val="0"/>
          <w:lang w:bidi="ar-SA"/>
        </w:rPr>
        <w:t>10</w:t>
      </w:r>
      <w:r>
        <w:rPr>
          <w:rFonts w:cs="Tahoma"/>
          <w:color w:val="auto"/>
          <w:kern w:val="0"/>
          <w:lang w:bidi="ar-SA"/>
        </w:rPr>
        <w:t xml:space="preserve">] </w:t>
      </w:r>
      <w:r w:rsidRPr="00B93ABB">
        <w:rPr>
          <w:rFonts w:cs="Tahoma"/>
          <w:color w:val="auto"/>
          <w:kern w:val="0"/>
          <w:lang w:bidi="ar-SA"/>
        </w:rPr>
        <w:t>may be used to evaluate the reaction rates. In that work, a large</w:t>
      </w:r>
      <w:r>
        <w:rPr>
          <w:rFonts w:cs="Tahoma"/>
          <w:color w:val="auto"/>
          <w:kern w:val="0"/>
          <w:lang w:bidi="ar-SA"/>
        </w:rPr>
        <w:t xml:space="preserve"> </w:t>
      </w:r>
      <w:r w:rsidRPr="00B93ABB">
        <w:rPr>
          <w:rFonts w:cs="Tahoma"/>
          <w:color w:val="auto"/>
          <w:kern w:val="0"/>
          <w:lang w:bidi="ar-SA"/>
        </w:rPr>
        <w:t>number of representative collisions between given species in an</w:t>
      </w:r>
      <w:r>
        <w:rPr>
          <w:rFonts w:cs="Tahoma"/>
          <w:color w:val="auto"/>
          <w:kern w:val="0"/>
          <w:lang w:bidi="ar-SA"/>
        </w:rPr>
        <w:t xml:space="preserve"> </w:t>
      </w:r>
      <w:r w:rsidRPr="00B93ABB">
        <w:rPr>
          <w:rFonts w:cs="Tahoma"/>
          <w:color w:val="auto"/>
          <w:kern w:val="0"/>
          <w:lang w:bidi="ar-SA"/>
        </w:rPr>
        <w:t>ensemble of particles characterized by one or more temperatures is</w:t>
      </w:r>
      <w:r>
        <w:rPr>
          <w:rFonts w:cs="Tahoma"/>
          <w:color w:val="auto"/>
          <w:kern w:val="0"/>
          <w:lang w:bidi="ar-SA"/>
        </w:rPr>
        <w:t xml:space="preserve"> </w:t>
      </w:r>
      <w:r w:rsidRPr="00B93ABB">
        <w:rPr>
          <w:rFonts w:cs="Tahoma"/>
          <w:color w:val="auto"/>
          <w:kern w:val="0"/>
          <w:lang w:bidi="ar-SA"/>
        </w:rPr>
        <w:t>used to calculate the rate.</w:t>
      </w:r>
    </w:p>
    <w:p w:rsidR="00827150" w:rsidRPr="00B93ABB" w:rsidRDefault="00BF2FD6" w:rsidP="00B93ABB">
      <w:pPr>
        <w:overflowPunct/>
        <w:autoSpaceDE w:val="0"/>
        <w:autoSpaceDN w:val="0"/>
        <w:adjustRightInd w:val="0"/>
        <w:spacing w:before="120"/>
        <w:jc w:val="both"/>
        <w:rPr>
          <w:rFonts w:cs="Tahoma"/>
          <w:color w:val="auto"/>
          <w:kern w:val="0"/>
          <w:lang w:bidi="ar-SA"/>
        </w:rPr>
      </w:pPr>
      <w:r>
        <w:t>3.1.2</w:t>
      </w:r>
      <w:r w:rsidRPr="00B93ABB">
        <w:rPr>
          <w:rFonts w:cs="Tahoma"/>
        </w:rPr>
        <w:t xml:space="preserve">. </w:t>
      </w:r>
      <w:r w:rsidR="00827150" w:rsidRPr="00B93ABB">
        <w:rPr>
          <w:rFonts w:cs="Tahoma"/>
          <w:color w:val="auto"/>
          <w:kern w:val="0"/>
          <w:lang w:bidi="ar-SA"/>
        </w:rPr>
        <w:t>A fixed translational temperature T</w:t>
      </w:r>
      <w:r w:rsidR="00827150" w:rsidRPr="00B93ABB">
        <w:rPr>
          <w:rFonts w:cs="Tahoma"/>
          <w:color w:val="auto"/>
          <w:kern w:val="0"/>
          <w:vertAlign w:val="subscript"/>
          <w:lang w:bidi="ar-SA"/>
        </w:rPr>
        <w:t>t</w:t>
      </w:r>
      <w:r w:rsidR="00827150" w:rsidRPr="00B93ABB">
        <w:rPr>
          <w:rFonts w:cs="Tahoma"/>
          <w:color w:val="auto"/>
          <w:kern w:val="0"/>
          <w:lang w:bidi="ar-SA"/>
        </w:rPr>
        <w:t xml:space="preserve"> bath is suggested for the</w:t>
      </w:r>
      <w:r w:rsidR="00827150">
        <w:rPr>
          <w:rFonts w:cs="Tahoma"/>
          <w:color w:val="auto"/>
          <w:kern w:val="0"/>
          <w:lang w:bidi="ar-SA"/>
        </w:rPr>
        <w:t xml:space="preserve"> </w:t>
      </w:r>
      <w:r w:rsidR="00827150" w:rsidRPr="00B93ABB">
        <w:rPr>
          <w:rFonts w:cs="Tahoma"/>
          <w:color w:val="auto"/>
          <w:kern w:val="0"/>
          <w:lang w:bidi="ar-SA"/>
        </w:rPr>
        <w:t xml:space="preserve">evaluation of </w:t>
      </w:r>
      <w:r w:rsidR="00827150">
        <w:t xml:space="preserve">rotational and vibrational relaxation times </w:t>
      </w:r>
      <w:r w:rsidR="00827150">
        <w:rPr>
          <w:rFonts w:ascii="Symbol" w:hAnsi="Symbol"/>
        </w:rPr>
        <w:t></w:t>
      </w:r>
      <w:r w:rsidR="00827150">
        <w:rPr>
          <w:vertAlign w:val="subscript"/>
        </w:rPr>
        <w:t>r</w:t>
      </w:r>
      <w:r w:rsidR="00827150">
        <w:t xml:space="preserve"> and </w:t>
      </w:r>
      <w:r w:rsidR="00827150">
        <w:rPr>
          <w:rFonts w:ascii="Symbol" w:hAnsi="Symbol"/>
        </w:rPr>
        <w:t></w:t>
      </w:r>
      <w:r w:rsidR="00827150">
        <w:rPr>
          <w:vertAlign w:val="subscript"/>
        </w:rPr>
        <w:t>v</w:t>
      </w:r>
      <w:r w:rsidR="00827150">
        <w:t xml:space="preserve"> and quasi-steady state (QSS) reaction rates. </w:t>
      </w:r>
    </w:p>
    <w:p w:rsidR="00827150" w:rsidRPr="00B93ABB" w:rsidRDefault="00827150" w:rsidP="00B93ABB">
      <w:pPr>
        <w:overflowPunct/>
        <w:autoSpaceDE w:val="0"/>
        <w:autoSpaceDN w:val="0"/>
        <w:adjustRightInd w:val="0"/>
        <w:spacing w:before="120"/>
        <w:jc w:val="both"/>
        <w:rPr>
          <w:rFonts w:cs="Tahoma"/>
          <w:color w:val="auto"/>
          <w:kern w:val="0"/>
          <w:lang w:bidi="ar-SA"/>
        </w:rPr>
      </w:pPr>
      <w:r w:rsidRPr="00B93ABB">
        <w:rPr>
          <w:rFonts w:cs="Tahoma"/>
          <w:color w:val="auto"/>
          <w:kern w:val="0"/>
          <w:lang w:bidi="ar-SA"/>
        </w:rPr>
        <w:lastRenderedPageBreak/>
        <w:t xml:space="preserve">(a) For DSMC, the </w:t>
      </w:r>
      <w:r>
        <w:rPr>
          <w:rFonts w:cs="Tahoma"/>
          <w:color w:val="auto"/>
          <w:kern w:val="0"/>
          <w:lang w:bidi="ar-SA"/>
        </w:rPr>
        <w:t>T</w:t>
      </w:r>
      <w:r w:rsidRPr="00B93ABB">
        <w:rPr>
          <w:rFonts w:cs="Tahoma"/>
          <w:color w:val="auto"/>
          <w:kern w:val="0"/>
          <w:vertAlign w:val="subscript"/>
          <w:lang w:bidi="ar-SA"/>
        </w:rPr>
        <w:t>t</w:t>
      </w:r>
      <w:r w:rsidRPr="00B93ABB">
        <w:rPr>
          <w:rFonts w:cs="Tahoma"/>
          <w:color w:val="auto"/>
          <w:kern w:val="0"/>
          <w:lang w:bidi="ar-SA"/>
        </w:rPr>
        <w:t xml:space="preserve"> isothermal bath may be modeled as a</w:t>
      </w:r>
      <w:r>
        <w:rPr>
          <w:rFonts w:cs="Tahoma"/>
          <w:color w:val="auto"/>
          <w:kern w:val="0"/>
          <w:lang w:bidi="ar-SA"/>
        </w:rPr>
        <w:t xml:space="preserve"> </w:t>
      </w:r>
      <w:r w:rsidRPr="00B93ABB">
        <w:rPr>
          <w:rFonts w:cs="Tahoma"/>
          <w:color w:val="auto"/>
          <w:kern w:val="0"/>
          <w:lang w:bidi="ar-SA"/>
        </w:rPr>
        <w:t>spatially uniform box with specular walls where the gas translational</w:t>
      </w:r>
      <w:r>
        <w:rPr>
          <w:rFonts w:cs="Tahoma"/>
          <w:color w:val="auto"/>
          <w:kern w:val="0"/>
          <w:lang w:bidi="ar-SA"/>
        </w:rPr>
        <w:t xml:space="preserve"> </w:t>
      </w:r>
      <w:r w:rsidRPr="00B93ABB">
        <w:rPr>
          <w:rFonts w:cs="Tahoma"/>
          <w:color w:val="auto"/>
          <w:kern w:val="0"/>
          <w:lang w:bidi="ar-SA"/>
        </w:rPr>
        <w:t>temperature is kept constant at a given value. This can be done either</w:t>
      </w:r>
      <w:r>
        <w:rPr>
          <w:rFonts w:cs="Tahoma"/>
          <w:color w:val="auto"/>
          <w:kern w:val="0"/>
          <w:lang w:bidi="ar-SA"/>
        </w:rPr>
        <w:t xml:space="preserve"> </w:t>
      </w:r>
      <w:r w:rsidRPr="00B93ABB">
        <w:rPr>
          <w:rFonts w:cs="Tahoma"/>
          <w:color w:val="auto"/>
          <w:kern w:val="0"/>
          <w:lang w:bidi="ar-SA"/>
        </w:rPr>
        <w:t>by not changing molecular velocities after collisions, or re-sampling</w:t>
      </w:r>
      <w:r>
        <w:rPr>
          <w:rFonts w:cs="Tahoma"/>
          <w:color w:val="auto"/>
          <w:kern w:val="0"/>
          <w:lang w:bidi="ar-SA"/>
        </w:rPr>
        <w:t xml:space="preserve"> </w:t>
      </w:r>
      <w:r w:rsidRPr="00B93ABB">
        <w:rPr>
          <w:rFonts w:cs="Tahoma"/>
          <w:color w:val="auto"/>
          <w:kern w:val="0"/>
          <w:lang w:bidi="ar-SA"/>
        </w:rPr>
        <w:t>the particle velocities from the corresponding Maxwellian distribution</w:t>
      </w:r>
      <w:r>
        <w:rPr>
          <w:rFonts w:cs="Tahoma"/>
          <w:color w:val="auto"/>
          <w:kern w:val="0"/>
          <w:lang w:bidi="ar-SA"/>
        </w:rPr>
        <w:t xml:space="preserve"> </w:t>
      </w:r>
      <w:r w:rsidRPr="00B93ABB">
        <w:rPr>
          <w:rFonts w:cs="Tahoma"/>
          <w:color w:val="auto"/>
          <w:kern w:val="0"/>
          <w:lang w:bidi="ar-SA"/>
        </w:rPr>
        <w:t>every time step.</w:t>
      </w:r>
    </w:p>
    <w:p w:rsidR="00827150" w:rsidRPr="00B93ABB" w:rsidRDefault="00827150" w:rsidP="00B93ABB">
      <w:pPr>
        <w:overflowPunct/>
        <w:autoSpaceDE w:val="0"/>
        <w:autoSpaceDN w:val="0"/>
        <w:adjustRightInd w:val="0"/>
        <w:spacing w:before="120"/>
        <w:jc w:val="both"/>
        <w:rPr>
          <w:rFonts w:cs="Tahoma"/>
          <w:color w:val="auto"/>
          <w:kern w:val="0"/>
          <w:lang w:bidi="ar-SA"/>
        </w:rPr>
      </w:pPr>
      <w:r w:rsidRPr="00B93ABB">
        <w:rPr>
          <w:rFonts w:cs="Tahoma"/>
          <w:color w:val="auto"/>
          <w:kern w:val="0"/>
          <w:lang w:bidi="ar-SA"/>
        </w:rPr>
        <w:t>(b) For continuum CFD, the internal energy relaxation times and QSS</w:t>
      </w:r>
      <w:r>
        <w:rPr>
          <w:rFonts w:cs="Tahoma"/>
          <w:color w:val="auto"/>
          <w:kern w:val="0"/>
          <w:lang w:bidi="ar-SA"/>
        </w:rPr>
        <w:t xml:space="preserve"> </w:t>
      </w:r>
      <w:r w:rsidRPr="00B93ABB">
        <w:rPr>
          <w:rFonts w:cs="Tahoma"/>
          <w:color w:val="auto"/>
          <w:kern w:val="0"/>
          <w:lang w:bidi="ar-SA"/>
        </w:rPr>
        <w:t>rates are evaluated in a spatially homogeneous gas cell where the translational temperature is kept constant during the simulation,</w:t>
      </w:r>
      <w:r>
        <w:rPr>
          <w:rFonts w:cs="Tahoma"/>
          <w:color w:val="auto"/>
          <w:kern w:val="0"/>
          <w:lang w:bidi="ar-SA"/>
        </w:rPr>
        <w:t xml:space="preserve"> </w:t>
      </w:r>
      <w:r w:rsidRPr="00B93ABB">
        <w:rPr>
          <w:rFonts w:cs="Tahoma"/>
          <w:color w:val="auto"/>
          <w:kern w:val="0"/>
          <w:lang w:bidi="ar-SA"/>
        </w:rPr>
        <w:t>while the rotational and vibrational temperatures and species</w:t>
      </w:r>
      <w:r>
        <w:rPr>
          <w:rFonts w:cs="Tahoma"/>
          <w:color w:val="auto"/>
          <w:kern w:val="0"/>
          <w:lang w:bidi="ar-SA"/>
        </w:rPr>
        <w:t xml:space="preserve"> </w:t>
      </w:r>
      <w:r w:rsidRPr="00B93ABB">
        <w:rPr>
          <w:rFonts w:cs="Tahoma"/>
          <w:color w:val="auto"/>
          <w:kern w:val="0"/>
          <w:lang w:bidi="ar-SA"/>
        </w:rPr>
        <w:t>concentrations are allowed to change with time.</w:t>
      </w:r>
    </w:p>
    <w:p w:rsidR="00827150" w:rsidRPr="00B93ABB" w:rsidRDefault="00827150" w:rsidP="00B93ABB">
      <w:pPr>
        <w:overflowPunct/>
        <w:autoSpaceDE w:val="0"/>
        <w:autoSpaceDN w:val="0"/>
        <w:adjustRightInd w:val="0"/>
        <w:spacing w:before="120"/>
        <w:jc w:val="both"/>
        <w:rPr>
          <w:rFonts w:cs="Tahoma"/>
          <w:color w:val="auto"/>
          <w:kern w:val="0"/>
          <w:lang w:bidi="ar-SA"/>
        </w:rPr>
      </w:pPr>
      <w:r w:rsidRPr="00B93ABB">
        <w:rPr>
          <w:rFonts w:cs="Tahoma"/>
          <w:color w:val="auto"/>
          <w:kern w:val="0"/>
          <w:lang w:bidi="ar-SA"/>
        </w:rPr>
        <w:t>(c) QCT approach is not easily amenable to the calculation of</w:t>
      </w:r>
      <w:r>
        <w:rPr>
          <w:rFonts w:cs="Tahoma"/>
          <w:color w:val="auto"/>
          <w:kern w:val="0"/>
          <w:lang w:bidi="ar-SA"/>
        </w:rPr>
        <w:t xml:space="preserve"> v</w:t>
      </w:r>
      <w:r w:rsidRPr="00B93ABB">
        <w:rPr>
          <w:rFonts w:cs="Tahoma"/>
          <w:color w:val="auto"/>
          <w:kern w:val="0"/>
          <w:lang w:bidi="ar-SA"/>
        </w:rPr>
        <w:t>ibrational and/or rotational relaxation rates. One of the possible</w:t>
      </w:r>
      <w:r>
        <w:rPr>
          <w:rFonts w:cs="Tahoma"/>
          <w:color w:val="auto"/>
          <w:kern w:val="0"/>
          <w:lang w:bidi="ar-SA"/>
        </w:rPr>
        <w:t xml:space="preserve"> </w:t>
      </w:r>
      <w:r w:rsidRPr="00B93ABB">
        <w:rPr>
          <w:rFonts w:cs="Tahoma"/>
          <w:color w:val="auto"/>
          <w:kern w:val="0"/>
          <w:lang w:bidi="ar-SA"/>
        </w:rPr>
        <w:t>ways to obtain and verify such rates is to use state-specific</w:t>
      </w:r>
      <w:r>
        <w:rPr>
          <w:rFonts w:cs="Tahoma"/>
          <w:color w:val="auto"/>
          <w:kern w:val="0"/>
          <w:lang w:bidi="ar-SA"/>
        </w:rPr>
        <w:t xml:space="preserve"> </w:t>
      </w:r>
      <w:r w:rsidRPr="00B93ABB">
        <w:rPr>
          <w:rFonts w:cs="Tahoma"/>
          <w:color w:val="auto"/>
          <w:kern w:val="0"/>
          <w:lang w:bidi="ar-SA"/>
        </w:rPr>
        <w:t>transition rates obtained by QCT in a solution of master equations</w:t>
      </w:r>
      <w:r>
        <w:rPr>
          <w:rFonts w:cs="Tahoma"/>
          <w:color w:val="auto"/>
          <w:kern w:val="0"/>
          <w:lang w:bidi="ar-SA"/>
        </w:rPr>
        <w:t xml:space="preserve"> </w:t>
      </w:r>
      <w:r w:rsidRPr="00B93ABB">
        <w:rPr>
          <w:rFonts w:cs="Tahoma"/>
          <w:color w:val="auto"/>
          <w:kern w:val="0"/>
          <w:lang w:bidi="ar-SA"/>
        </w:rPr>
        <w:t xml:space="preserve">(see, for example, </w:t>
      </w:r>
      <w:r w:rsidR="00B325A2">
        <w:rPr>
          <w:rFonts w:cs="Tahoma"/>
          <w:color w:val="auto"/>
          <w:kern w:val="0"/>
          <w:lang w:bidi="ar-SA"/>
        </w:rPr>
        <w:t>[11]</w:t>
      </w:r>
      <w:r w:rsidRPr="00B93ABB">
        <w:rPr>
          <w:rFonts w:cs="Tahoma"/>
          <w:color w:val="auto"/>
          <w:kern w:val="0"/>
          <w:lang w:bidi="ar-SA"/>
        </w:rPr>
        <w:t>). One can also use the direct</w:t>
      </w:r>
      <w:r>
        <w:rPr>
          <w:rFonts w:cs="Tahoma"/>
          <w:color w:val="auto"/>
          <w:kern w:val="0"/>
          <w:lang w:bidi="ar-SA"/>
        </w:rPr>
        <w:t xml:space="preserve"> </w:t>
      </w:r>
      <w:r w:rsidRPr="00B93ABB">
        <w:rPr>
          <w:rFonts w:cs="Tahoma"/>
          <w:color w:val="auto"/>
          <w:kern w:val="0"/>
          <w:lang w:bidi="ar-SA"/>
        </w:rPr>
        <w:t>molecular simulation (DMS) method</w:t>
      </w:r>
      <w:r w:rsidR="00B325A2">
        <w:rPr>
          <w:rFonts w:cs="Tahoma"/>
          <w:color w:val="auto"/>
          <w:kern w:val="0"/>
          <w:lang w:bidi="ar-SA"/>
        </w:rPr>
        <w:t xml:space="preserve"> [12]</w:t>
      </w:r>
      <w:r w:rsidRPr="00B93ABB">
        <w:rPr>
          <w:rFonts w:cs="Tahoma"/>
          <w:color w:val="auto"/>
          <w:kern w:val="0"/>
          <w:lang w:bidi="ar-SA"/>
        </w:rPr>
        <w:t>, which</w:t>
      </w:r>
      <w:r>
        <w:rPr>
          <w:rFonts w:cs="Tahoma"/>
          <w:color w:val="auto"/>
          <w:kern w:val="0"/>
          <w:lang w:bidi="ar-SA"/>
        </w:rPr>
        <w:t xml:space="preserve"> </w:t>
      </w:r>
      <w:r w:rsidRPr="00B93ABB">
        <w:rPr>
          <w:rFonts w:cs="Tahoma"/>
          <w:color w:val="auto"/>
          <w:kern w:val="0"/>
          <w:lang w:bidi="ar-SA"/>
        </w:rPr>
        <w:t>embeds trajectory calculations within a standard DSMC simulation, and</w:t>
      </w:r>
      <w:r>
        <w:rPr>
          <w:rFonts w:cs="Tahoma"/>
          <w:color w:val="auto"/>
          <w:kern w:val="0"/>
          <w:lang w:bidi="ar-SA"/>
        </w:rPr>
        <w:t xml:space="preserve"> </w:t>
      </w:r>
      <w:r w:rsidRPr="00B93ABB">
        <w:rPr>
          <w:rFonts w:cs="Tahoma"/>
          <w:color w:val="auto"/>
          <w:kern w:val="0"/>
          <w:lang w:bidi="ar-SA"/>
        </w:rPr>
        <w:t>thus allows one to directly evaluate vibrational and rotational</w:t>
      </w:r>
      <w:r>
        <w:rPr>
          <w:rFonts w:cs="Tahoma"/>
          <w:color w:val="auto"/>
          <w:kern w:val="0"/>
          <w:lang w:bidi="ar-SA"/>
        </w:rPr>
        <w:t xml:space="preserve"> </w:t>
      </w:r>
      <w:r w:rsidRPr="00B93ABB">
        <w:rPr>
          <w:rFonts w:cs="Tahoma"/>
          <w:color w:val="auto"/>
          <w:kern w:val="0"/>
          <w:lang w:bidi="ar-SA"/>
        </w:rPr>
        <w:t>relaxation rates.</w:t>
      </w:r>
    </w:p>
    <w:p w:rsidR="0036392D" w:rsidRDefault="00BF2FD6" w:rsidP="00AD10C4">
      <w:pPr>
        <w:spacing w:before="120"/>
        <w:jc w:val="both"/>
      </w:pPr>
      <w:r>
        <w:t xml:space="preserve">For </w:t>
      </w:r>
      <w:r w:rsidR="008871AF">
        <w:rPr>
          <w:rFonts w:ascii="Symbol" w:hAnsi="Symbol"/>
        </w:rPr>
        <w:t></w:t>
      </w:r>
      <w:r w:rsidR="008871AF">
        <w:rPr>
          <w:vertAlign w:val="subscript"/>
        </w:rPr>
        <w:t>r</w:t>
      </w:r>
      <w:r w:rsidR="008871AF">
        <w:t xml:space="preserve"> and</w:t>
      </w:r>
      <w:r>
        <w:t xml:space="preserve"> </w:t>
      </w:r>
      <w:r>
        <w:rPr>
          <w:rFonts w:ascii="Symbol" w:hAnsi="Symbol"/>
        </w:rPr>
        <w:t></w:t>
      </w:r>
      <w:r>
        <w:rPr>
          <w:vertAlign w:val="subscript"/>
        </w:rPr>
        <w:t>v</w:t>
      </w:r>
      <w:r>
        <w:t xml:space="preserve"> evaluation, no chemical reactions are allowed, only </w:t>
      </w:r>
      <w:r w:rsidR="00C36AA0">
        <w:t xml:space="preserve">energy exchange between </w:t>
      </w:r>
      <w:r>
        <w:t>vibrational</w:t>
      </w:r>
      <w:r w:rsidR="00C36AA0">
        <w:t>,</w:t>
      </w:r>
      <w:r>
        <w:t xml:space="preserve"> rotational</w:t>
      </w:r>
      <w:r w:rsidR="00C36AA0">
        <w:t>,</w:t>
      </w:r>
      <w:r>
        <w:t xml:space="preserve"> and translational modes. The relaxation proceeds from the initial state specified in Table 1, and the</w:t>
      </w:r>
      <w:r w:rsidR="008871AF">
        <w:t xml:space="preserve"> </w:t>
      </w:r>
      <w:r w:rsidR="008871AF">
        <w:rPr>
          <w:rFonts w:ascii="Symbol" w:hAnsi="Symbol"/>
        </w:rPr>
        <w:t></w:t>
      </w:r>
      <w:r w:rsidR="008871AF">
        <w:rPr>
          <w:vertAlign w:val="subscript"/>
        </w:rPr>
        <w:t>r</w:t>
      </w:r>
      <w:r w:rsidR="008871AF">
        <w:t xml:space="preserve"> and</w:t>
      </w:r>
      <w:r>
        <w:t xml:space="preserve"> </w:t>
      </w:r>
      <w:r>
        <w:rPr>
          <w:rFonts w:ascii="Symbol" w:hAnsi="Symbol"/>
        </w:rPr>
        <w:t></w:t>
      </w:r>
      <w:r>
        <w:rPr>
          <w:vertAlign w:val="subscript"/>
        </w:rPr>
        <w:t xml:space="preserve">v </w:t>
      </w:r>
      <w:r>
        <w:t>value</w:t>
      </w:r>
      <w:r w:rsidR="008871AF">
        <w:t>s</w:t>
      </w:r>
      <w:r>
        <w:t xml:space="preserve"> </w:t>
      </w:r>
      <w:r w:rsidR="008871AF">
        <w:t>are</w:t>
      </w:r>
      <w:r>
        <w:t xml:space="preserve"> obtained using the e-folding approach [7</w:t>
      </w:r>
      <w:r w:rsidR="0036392D">
        <w:t>,8</w:t>
      </w:r>
      <w:r>
        <w:t xml:space="preserve">]:  the </w:t>
      </w:r>
      <w:r w:rsidR="008871AF">
        <w:t xml:space="preserve">rotational and </w:t>
      </w:r>
      <w:r>
        <w:t>vibrational relaxation time</w:t>
      </w:r>
      <w:r w:rsidR="008871AF">
        <w:t>s</w:t>
      </w:r>
      <w:r>
        <w:t xml:space="preserve"> </w:t>
      </w:r>
      <w:r w:rsidR="008871AF">
        <w:t>are</w:t>
      </w:r>
      <w:r>
        <w:t xml:space="preserve"> the time</w:t>
      </w:r>
      <w:r w:rsidR="008871AF">
        <w:t>s</w:t>
      </w:r>
      <w:r>
        <w:t xml:space="preserve"> at which the vibrational </w:t>
      </w:r>
      <w:r w:rsidR="008871AF">
        <w:t>and</w:t>
      </w:r>
      <w:r w:rsidR="0036392D">
        <w:t xml:space="preserve"> rotational energies</w:t>
      </w:r>
      <w:r w:rsidR="00D17BC6">
        <w:t xml:space="preserve"> </w:t>
      </w:r>
      <w:proofErr w:type="spellStart"/>
      <w:r w:rsidR="00D17BC6" w:rsidRPr="00D17BC6">
        <w:rPr>
          <w:rFonts w:ascii="Times New Roman" w:hAnsi="Times New Roman" w:cs="Times New Roman"/>
          <w:i/>
        </w:rPr>
        <w:t>E</w:t>
      </w:r>
      <w:r w:rsidR="00D17BC6" w:rsidRPr="00D17BC6">
        <w:rPr>
          <w:rFonts w:ascii="Times New Roman" w:hAnsi="Times New Roman" w:cs="Times New Roman"/>
          <w:i/>
          <w:vertAlign w:val="subscript"/>
        </w:rPr>
        <w:t>r</w:t>
      </w:r>
      <w:proofErr w:type="spellEnd"/>
      <w:r w:rsidR="00D17BC6">
        <w:t xml:space="preserve"> and </w:t>
      </w:r>
      <w:proofErr w:type="spellStart"/>
      <w:r w:rsidR="00D17BC6" w:rsidRPr="00D17BC6">
        <w:rPr>
          <w:rFonts w:ascii="Times New Roman" w:hAnsi="Times New Roman" w:cs="Times New Roman"/>
          <w:i/>
        </w:rPr>
        <w:t>E</w:t>
      </w:r>
      <w:r w:rsidR="00D17BC6" w:rsidRPr="00D17BC6">
        <w:rPr>
          <w:rFonts w:ascii="Times New Roman" w:hAnsi="Times New Roman" w:cs="Times New Roman"/>
          <w:i/>
          <w:vertAlign w:val="subscript"/>
        </w:rPr>
        <w:t>v</w:t>
      </w:r>
      <w:proofErr w:type="spellEnd"/>
      <w:r w:rsidR="0036392D">
        <w:t xml:space="preserve"> </w:t>
      </w:r>
      <w:r>
        <w:t xml:space="preserve">rise from </w:t>
      </w:r>
      <w:r w:rsidR="008871AF">
        <w:t>their</w:t>
      </w:r>
      <w:r>
        <w:t xml:space="preserve"> initial value</w:t>
      </w:r>
      <w:r w:rsidR="008871AF">
        <w:t>s</w:t>
      </w:r>
      <w:r w:rsidR="0036392D">
        <w:t xml:space="preserve"> </w:t>
      </w:r>
      <w:proofErr w:type="spellStart"/>
      <w:proofErr w:type="gramStart"/>
      <w:r w:rsidR="0036392D" w:rsidRPr="0036392D">
        <w:rPr>
          <w:rFonts w:ascii="Times New Roman" w:hAnsi="Times New Roman" w:cs="Times New Roman"/>
          <w:i/>
        </w:rPr>
        <w:t>E</w:t>
      </w:r>
      <w:r w:rsidR="0036392D" w:rsidRPr="0036392D">
        <w:rPr>
          <w:rFonts w:ascii="Times New Roman" w:hAnsi="Times New Roman" w:cs="Times New Roman"/>
          <w:i/>
          <w:vertAlign w:val="subscript"/>
        </w:rPr>
        <w:t>r,</w:t>
      </w:r>
      <w:r w:rsidR="00D17BC6">
        <w:rPr>
          <w:rFonts w:ascii="Times New Roman" w:hAnsi="Times New Roman" w:cs="Times New Roman"/>
          <w:i/>
          <w:vertAlign w:val="subscript"/>
        </w:rPr>
        <w:t>i</w:t>
      </w:r>
      <w:proofErr w:type="spellEnd"/>
      <w:proofErr w:type="gramEnd"/>
      <w:r w:rsidR="0036392D">
        <w:t xml:space="preserve"> and </w:t>
      </w:r>
      <w:proofErr w:type="spellStart"/>
      <w:r w:rsidR="0036392D" w:rsidRPr="0036392D">
        <w:rPr>
          <w:rFonts w:ascii="Times New Roman" w:hAnsi="Times New Roman" w:cs="Times New Roman"/>
          <w:i/>
        </w:rPr>
        <w:t>E</w:t>
      </w:r>
      <w:r w:rsidR="0036392D" w:rsidRPr="0036392D">
        <w:rPr>
          <w:rFonts w:ascii="Times New Roman" w:hAnsi="Times New Roman" w:cs="Times New Roman"/>
          <w:i/>
          <w:vertAlign w:val="subscript"/>
        </w:rPr>
        <w:t>v,</w:t>
      </w:r>
      <w:r w:rsidR="00D17BC6">
        <w:rPr>
          <w:rFonts w:ascii="Times New Roman" w:hAnsi="Times New Roman" w:cs="Times New Roman"/>
          <w:i/>
          <w:vertAlign w:val="subscript"/>
        </w:rPr>
        <w:t>i</w:t>
      </w:r>
      <w:proofErr w:type="spellEnd"/>
      <w:r w:rsidR="0036392D">
        <w:t xml:space="preserve"> </w:t>
      </w:r>
      <w:r>
        <w:t xml:space="preserve"> to </w:t>
      </w:r>
    </w:p>
    <w:p w:rsidR="0036392D" w:rsidRDefault="00ED3C3C" w:rsidP="00AD10C4">
      <w:pPr>
        <w:spacing w:before="120"/>
        <w:jc w:val="both"/>
      </w:pPr>
      <m:oMathPara>
        <m:oMath>
          <m:sSub>
            <m:sSubPr>
              <m:ctrlPr>
                <w:rPr>
                  <w:rFonts w:ascii="Cambria Math" w:hAnsi="Cambria Math"/>
                  <w:i/>
                </w:rPr>
              </m:ctrlPr>
            </m:sSubPr>
            <m:e>
              <m:r>
                <w:rPr>
                  <w:rFonts w:ascii="Cambria Math" w:hAnsi="Cambria Math"/>
                </w:rPr>
                <m:t>E</m:t>
              </m:r>
            </m:e>
            <m:sub>
              <m:r>
                <w:rPr>
                  <w:rFonts w:ascii="Cambria Math" w:hAnsi="Cambria Math"/>
                </w:rPr>
                <m:t>rv</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rv,i</m:t>
                  </m:r>
                </m:sub>
              </m:sSub>
            </m:num>
            <m:den>
              <m:r>
                <w:rPr>
                  <w:rFonts w:ascii="Cambria Math" w:hAnsi="Cambria Math"/>
                </w:rPr>
                <m:t>e</m:t>
              </m:r>
            </m:den>
          </m:f>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e</m:t>
                  </m:r>
                </m:den>
              </m:f>
            </m:e>
          </m:d>
          <m:sSub>
            <m:sSubPr>
              <m:ctrlPr>
                <w:rPr>
                  <w:rFonts w:ascii="Cambria Math" w:hAnsi="Cambria Math"/>
                  <w:i/>
                </w:rPr>
              </m:ctrlPr>
            </m:sSubPr>
            <m:e>
              <m:r>
                <w:rPr>
                  <w:rFonts w:ascii="Cambria Math" w:hAnsi="Cambria Math"/>
                </w:rPr>
                <m:t>E</m:t>
              </m:r>
            </m:e>
            <m:sub>
              <m:r>
                <w:rPr>
                  <w:rFonts w:ascii="Cambria Math" w:hAnsi="Cambria Math"/>
                </w:rPr>
                <m:t>rf,f</m:t>
              </m:r>
            </m:sub>
          </m:sSub>
        </m:oMath>
      </m:oMathPara>
    </w:p>
    <w:p w:rsidR="007D7FA1" w:rsidRDefault="00BF2FD6" w:rsidP="00AD10C4">
      <w:pPr>
        <w:spacing w:before="120"/>
        <w:jc w:val="both"/>
      </w:pPr>
      <w:r>
        <w:t xml:space="preserve">where </w:t>
      </w:r>
      <w:proofErr w:type="spellStart"/>
      <w:proofErr w:type="gramStart"/>
      <w:r w:rsidR="00D17BC6" w:rsidRPr="00D17BC6">
        <w:rPr>
          <w:rFonts w:ascii="Times New Roman" w:hAnsi="Times New Roman" w:cs="Times New Roman"/>
          <w:i/>
        </w:rPr>
        <w:t>E</w:t>
      </w:r>
      <w:r w:rsidR="00D17BC6" w:rsidRPr="00D17BC6">
        <w:rPr>
          <w:rFonts w:ascii="Times New Roman" w:hAnsi="Times New Roman" w:cs="Times New Roman"/>
          <w:i/>
          <w:vertAlign w:val="subscript"/>
        </w:rPr>
        <w:t>r,f</w:t>
      </w:r>
      <w:proofErr w:type="spellEnd"/>
      <w:proofErr w:type="gramEnd"/>
      <w:r w:rsidR="00D17BC6">
        <w:t xml:space="preserve"> and </w:t>
      </w:r>
      <w:proofErr w:type="spellStart"/>
      <w:r w:rsidR="00D17BC6" w:rsidRPr="00D17BC6">
        <w:rPr>
          <w:rFonts w:ascii="Times New Roman" w:hAnsi="Times New Roman" w:cs="Times New Roman"/>
          <w:i/>
        </w:rPr>
        <w:t>E</w:t>
      </w:r>
      <w:r w:rsidR="00D17BC6">
        <w:rPr>
          <w:rFonts w:ascii="Times New Roman" w:hAnsi="Times New Roman" w:cs="Times New Roman"/>
          <w:i/>
          <w:vertAlign w:val="subscript"/>
        </w:rPr>
        <w:t>v</w:t>
      </w:r>
      <w:r w:rsidR="00D17BC6" w:rsidRPr="00D17BC6">
        <w:rPr>
          <w:rFonts w:ascii="Times New Roman" w:hAnsi="Times New Roman" w:cs="Times New Roman"/>
          <w:i/>
          <w:vertAlign w:val="subscript"/>
        </w:rPr>
        <w:t>,f</w:t>
      </w:r>
      <w:proofErr w:type="spellEnd"/>
      <w:r w:rsidR="00D17BC6">
        <w:t xml:space="preserve"> are the rotational and vibrational temperatures at the translational (i.e. their final) temperature </w:t>
      </w:r>
      <w:r>
        <w:t>T</w:t>
      </w:r>
      <w:r>
        <w:rPr>
          <w:vertAlign w:val="subscript"/>
        </w:rPr>
        <w:t>t</w:t>
      </w:r>
      <w:r w:rsidR="00D17BC6">
        <w:t>.</w:t>
      </w:r>
      <w:r>
        <w:t xml:space="preserve"> </w:t>
      </w:r>
    </w:p>
    <w:p w:rsidR="007D7FA1" w:rsidRDefault="007D7FA1" w:rsidP="00AD10C4">
      <w:pPr>
        <w:spacing w:before="120"/>
        <w:jc w:val="both"/>
      </w:pPr>
      <w:r>
        <w:t xml:space="preserve">The vibrational rate constant for the 10 transition is also of interest here, and is sought for TC1.5 and TC1.6. </w:t>
      </w:r>
    </w:p>
    <w:p w:rsidR="000B19C9" w:rsidRDefault="00BF2FD6" w:rsidP="00AD10C4">
      <w:pPr>
        <w:spacing w:before="120"/>
        <w:jc w:val="both"/>
      </w:pPr>
      <w:r>
        <w:t xml:space="preserve">For the QSS </w:t>
      </w:r>
      <w:r w:rsidR="007D7FA1">
        <w:t xml:space="preserve">dissociation </w:t>
      </w:r>
      <w:r>
        <w:t>rate evaluation</w:t>
      </w:r>
      <w:r w:rsidR="007D7FA1">
        <w:t xml:space="preserve"> in TC1.7 and TC1.8</w:t>
      </w:r>
      <w:r>
        <w:t xml:space="preserve">, both chemical reactions and </w:t>
      </w:r>
      <w:r w:rsidR="00AD10C4">
        <w:t xml:space="preserve">internal </w:t>
      </w:r>
      <w:r>
        <w:t xml:space="preserve">energy transfer are allowed. </w:t>
      </w:r>
    </w:p>
    <w:p w:rsidR="000B19C9" w:rsidRDefault="000B19C9">
      <w:pPr>
        <w:jc w:val="both"/>
      </w:pPr>
    </w:p>
    <w:p w:rsidR="000B19C9" w:rsidRDefault="00BF2FD6" w:rsidP="008565BA">
      <w:pPr>
        <w:jc w:val="both"/>
        <w:outlineLvl w:val="0"/>
        <w:rPr>
          <w:i/>
        </w:rPr>
      </w:pPr>
      <w:r w:rsidRPr="007A3F94">
        <w:rPr>
          <w:i/>
        </w:rPr>
        <w:t>3.2. Desired Output</w:t>
      </w:r>
    </w:p>
    <w:p w:rsidR="0022560C" w:rsidRPr="007A3F94" w:rsidRDefault="0022560C">
      <w:pPr>
        <w:jc w:val="both"/>
        <w:rPr>
          <w:i/>
        </w:rPr>
      </w:pPr>
    </w:p>
    <w:p w:rsidR="000B19C9" w:rsidRDefault="00BF2FD6" w:rsidP="008565BA">
      <w:pPr>
        <w:jc w:val="both"/>
        <w:outlineLvl w:val="0"/>
      </w:pPr>
      <w:r>
        <w:t>3.2.1. Fixed-temperature bath (TC1.1 through TC1.</w:t>
      </w:r>
      <w:r w:rsidR="00B325A2">
        <w:t>4</w:t>
      </w:r>
      <w:r>
        <w:t>)</w:t>
      </w:r>
    </w:p>
    <w:p w:rsidR="0022560C" w:rsidRDefault="00BF2FD6" w:rsidP="007A3F94">
      <w:pPr>
        <w:jc w:val="both"/>
      </w:pPr>
      <w:r>
        <w:t>The following relaxation propert</w:t>
      </w:r>
      <w:r w:rsidR="0022560C">
        <w:t>y</w:t>
      </w:r>
      <w:r>
        <w:t>:</w:t>
      </w:r>
    </w:p>
    <w:p w:rsidR="000B19C9" w:rsidRDefault="00BF2FD6" w:rsidP="007A3F94">
      <w:pPr>
        <w:pStyle w:val="ListParagraph"/>
        <w:numPr>
          <w:ilvl w:val="0"/>
          <w:numId w:val="10"/>
        </w:numPr>
        <w:jc w:val="both"/>
      </w:pPr>
      <w:r>
        <w:t xml:space="preserve">dissociation reaction rate </w:t>
      </w:r>
      <w:proofErr w:type="spellStart"/>
      <w:r>
        <w:t>k</w:t>
      </w:r>
      <w:r w:rsidRPr="00B44490">
        <w:rPr>
          <w:vertAlign w:val="subscript"/>
        </w:rPr>
        <w:t>d</w:t>
      </w:r>
      <w:proofErr w:type="spellEnd"/>
      <w:r>
        <w:t xml:space="preserve"> (m</w:t>
      </w:r>
      <w:r w:rsidRPr="00B44490">
        <w:rPr>
          <w:vertAlign w:val="superscript"/>
        </w:rPr>
        <w:t>3</w:t>
      </w:r>
      <w:r>
        <w:t>/(molecule s))</w:t>
      </w:r>
    </w:p>
    <w:p w:rsidR="00F770D1" w:rsidRDefault="00F770D1" w:rsidP="00F770D1">
      <w:pPr>
        <w:pStyle w:val="ListParagraph"/>
        <w:numPr>
          <w:ilvl w:val="0"/>
          <w:numId w:val="10"/>
        </w:numPr>
        <w:jc w:val="both"/>
      </w:pPr>
      <w:r>
        <w:t>average vibrational energy of dissociating molecules</w:t>
      </w:r>
    </w:p>
    <w:p w:rsidR="00771A18" w:rsidRDefault="00B325A2" w:rsidP="00B93ABB">
      <w:pPr>
        <w:pStyle w:val="ListParagraph"/>
        <w:numPr>
          <w:ilvl w:val="0"/>
          <w:numId w:val="10"/>
        </w:numPr>
        <w:jc w:val="both"/>
      </w:pPr>
      <w:r>
        <w:t xml:space="preserve">average </w:t>
      </w:r>
      <w:r w:rsidR="00771A18">
        <w:t xml:space="preserve">difference between the vibrational energy of reactants and reaction products </w:t>
      </w:r>
    </w:p>
    <w:p w:rsidR="000B19C9" w:rsidRDefault="000B19C9">
      <w:pPr>
        <w:jc w:val="both"/>
      </w:pPr>
    </w:p>
    <w:p w:rsidR="000B19C9" w:rsidRDefault="00BF2FD6" w:rsidP="008565BA">
      <w:pPr>
        <w:jc w:val="both"/>
        <w:outlineLvl w:val="0"/>
      </w:pPr>
      <w:r>
        <w:t>3.2.2. T</w:t>
      </w:r>
      <w:r w:rsidR="0064417D" w:rsidRPr="00AD10C4">
        <w:rPr>
          <w:vertAlign w:val="subscript"/>
        </w:rPr>
        <w:t>t</w:t>
      </w:r>
      <w:r>
        <w:t xml:space="preserve"> isothermal bath (TC1.</w:t>
      </w:r>
      <w:r w:rsidR="00B325A2">
        <w:t>5</w:t>
      </w:r>
      <w:r>
        <w:t xml:space="preserve"> through TC1.</w:t>
      </w:r>
      <w:r w:rsidR="007D7FA1">
        <w:t>8</w:t>
      </w:r>
      <w:r>
        <w:t>)</w:t>
      </w:r>
    </w:p>
    <w:p w:rsidR="000B19C9" w:rsidRDefault="00BF2FD6">
      <w:pPr>
        <w:jc w:val="both"/>
      </w:pPr>
      <w:r>
        <w:t>The following gas properties as a function of time:</w:t>
      </w:r>
    </w:p>
    <w:p w:rsidR="008871AF" w:rsidRDefault="008871AF" w:rsidP="008871AF">
      <w:pPr>
        <w:numPr>
          <w:ilvl w:val="0"/>
          <w:numId w:val="1"/>
        </w:numPr>
        <w:jc w:val="both"/>
      </w:pPr>
      <w:r>
        <w:t>rotational temperature (TC1.</w:t>
      </w:r>
      <w:r w:rsidR="00B325A2">
        <w:t>5</w:t>
      </w:r>
      <w:r>
        <w:t xml:space="preserve"> through TC1.</w:t>
      </w:r>
      <w:r w:rsidR="00B325A2">
        <w:t>8</w:t>
      </w:r>
      <w:r>
        <w:t>)</w:t>
      </w:r>
    </w:p>
    <w:p w:rsidR="008871AF" w:rsidRDefault="008871AF" w:rsidP="008871AF">
      <w:pPr>
        <w:numPr>
          <w:ilvl w:val="0"/>
          <w:numId w:val="1"/>
        </w:numPr>
        <w:jc w:val="both"/>
      </w:pPr>
      <w:r>
        <w:t>vibrational temperature (TC1.</w:t>
      </w:r>
      <w:r w:rsidR="00B325A2">
        <w:t>5</w:t>
      </w:r>
      <w:r>
        <w:t xml:space="preserve"> through TC1.</w:t>
      </w:r>
      <w:r w:rsidR="00B325A2">
        <w:t>8</w:t>
      </w:r>
      <w:r>
        <w:t>)</w:t>
      </w:r>
    </w:p>
    <w:p w:rsidR="00F770D1" w:rsidRDefault="00BF2FD6" w:rsidP="00B93ABB">
      <w:pPr>
        <w:numPr>
          <w:ilvl w:val="0"/>
          <w:numId w:val="1"/>
        </w:numPr>
        <w:jc w:val="both"/>
      </w:pPr>
      <w:r>
        <w:t xml:space="preserve">atomic </w:t>
      </w:r>
      <w:r w:rsidR="006628A7">
        <w:t>nitro</w:t>
      </w:r>
      <w:r>
        <w:t>gen (TC1.</w:t>
      </w:r>
      <w:r w:rsidR="00B325A2">
        <w:t>7</w:t>
      </w:r>
      <w:r>
        <w:t xml:space="preserve">) and atomic </w:t>
      </w:r>
      <w:r w:rsidR="006628A7">
        <w:t>oxy</w:t>
      </w:r>
      <w:r>
        <w:t>gen (TC1.</w:t>
      </w:r>
      <w:r w:rsidR="00B325A2">
        <w:t>8</w:t>
      </w:r>
      <w:r>
        <w:t>) mo</w:t>
      </w:r>
      <w:r w:rsidR="00AD10C4">
        <w:t>l</w:t>
      </w:r>
      <w:r>
        <w:t>e fractions</w:t>
      </w:r>
    </w:p>
    <w:p w:rsidR="000B19C9" w:rsidRDefault="000B19C9">
      <w:pPr>
        <w:jc w:val="both"/>
      </w:pPr>
    </w:p>
    <w:p w:rsidR="000B19C9" w:rsidRDefault="00BF2FD6">
      <w:pPr>
        <w:jc w:val="both"/>
      </w:pPr>
      <w:r>
        <w:t>The following relaxation properties:</w:t>
      </w:r>
    </w:p>
    <w:p w:rsidR="000B19C9" w:rsidRDefault="0064417D">
      <w:pPr>
        <w:numPr>
          <w:ilvl w:val="0"/>
          <w:numId w:val="3"/>
        </w:numPr>
        <w:jc w:val="both"/>
      </w:pPr>
      <w:r>
        <w:t>rotatio</w:t>
      </w:r>
      <w:r w:rsidR="00BF2FD6">
        <w:t xml:space="preserve">nal relaxation time </w:t>
      </w:r>
      <w:r w:rsidR="00BF2FD6">
        <w:rPr>
          <w:rFonts w:ascii="Symbol" w:hAnsi="Symbol"/>
        </w:rPr>
        <w:t></w:t>
      </w:r>
      <w:r>
        <w:rPr>
          <w:vertAlign w:val="subscript"/>
        </w:rPr>
        <w:t>r</w:t>
      </w:r>
      <w:r w:rsidR="00BF2FD6">
        <w:t xml:space="preserve"> (s) for TC1.</w:t>
      </w:r>
      <w:r w:rsidR="00B325A2">
        <w:t>5</w:t>
      </w:r>
      <w:r w:rsidR="00BF2FD6">
        <w:t xml:space="preserve"> </w:t>
      </w:r>
      <w:r w:rsidR="008359F1">
        <w:t>and TC1.</w:t>
      </w:r>
      <w:r w:rsidR="00B325A2">
        <w:t>6</w:t>
      </w:r>
    </w:p>
    <w:p w:rsidR="007D7FA1" w:rsidRDefault="0064417D" w:rsidP="007D7FA1">
      <w:pPr>
        <w:numPr>
          <w:ilvl w:val="0"/>
          <w:numId w:val="3"/>
        </w:numPr>
        <w:jc w:val="both"/>
      </w:pPr>
      <w:r>
        <w:t xml:space="preserve">vibrational relaxation time </w:t>
      </w:r>
      <w:r>
        <w:rPr>
          <w:rFonts w:ascii="Symbol" w:hAnsi="Symbol"/>
        </w:rPr>
        <w:t></w:t>
      </w:r>
      <w:r>
        <w:rPr>
          <w:vertAlign w:val="subscript"/>
        </w:rPr>
        <w:t>v</w:t>
      </w:r>
      <w:r>
        <w:t xml:space="preserve"> (s) for TC1.</w:t>
      </w:r>
      <w:r w:rsidR="007D7FA1">
        <w:t>5</w:t>
      </w:r>
      <w:r>
        <w:t xml:space="preserve"> </w:t>
      </w:r>
      <w:r w:rsidR="008359F1">
        <w:t xml:space="preserve">and </w:t>
      </w:r>
      <w:r>
        <w:t>TC1.</w:t>
      </w:r>
      <w:r w:rsidR="00B325A2">
        <w:t>6</w:t>
      </w:r>
    </w:p>
    <w:p w:rsidR="00F15D2A" w:rsidRDefault="007D7FA1" w:rsidP="007D7FA1">
      <w:pPr>
        <w:numPr>
          <w:ilvl w:val="0"/>
          <w:numId w:val="3"/>
        </w:numPr>
        <w:jc w:val="both"/>
      </w:pPr>
      <w:r>
        <w:lastRenderedPageBreak/>
        <w:t>vibrational rate constant k</w:t>
      </w:r>
      <w:r w:rsidRPr="007D7FA1">
        <w:rPr>
          <w:vertAlign w:val="subscript"/>
        </w:rPr>
        <w:t>10</w:t>
      </w:r>
      <w:r>
        <w:t xml:space="preserve"> (molecule/s) for TC1.5 and TC1.6 </w:t>
      </w:r>
    </w:p>
    <w:p w:rsidR="000B19C9" w:rsidRDefault="008B1B2F">
      <w:pPr>
        <w:numPr>
          <w:ilvl w:val="0"/>
          <w:numId w:val="3"/>
        </w:numPr>
        <w:jc w:val="both"/>
      </w:pPr>
      <w:r>
        <w:t xml:space="preserve">QSS </w:t>
      </w:r>
      <w:r w:rsidR="00BF2FD6">
        <w:t xml:space="preserve">dissociation reaction rate </w:t>
      </w:r>
      <w:proofErr w:type="spellStart"/>
      <w:r w:rsidR="00BF2FD6">
        <w:t>k</w:t>
      </w:r>
      <w:r w:rsidR="00BF2FD6">
        <w:rPr>
          <w:vertAlign w:val="subscript"/>
        </w:rPr>
        <w:t>d</w:t>
      </w:r>
      <w:proofErr w:type="spellEnd"/>
      <w:r w:rsidR="00BF2FD6">
        <w:t xml:space="preserve"> at the end of the simulation (m</w:t>
      </w:r>
      <w:r w:rsidR="00BF2FD6">
        <w:rPr>
          <w:vertAlign w:val="superscript"/>
        </w:rPr>
        <w:t>3</w:t>
      </w:r>
      <w:proofErr w:type="gramStart"/>
      <w:r w:rsidR="00BF2FD6">
        <w:t>/(</w:t>
      </w:r>
      <w:proofErr w:type="gramEnd"/>
      <w:r w:rsidR="00BF2FD6">
        <w:t>molecule s))</w:t>
      </w:r>
      <w:r w:rsidR="007D7FA1">
        <w:t xml:space="preserve"> for TC1.7 and TC1.8</w:t>
      </w:r>
    </w:p>
    <w:p w:rsidR="000B19C9" w:rsidRDefault="000B19C9">
      <w:pPr>
        <w:jc w:val="both"/>
      </w:pPr>
    </w:p>
    <w:p w:rsidR="000B19C9" w:rsidRDefault="00BF2FD6" w:rsidP="008565BA">
      <w:pPr>
        <w:jc w:val="both"/>
        <w:outlineLvl w:val="0"/>
      </w:pPr>
      <w:r>
        <w:t>3.2.3. A summary of the models used.</w:t>
      </w:r>
      <w:r w:rsidR="00F770D1">
        <w:t xml:space="preserve">  </w:t>
      </w:r>
      <w:r w:rsidR="00F770D1">
        <w:rPr>
          <w:kern w:val="0"/>
        </w:rPr>
        <w:t>The approach used to split the internal energies into vibrational and rotational parts, if applicable.</w:t>
      </w:r>
    </w:p>
    <w:p w:rsidR="000B19C9" w:rsidRDefault="000B19C9">
      <w:pPr>
        <w:jc w:val="both"/>
      </w:pPr>
    </w:p>
    <w:p w:rsidR="000B19C9" w:rsidRDefault="00BF2FD6" w:rsidP="008565BA">
      <w:pPr>
        <w:jc w:val="both"/>
        <w:outlineLvl w:val="0"/>
        <w:rPr>
          <w:i/>
        </w:rPr>
      </w:pPr>
      <w:r w:rsidRPr="007A3F94">
        <w:rPr>
          <w:i/>
        </w:rPr>
        <w:t>3.3 Run Matrix</w:t>
      </w:r>
    </w:p>
    <w:p w:rsidR="0022560C" w:rsidRPr="007A3F94" w:rsidRDefault="0022560C">
      <w:pPr>
        <w:jc w:val="both"/>
        <w:rPr>
          <w:i/>
        </w:rPr>
      </w:pPr>
    </w:p>
    <w:p w:rsidR="00A30BD8" w:rsidRDefault="00BF2FD6">
      <w:pPr>
        <w:jc w:val="both"/>
      </w:pPr>
      <w:r>
        <w:t>The run matri</w:t>
      </w:r>
      <w:r w:rsidR="00A30BD8">
        <w:t>x for a fixed-temperature bath is given in T</w:t>
      </w:r>
      <w:r>
        <w:t>abl</w:t>
      </w:r>
      <w:r w:rsidR="00A30BD8">
        <w:t>e</w:t>
      </w:r>
      <w:r>
        <w:t xml:space="preserve"> 1. Here, T</w:t>
      </w:r>
      <w:r>
        <w:rPr>
          <w:vertAlign w:val="subscript"/>
        </w:rPr>
        <w:t>t</w:t>
      </w:r>
      <w:r>
        <w:t>, T</w:t>
      </w:r>
      <w:r>
        <w:rPr>
          <w:vertAlign w:val="subscript"/>
        </w:rPr>
        <w:t>r</w:t>
      </w:r>
      <w:r>
        <w:t>, T</w:t>
      </w:r>
      <w:r>
        <w:rPr>
          <w:vertAlign w:val="subscript"/>
        </w:rPr>
        <w:t>v</w:t>
      </w:r>
      <w:r>
        <w:t xml:space="preserve"> are translational, rotational, and vibrational temperatures, respectively</w:t>
      </w:r>
      <w:r w:rsidR="00A30BD8">
        <w:t xml:space="preserve">. </w:t>
      </w:r>
    </w:p>
    <w:p w:rsidR="00A30BD8" w:rsidRDefault="00A30BD8">
      <w:pPr>
        <w:jc w:val="both"/>
      </w:pPr>
    </w:p>
    <w:p w:rsidR="000B19C9" w:rsidRDefault="00091FB3">
      <w:pPr>
        <w:jc w:val="both"/>
      </w:pPr>
      <w:r>
        <w:t>The run matrix for the T</w:t>
      </w:r>
      <w:r w:rsidRPr="00B93ABB">
        <w:rPr>
          <w:vertAlign w:val="subscript"/>
        </w:rPr>
        <w:t>t</w:t>
      </w:r>
      <w:r>
        <w:t xml:space="preserve"> isothermal bath is shown in Fig. 2. Here, only </w:t>
      </w:r>
      <w:r w:rsidR="00BF2FD6">
        <w:t>the translational temperature do</w:t>
      </w:r>
      <w:r w:rsidR="00055787">
        <w:t>es</w:t>
      </w:r>
      <w:r w:rsidR="00BF2FD6">
        <w:t xml:space="preserve"> not change during the simulation, while the </w:t>
      </w:r>
      <w:r w:rsidR="00055787">
        <w:t>rotational and</w:t>
      </w:r>
      <w:r w:rsidR="00BF2FD6">
        <w:t xml:space="preserve"> vibrational temperatures </w:t>
      </w:r>
      <w:r>
        <w:t xml:space="preserve">do, and the values given in the right column are their initial values. </w:t>
      </w:r>
      <w:r w:rsidR="00BF2FD6">
        <w:t>Initial gas composition is</w:t>
      </w:r>
      <w:r>
        <w:t xml:space="preserve"> either</w:t>
      </w:r>
      <w:r w:rsidR="00BF2FD6">
        <w:t xml:space="preserve"> pure nitrogen or </w:t>
      </w:r>
      <w:r>
        <w:t xml:space="preserve">pure </w:t>
      </w:r>
      <w:r w:rsidR="00BF2FD6">
        <w:t xml:space="preserve">oxygen. </w:t>
      </w:r>
      <w:r w:rsidR="00055787">
        <w:t>For TC.</w:t>
      </w:r>
      <w:r>
        <w:t>5</w:t>
      </w:r>
      <w:r w:rsidR="00055787">
        <w:t xml:space="preserve"> </w:t>
      </w:r>
      <w:r w:rsidR="008359F1">
        <w:t>and</w:t>
      </w:r>
      <w:r w:rsidR="00055787">
        <w:t xml:space="preserve"> TC.</w:t>
      </w:r>
      <w:r>
        <w:t>6</w:t>
      </w:r>
      <w:r w:rsidR="00055787">
        <w:t xml:space="preserve">, </w:t>
      </w:r>
      <w:r>
        <w:t xml:space="preserve">chemical reactions </w:t>
      </w:r>
      <w:r w:rsidR="00055787">
        <w:t xml:space="preserve">should be turned off, and only internal </w:t>
      </w:r>
      <w:r w:rsidR="0064417D">
        <w:t>energies (</w:t>
      </w:r>
      <w:r w:rsidR="00055787">
        <w:t>temperatures</w:t>
      </w:r>
      <w:r w:rsidR="0064417D">
        <w:t>)</w:t>
      </w:r>
      <w:r w:rsidR="00055787">
        <w:t xml:space="preserve"> change with time. Cases</w:t>
      </w:r>
      <w:r w:rsidR="00BF2FD6">
        <w:t xml:space="preserve"> TC</w:t>
      </w:r>
      <w:r>
        <w:t xml:space="preserve">1.7 </w:t>
      </w:r>
      <w:r w:rsidR="00BF2FD6">
        <w:t>and TC1.</w:t>
      </w:r>
      <w:r>
        <w:t>8</w:t>
      </w:r>
      <w:r w:rsidR="00055787">
        <w:t xml:space="preserve"> include </w:t>
      </w:r>
      <w:r>
        <w:t xml:space="preserve">both internal energy relaxation and </w:t>
      </w:r>
      <w:r w:rsidR="00271A8B">
        <w:t>dissociation</w:t>
      </w:r>
      <w:r>
        <w:t xml:space="preserve"> reactions. </w:t>
      </w:r>
      <w:r w:rsidR="00BF2FD6">
        <w:t>For TC1.</w:t>
      </w:r>
      <w:r w:rsidR="0025657C">
        <w:t>7</w:t>
      </w:r>
      <w:r w:rsidR="00BF2FD6">
        <w:t>, the initial number density and total simulation time are 10</w:t>
      </w:r>
      <w:r w:rsidR="00BF2FD6">
        <w:rPr>
          <w:vertAlign w:val="superscript"/>
        </w:rPr>
        <w:t>25</w:t>
      </w:r>
      <w:r w:rsidR="00BF2FD6">
        <w:t xml:space="preserve"> molecule/m</w:t>
      </w:r>
      <w:r w:rsidR="00BF2FD6">
        <w:rPr>
          <w:vertAlign w:val="superscript"/>
        </w:rPr>
        <w:t>3</w:t>
      </w:r>
      <w:r w:rsidR="00BF2FD6">
        <w:t xml:space="preserve"> and </w:t>
      </w:r>
      <w:r w:rsidR="00530C55">
        <w:rPr>
          <w:rFonts w:cs="Tahoma"/>
        </w:rPr>
        <w:t>5</w:t>
      </w:r>
      <w:r w:rsidR="00F770D1" w:rsidRPr="00F770D1">
        <w:rPr>
          <w:rFonts w:cs="Tahoma"/>
        </w:rPr>
        <w:t xml:space="preserve">0 </w:t>
      </w:r>
      <w:r w:rsidR="00530C55" w:rsidRPr="00B93ABB">
        <w:rPr>
          <w:rFonts w:ascii="Symbol" w:hAnsi="Symbol" w:cs="Tahoma"/>
        </w:rPr>
        <w:t></w:t>
      </w:r>
      <w:r w:rsidR="00BF2FD6" w:rsidRPr="00F770D1">
        <w:rPr>
          <w:rFonts w:cs="Tahoma"/>
        </w:rPr>
        <w:t>s</w:t>
      </w:r>
      <w:r w:rsidR="00BF2FD6">
        <w:t>, respectively. For TC1.</w:t>
      </w:r>
      <w:r w:rsidR="008359F1">
        <w:t>1</w:t>
      </w:r>
      <w:r w:rsidR="00BF2FD6">
        <w:t>2, the initial number density and total simulation time are 10</w:t>
      </w:r>
      <w:r w:rsidR="00BF2FD6">
        <w:rPr>
          <w:vertAlign w:val="superscript"/>
        </w:rPr>
        <w:t>25</w:t>
      </w:r>
      <w:r w:rsidR="00BF2FD6">
        <w:t xml:space="preserve"> molecule/m</w:t>
      </w:r>
      <w:r w:rsidR="00BF2FD6">
        <w:rPr>
          <w:vertAlign w:val="superscript"/>
        </w:rPr>
        <w:t>3</w:t>
      </w:r>
      <w:r w:rsidR="00BF2FD6">
        <w:t xml:space="preserve"> and </w:t>
      </w:r>
      <w:r w:rsidR="00530C55">
        <w:t>0.2</w:t>
      </w:r>
      <w:r w:rsidR="00BF2FD6">
        <w:t xml:space="preserve"> </w:t>
      </w:r>
      <w:r w:rsidR="00530C55" w:rsidRPr="00B93ABB">
        <w:rPr>
          <w:rFonts w:ascii="Symbol" w:hAnsi="Symbol"/>
        </w:rPr>
        <w:t></w:t>
      </w:r>
      <w:r w:rsidR="00BF2FD6">
        <w:t>s, respectively.</w:t>
      </w:r>
      <w:r w:rsidR="00F770D1">
        <w:t xml:space="preserve">  </w:t>
      </w:r>
      <w:r w:rsidR="0064417D">
        <w:t>F</w:t>
      </w:r>
      <w:r w:rsidR="008565BA">
        <w:t>or models that do not rely on the multi-temperature approach</w:t>
      </w:r>
      <w:r w:rsidR="0064417D">
        <w:t xml:space="preserve"> (</w:t>
      </w:r>
      <w:proofErr w:type="spellStart"/>
      <w:r w:rsidR="0064417D">
        <w:t>e.g</w:t>
      </w:r>
      <w:proofErr w:type="spellEnd"/>
      <w:r w:rsidR="0064417D">
        <w:t>, grouping method or DMS method),</w:t>
      </w:r>
      <w:r w:rsidR="008565BA">
        <w:t xml:space="preserve"> the rotational or vibrational temperatures can be computed a</w:t>
      </w:r>
      <w:r w:rsidR="00D026AD">
        <w:t xml:space="preserve"> </w:t>
      </w:r>
      <w:r w:rsidR="008565BA">
        <w:t xml:space="preserve">posteriori </w:t>
      </w:r>
      <w:r w:rsidR="00A23C8A">
        <w:t>even though</w:t>
      </w:r>
      <w:r w:rsidR="008565BA">
        <w:t xml:space="preserve"> they are not used </w:t>
      </w:r>
      <w:r w:rsidR="00A23C8A">
        <w:t xml:space="preserve">explicitly </w:t>
      </w:r>
      <w:r w:rsidR="008565BA">
        <w:t xml:space="preserve">in the calculations. </w:t>
      </w:r>
    </w:p>
    <w:p w:rsidR="0064417D" w:rsidRDefault="0064417D">
      <w:pPr>
        <w:jc w:val="both"/>
      </w:pPr>
    </w:p>
    <w:tbl>
      <w:tblPr>
        <w:tblW w:w="9125" w:type="dxa"/>
        <w:jc w:val="center"/>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4A0" w:firstRow="1" w:lastRow="0" w:firstColumn="1" w:lastColumn="0" w:noHBand="0" w:noVBand="1"/>
      </w:tblPr>
      <w:tblGrid>
        <w:gridCol w:w="1347"/>
        <w:gridCol w:w="2250"/>
        <w:gridCol w:w="1859"/>
        <w:gridCol w:w="1350"/>
        <w:gridCol w:w="2319"/>
      </w:tblGrid>
      <w:tr w:rsidR="0084093A" w:rsidTr="00B93ABB">
        <w:trPr>
          <w:jc w:val="center"/>
        </w:trPr>
        <w:tc>
          <w:tcPr>
            <w:tcW w:w="1347" w:type="dxa"/>
            <w:tcBorders>
              <w:top w:val="single" w:sz="2" w:space="0" w:color="000001"/>
              <w:left w:val="single" w:sz="2" w:space="0" w:color="000001"/>
              <w:bottom w:val="single" w:sz="2" w:space="0" w:color="000001"/>
            </w:tcBorders>
            <w:shd w:val="clear" w:color="auto" w:fill="FFFFFF"/>
            <w:tcMar>
              <w:left w:w="48" w:type="dxa"/>
            </w:tcMar>
          </w:tcPr>
          <w:p w:rsidR="0084093A" w:rsidRDefault="0084093A">
            <w:pPr>
              <w:pStyle w:val="TableContents"/>
              <w:jc w:val="center"/>
            </w:pPr>
            <w:r>
              <w:t>Test Case</w:t>
            </w:r>
          </w:p>
        </w:tc>
        <w:tc>
          <w:tcPr>
            <w:tcW w:w="2250" w:type="dxa"/>
            <w:tcBorders>
              <w:top w:val="single" w:sz="2" w:space="0" w:color="000001"/>
              <w:left w:val="single" w:sz="2" w:space="0" w:color="000001"/>
              <w:bottom w:val="single" w:sz="2" w:space="0" w:color="000001"/>
            </w:tcBorders>
            <w:shd w:val="clear" w:color="auto" w:fill="FFFFFF"/>
            <w:tcMar>
              <w:left w:w="48" w:type="dxa"/>
            </w:tcMar>
          </w:tcPr>
          <w:p w:rsidR="0084093A" w:rsidRDefault="0084093A">
            <w:pPr>
              <w:pStyle w:val="TableContents"/>
              <w:jc w:val="center"/>
            </w:pPr>
            <w:r>
              <w:t>Bath</w:t>
            </w:r>
          </w:p>
        </w:tc>
        <w:tc>
          <w:tcPr>
            <w:tcW w:w="1859" w:type="dxa"/>
            <w:tcBorders>
              <w:top w:val="single" w:sz="2" w:space="0" w:color="000001"/>
              <w:left w:val="single" w:sz="2" w:space="0" w:color="000001"/>
              <w:bottom w:val="single" w:sz="2" w:space="0" w:color="000001"/>
            </w:tcBorders>
            <w:shd w:val="clear" w:color="auto" w:fill="FFFFFF"/>
            <w:tcMar>
              <w:left w:w="48" w:type="dxa"/>
            </w:tcMar>
          </w:tcPr>
          <w:p w:rsidR="0084093A" w:rsidRDefault="00A30BD8">
            <w:pPr>
              <w:pStyle w:val="TableContents"/>
              <w:jc w:val="center"/>
            </w:pPr>
            <w:r>
              <w:t>Collision Type</w:t>
            </w:r>
          </w:p>
        </w:tc>
        <w:tc>
          <w:tcPr>
            <w:tcW w:w="1350" w:type="dxa"/>
            <w:tcBorders>
              <w:top w:val="single" w:sz="2" w:space="0" w:color="000001"/>
              <w:left w:val="single" w:sz="2" w:space="0" w:color="000001"/>
              <w:bottom w:val="single" w:sz="2" w:space="0" w:color="000001"/>
            </w:tcBorders>
            <w:shd w:val="clear" w:color="auto" w:fill="FFFFFF"/>
            <w:tcMar>
              <w:left w:w="48" w:type="dxa"/>
            </w:tcMar>
          </w:tcPr>
          <w:p w:rsidR="0084093A" w:rsidRDefault="0084093A">
            <w:pPr>
              <w:pStyle w:val="TableContents"/>
              <w:jc w:val="center"/>
            </w:pPr>
            <w:r>
              <w:t>T</w:t>
            </w:r>
            <w:r>
              <w:rPr>
                <w:vertAlign w:val="subscript"/>
              </w:rPr>
              <w:t>t</w:t>
            </w:r>
            <w:r>
              <w:t xml:space="preserve"> =T</w:t>
            </w:r>
            <w:r w:rsidRPr="0084093A">
              <w:rPr>
                <w:vertAlign w:val="subscript"/>
              </w:rPr>
              <w:t>r</w:t>
            </w:r>
          </w:p>
        </w:tc>
        <w:tc>
          <w:tcPr>
            <w:tcW w:w="2319" w:type="dxa"/>
            <w:tcBorders>
              <w:top w:val="single" w:sz="2" w:space="0" w:color="000001"/>
              <w:left w:val="single" w:sz="2" w:space="0" w:color="000001"/>
              <w:bottom w:val="single" w:sz="2" w:space="0" w:color="000001"/>
              <w:right w:val="single" w:sz="2" w:space="0" w:color="000001"/>
            </w:tcBorders>
            <w:shd w:val="clear" w:color="auto" w:fill="FFFFFF"/>
            <w:tcMar>
              <w:left w:w="48" w:type="dxa"/>
            </w:tcMar>
          </w:tcPr>
          <w:p w:rsidR="0084093A" w:rsidRDefault="0084093A">
            <w:pPr>
              <w:pStyle w:val="TableContents"/>
              <w:jc w:val="center"/>
            </w:pPr>
            <w:r>
              <w:t>T</w:t>
            </w:r>
            <w:r>
              <w:rPr>
                <w:vertAlign w:val="subscript"/>
              </w:rPr>
              <w:t>v</w:t>
            </w:r>
          </w:p>
        </w:tc>
      </w:tr>
      <w:tr w:rsidR="0084093A" w:rsidTr="00B93ABB">
        <w:trPr>
          <w:jc w:val="center"/>
        </w:trPr>
        <w:tc>
          <w:tcPr>
            <w:tcW w:w="1347" w:type="dxa"/>
            <w:tcBorders>
              <w:top w:val="single" w:sz="2" w:space="0" w:color="000001"/>
              <w:left w:val="single" w:sz="2" w:space="0" w:color="000001"/>
              <w:bottom w:val="single" w:sz="2" w:space="0" w:color="000001"/>
            </w:tcBorders>
            <w:shd w:val="clear" w:color="auto" w:fill="FFFFFF"/>
            <w:tcMar>
              <w:left w:w="48" w:type="dxa"/>
            </w:tcMar>
          </w:tcPr>
          <w:p w:rsidR="0084093A" w:rsidRDefault="0084093A" w:rsidP="00055787">
            <w:pPr>
              <w:pStyle w:val="TableContents"/>
              <w:jc w:val="center"/>
            </w:pPr>
            <w:r>
              <w:t>TC1.1</w:t>
            </w:r>
          </w:p>
        </w:tc>
        <w:tc>
          <w:tcPr>
            <w:tcW w:w="2250" w:type="dxa"/>
            <w:tcBorders>
              <w:top w:val="single" w:sz="2" w:space="0" w:color="000001"/>
              <w:left w:val="single" w:sz="2" w:space="0" w:color="000001"/>
              <w:bottom w:val="single" w:sz="2" w:space="0" w:color="000001"/>
            </w:tcBorders>
            <w:shd w:val="clear" w:color="auto" w:fill="FFFFFF"/>
            <w:tcMar>
              <w:left w:w="48" w:type="dxa"/>
            </w:tcMar>
          </w:tcPr>
          <w:p w:rsidR="0084093A" w:rsidRDefault="0084093A" w:rsidP="00055787">
            <w:pPr>
              <w:pStyle w:val="TableContents"/>
              <w:jc w:val="center"/>
            </w:pPr>
            <w:proofErr w:type="gramStart"/>
            <w:r>
              <w:t>Fixed  T</w:t>
            </w:r>
            <w:r>
              <w:rPr>
                <w:vertAlign w:val="subscript"/>
              </w:rPr>
              <w:t>t</w:t>
            </w:r>
            <w:proofErr w:type="gramEnd"/>
            <w:r>
              <w:t>, T</w:t>
            </w:r>
            <w:r>
              <w:rPr>
                <w:vertAlign w:val="subscript"/>
              </w:rPr>
              <w:t>r</w:t>
            </w:r>
            <w:r>
              <w:t>, T</w:t>
            </w:r>
            <w:r>
              <w:rPr>
                <w:vertAlign w:val="subscript"/>
              </w:rPr>
              <w:t>v</w:t>
            </w:r>
          </w:p>
        </w:tc>
        <w:tc>
          <w:tcPr>
            <w:tcW w:w="1859" w:type="dxa"/>
            <w:tcBorders>
              <w:top w:val="single" w:sz="2" w:space="0" w:color="000001"/>
              <w:left w:val="single" w:sz="2" w:space="0" w:color="000001"/>
              <w:bottom w:val="single" w:sz="2" w:space="0" w:color="000001"/>
            </w:tcBorders>
            <w:shd w:val="clear" w:color="auto" w:fill="FFFFFF"/>
            <w:tcMar>
              <w:left w:w="48" w:type="dxa"/>
            </w:tcMar>
          </w:tcPr>
          <w:p w:rsidR="00FA28FC" w:rsidRDefault="00FA28FC" w:rsidP="00055787">
            <w:pPr>
              <w:pStyle w:val="TableContents"/>
              <w:jc w:val="center"/>
              <w:rPr>
                <w:vertAlign w:val="subscript"/>
              </w:rPr>
            </w:pPr>
            <w:r>
              <w:t>N</w:t>
            </w:r>
            <w:r>
              <w:rPr>
                <w:vertAlign w:val="subscript"/>
              </w:rPr>
              <w:t>2</w:t>
            </w:r>
            <w:r w:rsidRPr="006F7935">
              <w:t>-N</w:t>
            </w:r>
            <w:r>
              <w:rPr>
                <w:vertAlign w:val="subscript"/>
              </w:rPr>
              <w:t>2</w:t>
            </w:r>
            <w:r>
              <w:t>, N</w:t>
            </w:r>
            <w:r w:rsidRPr="00B93ABB">
              <w:rPr>
                <w:vertAlign w:val="subscript"/>
              </w:rPr>
              <w:t>2</w:t>
            </w:r>
            <w:r w:rsidRPr="006F7935">
              <w:t>-N</w:t>
            </w:r>
          </w:p>
          <w:p w:rsidR="00FA28FC" w:rsidRDefault="00FA28FC" w:rsidP="00B93ABB">
            <w:pPr>
              <w:pStyle w:val="TableContents"/>
              <w:jc w:val="center"/>
              <w:rPr>
                <w:vertAlign w:val="subscript"/>
              </w:rPr>
            </w:pPr>
            <w:r>
              <w:t>O</w:t>
            </w:r>
            <w:r>
              <w:rPr>
                <w:vertAlign w:val="subscript"/>
              </w:rPr>
              <w:t>2</w:t>
            </w:r>
            <w:r w:rsidRPr="006F7935">
              <w:t>-</w:t>
            </w:r>
            <w:r>
              <w:t>O</w:t>
            </w:r>
            <w:r>
              <w:rPr>
                <w:vertAlign w:val="subscript"/>
              </w:rPr>
              <w:t>2</w:t>
            </w:r>
            <w:r>
              <w:t>, O</w:t>
            </w:r>
            <w:r>
              <w:rPr>
                <w:vertAlign w:val="subscript"/>
              </w:rPr>
              <w:t>2</w:t>
            </w:r>
            <w:r w:rsidRPr="006F7935">
              <w:t>-</w:t>
            </w:r>
            <w:r>
              <w:t>O</w:t>
            </w:r>
          </w:p>
        </w:tc>
        <w:tc>
          <w:tcPr>
            <w:tcW w:w="1350" w:type="dxa"/>
            <w:tcBorders>
              <w:top w:val="single" w:sz="2" w:space="0" w:color="000001"/>
              <w:left w:val="single" w:sz="2" w:space="0" w:color="000001"/>
              <w:bottom w:val="single" w:sz="2" w:space="0" w:color="000001"/>
            </w:tcBorders>
            <w:shd w:val="clear" w:color="auto" w:fill="FFFFFF"/>
            <w:tcMar>
              <w:left w:w="48" w:type="dxa"/>
            </w:tcMar>
          </w:tcPr>
          <w:p w:rsidR="0084093A" w:rsidRDefault="0084093A" w:rsidP="00055787">
            <w:pPr>
              <w:pStyle w:val="TableContents"/>
              <w:jc w:val="center"/>
            </w:pPr>
            <w:r>
              <w:t>10,000 K</w:t>
            </w:r>
          </w:p>
        </w:tc>
        <w:tc>
          <w:tcPr>
            <w:tcW w:w="2319" w:type="dxa"/>
            <w:tcBorders>
              <w:top w:val="single" w:sz="2" w:space="0" w:color="000001"/>
              <w:left w:val="single" w:sz="2" w:space="0" w:color="000001"/>
              <w:bottom w:val="single" w:sz="2" w:space="0" w:color="000001"/>
              <w:right w:val="single" w:sz="2" w:space="0" w:color="000001"/>
            </w:tcBorders>
            <w:shd w:val="clear" w:color="auto" w:fill="FFFFFF"/>
            <w:tcMar>
              <w:left w:w="48" w:type="dxa"/>
            </w:tcMar>
          </w:tcPr>
          <w:p w:rsidR="0084093A" w:rsidRDefault="0084093A" w:rsidP="00055787">
            <w:pPr>
              <w:pStyle w:val="TableContents"/>
              <w:jc w:val="center"/>
            </w:pPr>
            <w:r>
              <w:t>4,000 K, 6,000 K, 8,000 K, 10,000 K</w:t>
            </w:r>
          </w:p>
        </w:tc>
      </w:tr>
      <w:tr w:rsidR="0084093A" w:rsidTr="00B93ABB">
        <w:trPr>
          <w:jc w:val="center"/>
        </w:trPr>
        <w:tc>
          <w:tcPr>
            <w:tcW w:w="1347" w:type="dxa"/>
            <w:tcBorders>
              <w:top w:val="single" w:sz="2" w:space="0" w:color="000001"/>
              <w:left w:val="single" w:sz="2" w:space="0" w:color="000001"/>
              <w:bottom w:val="single" w:sz="2" w:space="0" w:color="000001"/>
            </w:tcBorders>
            <w:shd w:val="clear" w:color="auto" w:fill="FFFFFF"/>
            <w:tcMar>
              <w:left w:w="48" w:type="dxa"/>
            </w:tcMar>
          </w:tcPr>
          <w:p w:rsidR="0084093A" w:rsidRDefault="0084093A" w:rsidP="00055787">
            <w:pPr>
              <w:pStyle w:val="TableContents"/>
              <w:jc w:val="center"/>
            </w:pPr>
            <w:r>
              <w:t>TC1.2</w:t>
            </w:r>
          </w:p>
        </w:tc>
        <w:tc>
          <w:tcPr>
            <w:tcW w:w="2250" w:type="dxa"/>
            <w:tcBorders>
              <w:top w:val="single" w:sz="2" w:space="0" w:color="000001"/>
              <w:left w:val="single" w:sz="2" w:space="0" w:color="000001"/>
              <w:bottom w:val="single" w:sz="2" w:space="0" w:color="000001"/>
            </w:tcBorders>
            <w:shd w:val="clear" w:color="auto" w:fill="FFFFFF"/>
            <w:tcMar>
              <w:left w:w="48" w:type="dxa"/>
            </w:tcMar>
          </w:tcPr>
          <w:p w:rsidR="0084093A" w:rsidRDefault="0084093A" w:rsidP="00055787">
            <w:pPr>
              <w:pStyle w:val="TableContents"/>
              <w:jc w:val="center"/>
            </w:pPr>
            <w:proofErr w:type="gramStart"/>
            <w:r>
              <w:t>Fixed  T</w:t>
            </w:r>
            <w:r>
              <w:rPr>
                <w:vertAlign w:val="subscript"/>
              </w:rPr>
              <w:t>t</w:t>
            </w:r>
            <w:proofErr w:type="gramEnd"/>
            <w:r>
              <w:t>, T</w:t>
            </w:r>
            <w:r>
              <w:rPr>
                <w:vertAlign w:val="subscript"/>
              </w:rPr>
              <w:t>r</w:t>
            </w:r>
            <w:r>
              <w:t>, T</w:t>
            </w:r>
            <w:r>
              <w:rPr>
                <w:vertAlign w:val="subscript"/>
              </w:rPr>
              <w:t>v</w:t>
            </w:r>
          </w:p>
        </w:tc>
        <w:tc>
          <w:tcPr>
            <w:tcW w:w="1859" w:type="dxa"/>
            <w:tcBorders>
              <w:top w:val="single" w:sz="2" w:space="0" w:color="000001"/>
              <w:left w:val="single" w:sz="2" w:space="0" w:color="000001"/>
              <w:bottom w:val="single" w:sz="2" w:space="0" w:color="000001"/>
            </w:tcBorders>
            <w:shd w:val="clear" w:color="auto" w:fill="FFFFFF"/>
            <w:tcMar>
              <w:left w:w="48" w:type="dxa"/>
            </w:tcMar>
          </w:tcPr>
          <w:p w:rsidR="00FA28FC" w:rsidRDefault="00FA28FC" w:rsidP="00FA28FC">
            <w:pPr>
              <w:pStyle w:val="TableContents"/>
              <w:jc w:val="center"/>
              <w:rPr>
                <w:vertAlign w:val="subscript"/>
              </w:rPr>
            </w:pPr>
            <w:r>
              <w:t>N</w:t>
            </w:r>
            <w:r>
              <w:rPr>
                <w:vertAlign w:val="subscript"/>
              </w:rPr>
              <w:t>2</w:t>
            </w:r>
            <w:r w:rsidRPr="006F7935">
              <w:t>-N</w:t>
            </w:r>
            <w:r>
              <w:rPr>
                <w:vertAlign w:val="subscript"/>
              </w:rPr>
              <w:t>2</w:t>
            </w:r>
            <w:r>
              <w:t>, N</w:t>
            </w:r>
            <w:r w:rsidRPr="006F7935">
              <w:rPr>
                <w:vertAlign w:val="subscript"/>
              </w:rPr>
              <w:t>2</w:t>
            </w:r>
            <w:r w:rsidRPr="006F7935">
              <w:t>-N</w:t>
            </w:r>
          </w:p>
          <w:p w:rsidR="0084093A" w:rsidRDefault="00FA28FC" w:rsidP="00FA28FC">
            <w:pPr>
              <w:pStyle w:val="TableContents"/>
              <w:jc w:val="center"/>
              <w:rPr>
                <w:vertAlign w:val="subscript"/>
              </w:rPr>
            </w:pPr>
            <w:r>
              <w:t>O</w:t>
            </w:r>
            <w:r>
              <w:rPr>
                <w:vertAlign w:val="subscript"/>
              </w:rPr>
              <w:t>2</w:t>
            </w:r>
            <w:r w:rsidRPr="006F7935">
              <w:t>-</w:t>
            </w:r>
            <w:r>
              <w:t>O</w:t>
            </w:r>
            <w:r>
              <w:rPr>
                <w:vertAlign w:val="subscript"/>
              </w:rPr>
              <w:t>2</w:t>
            </w:r>
            <w:r>
              <w:t>, O</w:t>
            </w:r>
            <w:r>
              <w:rPr>
                <w:vertAlign w:val="subscript"/>
              </w:rPr>
              <w:t>2</w:t>
            </w:r>
            <w:r w:rsidRPr="006F7935">
              <w:t>-</w:t>
            </w:r>
            <w:r>
              <w:t>O</w:t>
            </w:r>
            <w:r w:rsidDel="00FA28FC">
              <w:t xml:space="preserve"> </w:t>
            </w:r>
          </w:p>
        </w:tc>
        <w:tc>
          <w:tcPr>
            <w:tcW w:w="1350" w:type="dxa"/>
            <w:tcBorders>
              <w:top w:val="single" w:sz="2" w:space="0" w:color="000001"/>
              <w:left w:val="single" w:sz="2" w:space="0" w:color="000001"/>
              <w:bottom w:val="single" w:sz="2" w:space="0" w:color="000001"/>
            </w:tcBorders>
            <w:shd w:val="clear" w:color="auto" w:fill="FFFFFF"/>
            <w:tcMar>
              <w:left w:w="48" w:type="dxa"/>
            </w:tcMar>
          </w:tcPr>
          <w:p w:rsidR="0084093A" w:rsidRDefault="0084093A" w:rsidP="00055787">
            <w:pPr>
              <w:pStyle w:val="TableContents"/>
              <w:jc w:val="center"/>
            </w:pPr>
            <w:r>
              <w:t>8,000 K</w:t>
            </w:r>
          </w:p>
        </w:tc>
        <w:tc>
          <w:tcPr>
            <w:tcW w:w="2319" w:type="dxa"/>
            <w:tcBorders>
              <w:top w:val="single" w:sz="2" w:space="0" w:color="000001"/>
              <w:left w:val="single" w:sz="2" w:space="0" w:color="000001"/>
              <w:bottom w:val="single" w:sz="2" w:space="0" w:color="000001"/>
              <w:right w:val="single" w:sz="2" w:space="0" w:color="000001"/>
            </w:tcBorders>
            <w:shd w:val="clear" w:color="auto" w:fill="FFFFFF"/>
            <w:tcMar>
              <w:left w:w="48" w:type="dxa"/>
            </w:tcMar>
          </w:tcPr>
          <w:p w:rsidR="0084093A" w:rsidRDefault="0084093A" w:rsidP="00055787">
            <w:pPr>
              <w:pStyle w:val="TableContents"/>
              <w:jc w:val="center"/>
            </w:pPr>
            <w:r>
              <w:t>4,000 K, 6,000 K, 8,000 K</w:t>
            </w:r>
          </w:p>
        </w:tc>
      </w:tr>
      <w:tr w:rsidR="0084093A" w:rsidTr="00B93ABB">
        <w:trPr>
          <w:jc w:val="center"/>
        </w:trPr>
        <w:tc>
          <w:tcPr>
            <w:tcW w:w="1347" w:type="dxa"/>
            <w:tcBorders>
              <w:top w:val="single" w:sz="2" w:space="0" w:color="000001"/>
              <w:left w:val="single" w:sz="2" w:space="0" w:color="000001"/>
              <w:bottom w:val="single" w:sz="2" w:space="0" w:color="000001"/>
            </w:tcBorders>
            <w:shd w:val="clear" w:color="auto" w:fill="FFFFFF"/>
            <w:tcMar>
              <w:left w:w="48" w:type="dxa"/>
            </w:tcMar>
          </w:tcPr>
          <w:p w:rsidR="0084093A" w:rsidRDefault="0084093A" w:rsidP="00055787">
            <w:pPr>
              <w:pStyle w:val="TableContents"/>
              <w:jc w:val="center"/>
            </w:pPr>
            <w:r>
              <w:t>TC1.3</w:t>
            </w:r>
          </w:p>
        </w:tc>
        <w:tc>
          <w:tcPr>
            <w:tcW w:w="2250" w:type="dxa"/>
            <w:tcBorders>
              <w:top w:val="single" w:sz="2" w:space="0" w:color="000001"/>
              <w:left w:val="single" w:sz="2" w:space="0" w:color="000001"/>
              <w:bottom w:val="single" w:sz="2" w:space="0" w:color="000001"/>
            </w:tcBorders>
            <w:shd w:val="clear" w:color="auto" w:fill="FFFFFF"/>
            <w:tcMar>
              <w:left w:w="48" w:type="dxa"/>
            </w:tcMar>
          </w:tcPr>
          <w:p w:rsidR="0084093A" w:rsidRDefault="0084093A" w:rsidP="00055787">
            <w:pPr>
              <w:pStyle w:val="TableContents"/>
              <w:jc w:val="center"/>
            </w:pPr>
            <w:proofErr w:type="gramStart"/>
            <w:r>
              <w:t>Fixed  T</w:t>
            </w:r>
            <w:r>
              <w:rPr>
                <w:vertAlign w:val="subscript"/>
              </w:rPr>
              <w:t>t</w:t>
            </w:r>
            <w:proofErr w:type="gramEnd"/>
            <w:r>
              <w:t>, T</w:t>
            </w:r>
            <w:r>
              <w:rPr>
                <w:vertAlign w:val="subscript"/>
              </w:rPr>
              <w:t>r</w:t>
            </w:r>
            <w:r>
              <w:t>, T</w:t>
            </w:r>
            <w:r>
              <w:rPr>
                <w:vertAlign w:val="subscript"/>
              </w:rPr>
              <w:t>v</w:t>
            </w:r>
          </w:p>
        </w:tc>
        <w:tc>
          <w:tcPr>
            <w:tcW w:w="1859" w:type="dxa"/>
            <w:tcBorders>
              <w:top w:val="single" w:sz="2" w:space="0" w:color="000001"/>
              <w:left w:val="single" w:sz="2" w:space="0" w:color="000001"/>
              <w:bottom w:val="single" w:sz="2" w:space="0" w:color="000001"/>
            </w:tcBorders>
            <w:shd w:val="clear" w:color="auto" w:fill="FFFFFF"/>
            <w:tcMar>
              <w:left w:w="48" w:type="dxa"/>
            </w:tcMar>
          </w:tcPr>
          <w:p w:rsidR="00FA28FC" w:rsidRDefault="00FA28FC" w:rsidP="00FA28FC">
            <w:pPr>
              <w:pStyle w:val="TableContents"/>
              <w:jc w:val="center"/>
              <w:rPr>
                <w:vertAlign w:val="subscript"/>
              </w:rPr>
            </w:pPr>
            <w:r>
              <w:t>N</w:t>
            </w:r>
            <w:r>
              <w:rPr>
                <w:vertAlign w:val="subscript"/>
              </w:rPr>
              <w:t>2</w:t>
            </w:r>
            <w:r w:rsidRPr="006F7935">
              <w:t>-N</w:t>
            </w:r>
            <w:r>
              <w:rPr>
                <w:vertAlign w:val="subscript"/>
              </w:rPr>
              <w:t>2</w:t>
            </w:r>
            <w:r>
              <w:t>, N</w:t>
            </w:r>
            <w:r w:rsidRPr="006F7935">
              <w:rPr>
                <w:vertAlign w:val="subscript"/>
              </w:rPr>
              <w:t>2</w:t>
            </w:r>
            <w:r w:rsidRPr="006F7935">
              <w:t>-N</w:t>
            </w:r>
          </w:p>
          <w:p w:rsidR="0084093A" w:rsidRDefault="00FA28FC" w:rsidP="00FA28FC">
            <w:pPr>
              <w:pStyle w:val="TableContents"/>
              <w:jc w:val="center"/>
              <w:rPr>
                <w:vertAlign w:val="subscript"/>
              </w:rPr>
            </w:pPr>
            <w:r>
              <w:t>O</w:t>
            </w:r>
            <w:r>
              <w:rPr>
                <w:vertAlign w:val="subscript"/>
              </w:rPr>
              <w:t>2</w:t>
            </w:r>
            <w:r w:rsidRPr="006F7935">
              <w:t>-</w:t>
            </w:r>
            <w:r>
              <w:t>O</w:t>
            </w:r>
            <w:r>
              <w:rPr>
                <w:vertAlign w:val="subscript"/>
              </w:rPr>
              <w:t>2</w:t>
            </w:r>
            <w:r>
              <w:t>, O</w:t>
            </w:r>
            <w:r>
              <w:rPr>
                <w:vertAlign w:val="subscript"/>
              </w:rPr>
              <w:t>2</w:t>
            </w:r>
            <w:r w:rsidRPr="006F7935">
              <w:t>-</w:t>
            </w:r>
            <w:r>
              <w:t>O</w:t>
            </w:r>
            <w:r w:rsidDel="00FA28FC">
              <w:t xml:space="preserve"> </w:t>
            </w:r>
          </w:p>
        </w:tc>
        <w:tc>
          <w:tcPr>
            <w:tcW w:w="1350" w:type="dxa"/>
            <w:tcBorders>
              <w:top w:val="single" w:sz="2" w:space="0" w:color="000001"/>
              <w:left w:val="single" w:sz="2" w:space="0" w:color="000001"/>
              <w:bottom w:val="single" w:sz="2" w:space="0" w:color="000001"/>
            </w:tcBorders>
            <w:shd w:val="clear" w:color="auto" w:fill="FFFFFF"/>
            <w:tcMar>
              <w:left w:w="48" w:type="dxa"/>
            </w:tcMar>
          </w:tcPr>
          <w:p w:rsidR="0084093A" w:rsidRDefault="0084093A" w:rsidP="00055787">
            <w:pPr>
              <w:pStyle w:val="TableContents"/>
              <w:jc w:val="center"/>
            </w:pPr>
            <w:r>
              <w:t>6,000 K</w:t>
            </w:r>
          </w:p>
        </w:tc>
        <w:tc>
          <w:tcPr>
            <w:tcW w:w="2319" w:type="dxa"/>
            <w:tcBorders>
              <w:top w:val="single" w:sz="2" w:space="0" w:color="000001"/>
              <w:left w:val="single" w:sz="2" w:space="0" w:color="000001"/>
              <w:bottom w:val="single" w:sz="2" w:space="0" w:color="000001"/>
              <w:right w:val="single" w:sz="2" w:space="0" w:color="000001"/>
            </w:tcBorders>
            <w:shd w:val="clear" w:color="auto" w:fill="FFFFFF"/>
            <w:tcMar>
              <w:left w:w="48" w:type="dxa"/>
            </w:tcMar>
          </w:tcPr>
          <w:p w:rsidR="0084093A" w:rsidRDefault="0084093A" w:rsidP="00055787">
            <w:pPr>
              <w:pStyle w:val="TableContents"/>
              <w:jc w:val="center"/>
            </w:pPr>
            <w:r>
              <w:t>4,000 K, 6,000 K</w:t>
            </w:r>
          </w:p>
        </w:tc>
      </w:tr>
      <w:tr w:rsidR="0084093A" w:rsidTr="00B93ABB">
        <w:trPr>
          <w:jc w:val="center"/>
        </w:trPr>
        <w:tc>
          <w:tcPr>
            <w:tcW w:w="1347" w:type="dxa"/>
            <w:tcBorders>
              <w:top w:val="single" w:sz="2" w:space="0" w:color="000001"/>
              <w:left w:val="single" w:sz="2" w:space="0" w:color="000001"/>
              <w:bottom w:val="single" w:sz="2" w:space="0" w:color="000001"/>
            </w:tcBorders>
            <w:shd w:val="clear" w:color="auto" w:fill="FFFFFF"/>
            <w:tcMar>
              <w:left w:w="48" w:type="dxa"/>
            </w:tcMar>
          </w:tcPr>
          <w:p w:rsidR="0084093A" w:rsidRDefault="0084093A" w:rsidP="00E46236">
            <w:pPr>
              <w:pStyle w:val="TableContents"/>
              <w:jc w:val="center"/>
            </w:pPr>
            <w:r>
              <w:t>TC1.4</w:t>
            </w:r>
          </w:p>
        </w:tc>
        <w:tc>
          <w:tcPr>
            <w:tcW w:w="2250" w:type="dxa"/>
            <w:tcBorders>
              <w:top w:val="single" w:sz="2" w:space="0" w:color="000001"/>
              <w:left w:val="single" w:sz="2" w:space="0" w:color="000001"/>
              <w:bottom w:val="single" w:sz="2" w:space="0" w:color="000001"/>
            </w:tcBorders>
            <w:shd w:val="clear" w:color="auto" w:fill="FFFFFF"/>
            <w:tcMar>
              <w:left w:w="48" w:type="dxa"/>
            </w:tcMar>
          </w:tcPr>
          <w:p w:rsidR="0084093A" w:rsidRDefault="0084093A" w:rsidP="00E46236">
            <w:pPr>
              <w:pStyle w:val="TableContents"/>
              <w:jc w:val="center"/>
            </w:pPr>
            <w:r>
              <w:t>Fixed T</w:t>
            </w:r>
            <w:r>
              <w:rPr>
                <w:vertAlign w:val="subscript"/>
              </w:rPr>
              <w:t>t</w:t>
            </w:r>
            <w:r>
              <w:t>, T</w:t>
            </w:r>
            <w:r>
              <w:rPr>
                <w:vertAlign w:val="subscript"/>
              </w:rPr>
              <w:t>r</w:t>
            </w:r>
            <w:r>
              <w:t>, T</w:t>
            </w:r>
            <w:r>
              <w:rPr>
                <w:vertAlign w:val="subscript"/>
              </w:rPr>
              <w:t>v</w:t>
            </w:r>
            <w:r>
              <w:t xml:space="preserve"> </w:t>
            </w:r>
          </w:p>
        </w:tc>
        <w:tc>
          <w:tcPr>
            <w:tcW w:w="1859" w:type="dxa"/>
            <w:tcBorders>
              <w:top w:val="single" w:sz="2" w:space="0" w:color="000001"/>
              <w:left w:val="single" w:sz="2" w:space="0" w:color="000001"/>
              <w:bottom w:val="single" w:sz="2" w:space="0" w:color="000001"/>
            </w:tcBorders>
            <w:shd w:val="clear" w:color="auto" w:fill="FFFFFF"/>
            <w:tcMar>
              <w:left w:w="48" w:type="dxa"/>
            </w:tcMar>
          </w:tcPr>
          <w:p w:rsidR="00FA28FC" w:rsidRDefault="00FA28FC" w:rsidP="00FA28FC">
            <w:pPr>
              <w:pStyle w:val="TableContents"/>
              <w:jc w:val="center"/>
              <w:rPr>
                <w:vertAlign w:val="subscript"/>
              </w:rPr>
            </w:pPr>
            <w:r>
              <w:t>N</w:t>
            </w:r>
            <w:r>
              <w:rPr>
                <w:vertAlign w:val="subscript"/>
              </w:rPr>
              <w:t>2</w:t>
            </w:r>
            <w:r w:rsidRPr="006F7935">
              <w:t>-N</w:t>
            </w:r>
            <w:r>
              <w:rPr>
                <w:vertAlign w:val="subscript"/>
              </w:rPr>
              <w:t>2</w:t>
            </w:r>
            <w:r>
              <w:t>, N</w:t>
            </w:r>
            <w:r w:rsidRPr="006F7935">
              <w:rPr>
                <w:vertAlign w:val="subscript"/>
              </w:rPr>
              <w:t>2</w:t>
            </w:r>
            <w:r w:rsidRPr="006F7935">
              <w:t>-N</w:t>
            </w:r>
          </w:p>
          <w:p w:rsidR="0084093A" w:rsidRDefault="00FA28FC" w:rsidP="00FA28FC">
            <w:pPr>
              <w:pStyle w:val="TableContents"/>
              <w:jc w:val="center"/>
              <w:rPr>
                <w:vertAlign w:val="subscript"/>
              </w:rPr>
            </w:pPr>
            <w:r>
              <w:t>O</w:t>
            </w:r>
            <w:r>
              <w:rPr>
                <w:vertAlign w:val="subscript"/>
              </w:rPr>
              <w:t>2</w:t>
            </w:r>
            <w:r w:rsidRPr="006F7935">
              <w:t>-</w:t>
            </w:r>
            <w:r>
              <w:t>O</w:t>
            </w:r>
            <w:r>
              <w:rPr>
                <w:vertAlign w:val="subscript"/>
              </w:rPr>
              <w:t>2</w:t>
            </w:r>
            <w:r>
              <w:t>, O</w:t>
            </w:r>
            <w:r>
              <w:rPr>
                <w:vertAlign w:val="subscript"/>
              </w:rPr>
              <w:t>2</w:t>
            </w:r>
            <w:r w:rsidRPr="006F7935">
              <w:t>-</w:t>
            </w:r>
            <w:r>
              <w:t>O</w:t>
            </w:r>
            <w:r w:rsidDel="00FA28FC">
              <w:t xml:space="preserve"> </w:t>
            </w:r>
          </w:p>
        </w:tc>
        <w:tc>
          <w:tcPr>
            <w:tcW w:w="1350" w:type="dxa"/>
            <w:tcBorders>
              <w:top w:val="single" w:sz="2" w:space="0" w:color="000001"/>
              <w:left w:val="single" w:sz="2" w:space="0" w:color="000001"/>
              <w:bottom w:val="single" w:sz="2" w:space="0" w:color="000001"/>
            </w:tcBorders>
            <w:shd w:val="clear" w:color="auto" w:fill="FFFFFF"/>
            <w:tcMar>
              <w:left w:w="48" w:type="dxa"/>
            </w:tcMar>
          </w:tcPr>
          <w:p w:rsidR="0084093A" w:rsidRDefault="0084093A" w:rsidP="00E46236">
            <w:pPr>
              <w:pStyle w:val="TableContents"/>
              <w:jc w:val="center"/>
            </w:pPr>
            <w:r>
              <w:t>4,000 K</w:t>
            </w:r>
          </w:p>
        </w:tc>
        <w:tc>
          <w:tcPr>
            <w:tcW w:w="2319" w:type="dxa"/>
            <w:tcBorders>
              <w:top w:val="single" w:sz="2" w:space="0" w:color="000001"/>
              <w:left w:val="single" w:sz="2" w:space="0" w:color="000001"/>
              <w:bottom w:val="single" w:sz="2" w:space="0" w:color="000001"/>
              <w:right w:val="single" w:sz="2" w:space="0" w:color="000001"/>
            </w:tcBorders>
            <w:shd w:val="clear" w:color="auto" w:fill="FFFFFF"/>
            <w:tcMar>
              <w:left w:w="48" w:type="dxa"/>
            </w:tcMar>
          </w:tcPr>
          <w:p w:rsidR="0084093A" w:rsidRDefault="0084093A" w:rsidP="00E46236">
            <w:pPr>
              <w:pStyle w:val="TableContents"/>
              <w:jc w:val="center"/>
            </w:pPr>
            <w:r>
              <w:t>4,000 K</w:t>
            </w:r>
          </w:p>
        </w:tc>
      </w:tr>
    </w:tbl>
    <w:p w:rsidR="000B19C9" w:rsidRDefault="00BF2FD6">
      <w:pPr>
        <w:jc w:val="center"/>
        <w:rPr>
          <w:i/>
          <w:iCs/>
        </w:rPr>
      </w:pPr>
      <w:r>
        <w:rPr>
          <w:i/>
          <w:iCs/>
        </w:rPr>
        <w:t>Table 1</w:t>
      </w:r>
    </w:p>
    <w:p w:rsidR="0084093A" w:rsidRDefault="0084093A">
      <w:pPr>
        <w:jc w:val="center"/>
        <w:rPr>
          <w:i/>
          <w:iCs/>
        </w:rPr>
      </w:pPr>
    </w:p>
    <w:tbl>
      <w:tblPr>
        <w:tblW w:w="8518" w:type="dxa"/>
        <w:jc w:val="center"/>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4A0" w:firstRow="1" w:lastRow="0" w:firstColumn="1" w:lastColumn="0" w:noHBand="0" w:noVBand="1"/>
      </w:tblPr>
      <w:tblGrid>
        <w:gridCol w:w="1646"/>
        <w:gridCol w:w="2088"/>
        <w:gridCol w:w="1042"/>
        <w:gridCol w:w="2238"/>
        <w:gridCol w:w="1504"/>
      </w:tblGrid>
      <w:tr w:rsidR="0084093A" w:rsidTr="0084093A">
        <w:trPr>
          <w:jc w:val="center"/>
        </w:trPr>
        <w:tc>
          <w:tcPr>
            <w:tcW w:w="1646" w:type="dxa"/>
            <w:tcBorders>
              <w:top w:val="single" w:sz="2" w:space="0" w:color="000001"/>
              <w:left w:val="single" w:sz="2" w:space="0" w:color="000001"/>
              <w:bottom w:val="single" w:sz="2" w:space="0" w:color="000001"/>
            </w:tcBorders>
            <w:shd w:val="clear" w:color="auto" w:fill="FFFFFF"/>
            <w:tcMar>
              <w:left w:w="48" w:type="dxa"/>
            </w:tcMar>
          </w:tcPr>
          <w:p w:rsidR="0084093A" w:rsidRDefault="0084093A" w:rsidP="0084093A">
            <w:pPr>
              <w:pStyle w:val="TableContents"/>
              <w:jc w:val="center"/>
            </w:pPr>
            <w:r>
              <w:t>Test Case</w:t>
            </w:r>
          </w:p>
        </w:tc>
        <w:tc>
          <w:tcPr>
            <w:tcW w:w="2088" w:type="dxa"/>
            <w:tcBorders>
              <w:top w:val="single" w:sz="2" w:space="0" w:color="000001"/>
              <w:left w:val="single" w:sz="2" w:space="0" w:color="000001"/>
              <w:bottom w:val="single" w:sz="2" w:space="0" w:color="000001"/>
            </w:tcBorders>
            <w:shd w:val="clear" w:color="auto" w:fill="FFFFFF"/>
            <w:tcMar>
              <w:left w:w="48" w:type="dxa"/>
            </w:tcMar>
          </w:tcPr>
          <w:p w:rsidR="0084093A" w:rsidRDefault="0084093A" w:rsidP="0084093A">
            <w:pPr>
              <w:pStyle w:val="TableContents"/>
              <w:jc w:val="center"/>
            </w:pPr>
            <w:r>
              <w:t>Bath</w:t>
            </w:r>
          </w:p>
        </w:tc>
        <w:tc>
          <w:tcPr>
            <w:tcW w:w="1042" w:type="dxa"/>
            <w:tcBorders>
              <w:top w:val="single" w:sz="2" w:space="0" w:color="000001"/>
              <w:left w:val="single" w:sz="2" w:space="0" w:color="000001"/>
              <w:bottom w:val="single" w:sz="2" w:space="0" w:color="000001"/>
            </w:tcBorders>
            <w:shd w:val="clear" w:color="auto" w:fill="FFFFFF"/>
            <w:tcMar>
              <w:left w:w="48" w:type="dxa"/>
            </w:tcMar>
          </w:tcPr>
          <w:p w:rsidR="0084093A" w:rsidRDefault="0084093A" w:rsidP="0084093A">
            <w:pPr>
              <w:pStyle w:val="TableContents"/>
              <w:jc w:val="center"/>
            </w:pPr>
            <w:r>
              <w:t>Gas</w:t>
            </w:r>
          </w:p>
        </w:tc>
        <w:tc>
          <w:tcPr>
            <w:tcW w:w="2238" w:type="dxa"/>
            <w:tcBorders>
              <w:top w:val="single" w:sz="2" w:space="0" w:color="000001"/>
              <w:left w:val="single" w:sz="2" w:space="0" w:color="000001"/>
              <w:bottom w:val="single" w:sz="2" w:space="0" w:color="000001"/>
            </w:tcBorders>
            <w:shd w:val="clear" w:color="auto" w:fill="FFFFFF"/>
            <w:tcMar>
              <w:left w:w="48" w:type="dxa"/>
            </w:tcMar>
          </w:tcPr>
          <w:p w:rsidR="0084093A" w:rsidRDefault="0084093A" w:rsidP="0084093A">
            <w:pPr>
              <w:pStyle w:val="TableContents"/>
              <w:jc w:val="center"/>
            </w:pPr>
            <w:r>
              <w:t>T</w:t>
            </w:r>
            <w:r>
              <w:rPr>
                <w:vertAlign w:val="subscript"/>
              </w:rPr>
              <w:t>t</w:t>
            </w:r>
            <w:r>
              <w:t xml:space="preserve"> </w:t>
            </w:r>
          </w:p>
        </w:tc>
        <w:tc>
          <w:tcPr>
            <w:tcW w:w="1504" w:type="dxa"/>
            <w:tcBorders>
              <w:top w:val="single" w:sz="2" w:space="0" w:color="000001"/>
              <w:left w:val="single" w:sz="2" w:space="0" w:color="000001"/>
              <w:bottom w:val="single" w:sz="2" w:space="0" w:color="000001"/>
              <w:right w:val="single" w:sz="2" w:space="0" w:color="000001"/>
            </w:tcBorders>
            <w:shd w:val="clear" w:color="auto" w:fill="FFFFFF"/>
            <w:tcMar>
              <w:left w:w="48" w:type="dxa"/>
            </w:tcMar>
          </w:tcPr>
          <w:p w:rsidR="0084093A" w:rsidRDefault="0084093A" w:rsidP="0084093A">
            <w:pPr>
              <w:pStyle w:val="TableContents"/>
              <w:jc w:val="center"/>
            </w:pPr>
            <w:proofErr w:type="spellStart"/>
            <w:proofErr w:type="gramStart"/>
            <w:r>
              <w:t>T</w:t>
            </w:r>
            <w:r>
              <w:rPr>
                <w:vertAlign w:val="subscript"/>
              </w:rPr>
              <w:t>r,initial</w:t>
            </w:r>
            <w:proofErr w:type="spellEnd"/>
            <w:proofErr w:type="gramEnd"/>
            <w:r w:rsidRPr="0084093A">
              <w:t>=</w:t>
            </w:r>
            <w:proofErr w:type="spellStart"/>
            <w:r w:rsidRPr="0084093A">
              <w:t>T</w:t>
            </w:r>
            <w:r>
              <w:rPr>
                <w:vertAlign w:val="subscript"/>
              </w:rPr>
              <w:t>v,initial</w:t>
            </w:r>
            <w:proofErr w:type="spellEnd"/>
          </w:p>
        </w:tc>
      </w:tr>
      <w:tr w:rsidR="0084093A" w:rsidTr="0084093A">
        <w:trPr>
          <w:jc w:val="center"/>
        </w:trPr>
        <w:tc>
          <w:tcPr>
            <w:tcW w:w="1646" w:type="dxa"/>
            <w:tcBorders>
              <w:top w:val="single" w:sz="2" w:space="0" w:color="000001"/>
              <w:left w:val="single" w:sz="2" w:space="0" w:color="000001"/>
              <w:bottom w:val="single" w:sz="2" w:space="0" w:color="000001"/>
            </w:tcBorders>
            <w:shd w:val="clear" w:color="auto" w:fill="FFFFFF"/>
            <w:tcMar>
              <w:left w:w="48" w:type="dxa"/>
            </w:tcMar>
          </w:tcPr>
          <w:p w:rsidR="0084093A" w:rsidRDefault="0084093A" w:rsidP="0084093A">
            <w:pPr>
              <w:pStyle w:val="TableContents"/>
              <w:jc w:val="center"/>
            </w:pPr>
            <w:r>
              <w:t>TC1.</w:t>
            </w:r>
            <w:r w:rsidR="00A30BD8">
              <w:t>5</w:t>
            </w:r>
          </w:p>
        </w:tc>
        <w:tc>
          <w:tcPr>
            <w:tcW w:w="2088" w:type="dxa"/>
            <w:tcBorders>
              <w:top w:val="single" w:sz="2" w:space="0" w:color="000001"/>
              <w:left w:val="single" w:sz="2" w:space="0" w:color="000001"/>
              <w:bottom w:val="single" w:sz="2" w:space="0" w:color="000001"/>
            </w:tcBorders>
            <w:shd w:val="clear" w:color="auto" w:fill="FFFFFF"/>
            <w:tcMar>
              <w:left w:w="48" w:type="dxa"/>
            </w:tcMar>
          </w:tcPr>
          <w:p w:rsidR="0084093A" w:rsidRDefault="0084093A" w:rsidP="0084093A">
            <w:pPr>
              <w:pStyle w:val="TableContents"/>
              <w:jc w:val="center"/>
            </w:pPr>
            <w:r>
              <w:t>T</w:t>
            </w:r>
            <w:r w:rsidRPr="00AD10C4">
              <w:rPr>
                <w:vertAlign w:val="subscript"/>
              </w:rPr>
              <w:t>t</w:t>
            </w:r>
            <w:r>
              <w:t xml:space="preserve"> fixed, T</w:t>
            </w:r>
            <w:r w:rsidR="00091FB3">
              <w:rPr>
                <w:vertAlign w:val="subscript"/>
              </w:rPr>
              <w:t>r</w:t>
            </w:r>
            <w:r>
              <w:t xml:space="preserve"> </w:t>
            </w:r>
            <w:r w:rsidR="00091FB3">
              <w:t>and T</w:t>
            </w:r>
            <w:r w:rsidR="00091FB3" w:rsidRPr="00B93ABB">
              <w:rPr>
                <w:vertAlign w:val="subscript"/>
              </w:rPr>
              <w:t>v</w:t>
            </w:r>
            <w:r w:rsidR="00091FB3">
              <w:t xml:space="preserve"> </w:t>
            </w:r>
            <w:r>
              <w:t>v</w:t>
            </w:r>
            <w:r w:rsidR="00091FB3">
              <w:t>ary</w:t>
            </w:r>
          </w:p>
        </w:tc>
        <w:tc>
          <w:tcPr>
            <w:tcW w:w="1042" w:type="dxa"/>
            <w:tcBorders>
              <w:top w:val="single" w:sz="2" w:space="0" w:color="000001"/>
              <w:left w:val="single" w:sz="2" w:space="0" w:color="000001"/>
              <w:bottom w:val="single" w:sz="2" w:space="0" w:color="000001"/>
            </w:tcBorders>
            <w:shd w:val="clear" w:color="auto" w:fill="FFFFFF"/>
            <w:tcMar>
              <w:left w:w="48" w:type="dxa"/>
            </w:tcMar>
          </w:tcPr>
          <w:p w:rsidR="0084093A" w:rsidRDefault="0084093A" w:rsidP="0084093A">
            <w:pPr>
              <w:pStyle w:val="TableContents"/>
              <w:jc w:val="center"/>
            </w:pPr>
            <w:r>
              <w:t>N</w:t>
            </w:r>
            <w:r>
              <w:rPr>
                <w:vertAlign w:val="subscript"/>
              </w:rPr>
              <w:t>2</w:t>
            </w:r>
          </w:p>
        </w:tc>
        <w:tc>
          <w:tcPr>
            <w:tcW w:w="2238" w:type="dxa"/>
            <w:tcBorders>
              <w:top w:val="single" w:sz="2" w:space="0" w:color="000001"/>
              <w:left w:val="single" w:sz="2" w:space="0" w:color="000001"/>
              <w:bottom w:val="single" w:sz="2" w:space="0" w:color="000001"/>
            </w:tcBorders>
            <w:shd w:val="clear" w:color="auto" w:fill="FFFFFF"/>
            <w:tcMar>
              <w:left w:w="48" w:type="dxa"/>
            </w:tcMar>
          </w:tcPr>
          <w:p w:rsidR="0084093A" w:rsidRDefault="0084093A" w:rsidP="0084093A">
            <w:pPr>
              <w:pStyle w:val="TableContents"/>
              <w:jc w:val="center"/>
            </w:pPr>
            <w:r>
              <w:t>4000 K, 6,000 K, 8,000 K, 10,000 K, 15,000 K</w:t>
            </w:r>
          </w:p>
        </w:tc>
        <w:tc>
          <w:tcPr>
            <w:tcW w:w="1504" w:type="dxa"/>
            <w:tcBorders>
              <w:top w:val="single" w:sz="4" w:space="0" w:color="auto"/>
              <w:left w:val="single" w:sz="2" w:space="0" w:color="000001"/>
              <w:bottom w:val="single" w:sz="2" w:space="0" w:color="000001"/>
              <w:right w:val="single" w:sz="2" w:space="0" w:color="000001"/>
            </w:tcBorders>
            <w:shd w:val="clear" w:color="auto" w:fill="FFFFFF"/>
            <w:tcMar>
              <w:left w:w="48" w:type="dxa"/>
            </w:tcMar>
          </w:tcPr>
          <w:p w:rsidR="0084093A" w:rsidRDefault="0084093A" w:rsidP="0084093A">
            <w:pPr>
              <w:pStyle w:val="TableContents"/>
              <w:jc w:val="center"/>
            </w:pPr>
            <w:r>
              <w:t>300 K</w:t>
            </w:r>
          </w:p>
        </w:tc>
      </w:tr>
      <w:tr w:rsidR="0084093A" w:rsidTr="0084093A">
        <w:trPr>
          <w:jc w:val="center"/>
        </w:trPr>
        <w:tc>
          <w:tcPr>
            <w:tcW w:w="1646" w:type="dxa"/>
            <w:tcBorders>
              <w:top w:val="single" w:sz="2" w:space="0" w:color="000001"/>
              <w:left w:val="single" w:sz="2" w:space="0" w:color="000001"/>
              <w:bottom w:val="single" w:sz="2" w:space="0" w:color="000001"/>
            </w:tcBorders>
            <w:shd w:val="clear" w:color="auto" w:fill="FFFFFF"/>
            <w:tcMar>
              <w:left w:w="48" w:type="dxa"/>
            </w:tcMar>
          </w:tcPr>
          <w:p w:rsidR="0084093A" w:rsidRDefault="0084093A" w:rsidP="0084093A">
            <w:pPr>
              <w:pStyle w:val="TableContents"/>
              <w:jc w:val="center"/>
            </w:pPr>
            <w:r>
              <w:t>TC1.</w:t>
            </w:r>
            <w:r w:rsidR="00A30BD8">
              <w:t>6</w:t>
            </w:r>
          </w:p>
        </w:tc>
        <w:tc>
          <w:tcPr>
            <w:tcW w:w="2088" w:type="dxa"/>
            <w:tcBorders>
              <w:top w:val="single" w:sz="2" w:space="0" w:color="000001"/>
              <w:left w:val="single" w:sz="2" w:space="0" w:color="000001"/>
              <w:bottom w:val="single" w:sz="2" w:space="0" w:color="000001"/>
            </w:tcBorders>
            <w:shd w:val="clear" w:color="auto" w:fill="FFFFFF"/>
            <w:tcMar>
              <w:left w:w="48" w:type="dxa"/>
            </w:tcMar>
          </w:tcPr>
          <w:p w:rsidR="0084093A" w:rsidRDefault="0084093A" w:rsidP="0084093A">
            <w:pPr>
              <w:pStyle w:val="TableContents"/>
              <w:jc w:val="center"/>
            </w:pPr>
            <w:r>
              <w:t>T</w:t>
            </w:r>
            <w:r w:rsidRPr="00AD10C4">
              <w:rPr>
                <w:vertAlign w:val="subscript"/>
              </w:rPr>
              <w:t>t</w:t>
            </w:r>
            <w:r>
              <w:t xml:space="preserve"> fixed, </w:t>
            </w:r>
            <w:r w:rsidR="00091FB3">
              <w:t>T</w:t>
            </w:r>
            <w:r w:rsidR="00091FB3">
              <w:rPr>
                <w:vertAlign w:val="subscript"/>
              </w:rPr>
              <w:t>r</w:t>
            </w:r>
            <w:r w:rsidR="00091FB3">
              <w:t xml:space="preserve"> and T</w:t>
            </w:r>
            <w:r w:rsidR="00091FB3" w:rsidRPr="006F7935">
              <w:rPr>
                <w:vertAlign w:val="subscript"/>
              </w:rPr>
              <w:t>v</w:t>
            </w:r>
            <w:r w:rsidR="00091FB3">
              <w:t xml:space="preserve"> vary</w:t>
            </w:r>
          </w:p>
        </w:tc>
        <w:tc>
          <w:tcPr>
            <w:tcW w:w="1042" w:type="dxa"/>
            <w:tcBorders>
              <w:top w:val="single" w:sz="2" w:space="0" w:color="000001"/>
              <w:left w:val="single" w:sz="2" w:space="0" w:color="000001"/>
              <w:bottom w:val="single" w:sz="2" w:space="0" w:color="000001"/>
            </w:tcBorders>
            <w:shd w:val="clear" w:color="auto" w:fill="FFFFFF"/>
            <w:tcMar>
              <w:left w:w="48" w:type="dxa"/>
            </w:tcMar>
          </w:tcPr>
          <w:p w:rsidR="0084093A" w:rsidRDefault="0084093A" w:rsidP="0084093A">
            <w:pPr>
              <w:pStyle w:val="TableContents"/>
              <w:jc w:val="center"/>
            </w:pPr>
            <w:r w:rsidRPr="0084093A">
              <w:t>O</w:t>
            </w:r>
            <w:r>
              <w:rPr>
                <w:vertAlign w:val="subscript"/>
              </w:rPr>
              <w:t>2</w:t>
            </w:r>
          </w:p>
        </w:tc>
        <w:tc>
          <w:tcPr>
            <w:tcW w:w="2238" w:type="dxa"/>
            <w:tcBorders>
              <w:top w:val="single" w:sz="2" w:space="0" w:color="000001"/>
              <w:left w:val="single" w:sz="2" w:space="0" w:color="000001"/>
              <w:bottom w:val="single" w:sz="2" w:space="0" w:color="000001"/>
            </w:tcBorders>
            <w:shd w:val="clear" w:color="auto" w:fill="FFFFFF"/>
            <w:tcMar>
              <w:left w:w="48" w:type="dxa"/>
            </w:tcMar>
          </w:tcPr>
          <w:p w:rsidR="0084093A" w:rsidRDefault="0084093A" w:rsidP="0084093A">
            <w:pPr>
              <w:pStyle w:val="TableContents"/>
              <w:jc w:val="center"/>
            </w:pPr>
            <w:r>
              <w:t>4000 K, 6,000 K, 8,000 K, 10,000 K, 15,000 K</w:t>
            </w:r>
          </w:p>
        </w:tc>
        <w:tc>
          <w:tcPr>
            <w:tcW w:w="1504" w:type="dxa"/>
            <w:tcBorders>
              <w:top w:val="single" w:sz="4" w:space="0" w:color="auto"/>
              <w:left w:val="single" w:sz="2" w:space="0" w:color="000001"/>
              <w:bottom w:val="single" w:sz="2" w:space="0" w:color="000001"/>
              <w:right w:val="single" w:sz="2" w:space="0" w:color="000001"/>
            </w:tcBorders>
            <w:shd w:val="clear" w:color="auto" w:fill="FFFFFF"/>
            <w:tcMar>
              <w:left w:w="48" w:type="dxa"/>
            </w:tcMar>
          </w:tcPr>
          <w:p w:rsidR="0084093A" w:rsidRDefault="0084093A" w:rsidP="0084093A">
            <w:pPr>
              <w:pStyle w:val="TableContents"/>
              <w:jc w:val="center"/>
            </w:pPr>
            <w:r>
              <w:t>300 K</w:t>
            </w:r>
          </w:p>
        </w:tc>
      </w:tr>
      <w:tr w:rsidR="0084093A" w:rsidTr="0084093A">
        <w:trPr>
          <w:jc w:val="center"/>
        </w:trPr>
        <w:tc>
          <w:tcPr>
            <w:tcW w:w="1646" w:type="dxa"/>
            <w:tcBorders>
              <w:left w:val="single" w:sz="2" w:space="0" w:color="000001"/>
              <w:bottom w:val="single" w:sz="2" w:space="0" w:color="000001"/>
            </w:tcBorders>
            <w:shd w:val="clear" w:color="auto" w:fill="FFFFFF"/>
            <w:tcMar>
              <w:left w:w="48" w:type="dxa"/>
            </w:tcMar>
          </w:tcPr>
          <w:p w:rsidR="0084093A" w:rsidRDefault="0084093A" w:rsidP="0084093A">
            <w:pPr>
              <w:pStyle w:val="TableContents"/>
              <w:jc w:val="center"/>
            </w:pPr>
            <w:r>
              <w:t>TC1.</w:t>
            </w:r>
            <w:r w:rsidR="00A30BD8">
              <w:t>7</w:t>
            </w:r>
          </w:p>
        </w:tc>
        <w:tc>
          <w:tcPr>
            <w:tcW w:w="2088" w:type="dxa"/>
            <w:tcBorders>
              <w:left w:val="single" w:sz="2" w:space="0" w:color="000001"/>
              <w:bottom w:val="single" w:sz="2" w:space="0" w:color="000001"/>
            </w:tcBorders>
            <w:shd w:val="clear" w:color="auto" w:fill="FFFFFF"/>
            <w:tcMar>
              <w:left w:w="48" w:type="dxa"/>
            </w:tcMar>
          </w:tcPr>
          <w:p w:rsidR="0084093A" w:rsidRDefault="0084093A" w:rsidP="0084093A">
            <w:pPr>
              <w:pStyle w:val="TableContents"/>
              <w:jc w:val="center"/>
            </w:pPr>
            <w:r>
              <w:t>T</w:t>
            </w:r>
            <w:r w:rsidRPr="00AD10C4">
              <w:rPr>
                <w:vertAlign w:val="subscript"/>
              </w:rPr>
              <w:t>t</w:t>
            </w:r>
            <w:r>
              <w:t xml:space="preserve"> fixed, </w:t>
            </w:r>
            <w:r w:rsidR="00091FB3">
              <w:t>T</w:t>
            </w:r>
            <w:r w:rsidR="00091FB3">
              <w:rPr>
                <w:vertAlign w:val="subscript"/>
              </w:rPr>
              <w:t>r</w:t>
            </w:r>
            <w:r w:rsidR="00091FB3">
              <w:t xml:space="preserve"> and T</w:t>
            </w:r>
            <w:r w:rsidR="00091FB3" w:rsidRPr="006F7935">
              <w:rPr>
                <w:vertAlign w:val="subscript"/>
              </w:rPr>
              <w:t>v</w:t>
            </w:r>
            <w:r w:rsidR="00091FB3">
              <w:t xml:space="preserve"> vary</w:t>
            </w:r>
          </w:p>
        </w:tc>
        <w:tc>
          <w:tcPr>
            <w:tcW w:w="1042" w:type="dxa"/>
            <w:tcBorders>
              <w:left w:val="single" w:sz="2" w:space="0" w:color="000001"/>
              <w:bottom w:val="single" w:sz="2" w:space="0" w:color="000001"/>
            </w:tcBorders>
            <w:shd w:val="clear" w:color="auto" w:fill="FFFFFF"/>
            <w:tcMar>
              <w:left w:w="48" w:type="dxa"/>
            </w:tcMar>
          </w:tcPr>
          <w:p w:rsidR="0084093A" w:rsidRDefault="0084093A" w:rsidP="0084093A">
            <w:pPr>
              <w:pStyle w:val="TableContents"/>
              <w:jc w:val="center"/>
            </w:pPr>
            <w:r>
              <w:t>N</w:t>
            </w:r>
            <w:r>
              <w:rPr>
                <w:vertAlign w:val="subscript"/>
              </w:rPr>
              <w:t>2</w:t>
            </w:r>
          </w:p>
        </w:tc>
        <w:tc>
          <w:tcPr>
            <w:tcW w:w="2238" w:type="dxa"/>
            <w:tcBorders>
              <w:left w:val="single" w:sz="2" w:space="0" w:color="000001"/>
              <w:bottom w:val="single" w:sz="2" w:space="0" w:color="000001"/>
            </w:tcBorders>
            <w:shd w:val="clear" w:color="auto" w:fill="FFFFFF"/>
            <w:tcMar>
              <w:left w:w="48" w:type="dxa"/>
            </w:tcMar>
          </w:tcPr>
          <w:p w:rsidR="0084093A" w:rsidRDefault="0084093A" w:rsidP="0084093A">
            <w:pPr>
              <w:pStyle w:val="TableContents"/>
              <w:jc w:val="center"/>
            </w:pPr>
            <w:r>
              <w:t>10,000 K</w:t>
            </w:r>
          </w:p>
        </w:tc>
        <w:tc>
          <w:tcPr>
            <w:tcW w:w="1504" w:type="dxa"/>
            <w:tcBorders>
              <w:left w:val="single" w:sz="2" w:space="0" w:color="000001"/>
              <w:bottom w:val="single" w:sz="2" w:space="0" w:color="000001"/>
              <w:right w:val="single" w:sz="2" w:space="0" w:color="000001"/>
            </w:tcBorders>
            <w:shd w:val="clear" w:color="auto" w:fill="FFFFFF"/>
            <w:tcMar>
              <w:left w:w="48" w:type="dxa"/>
            </w:tcMar>
          </w:tcPr>
          <w:p w:rsidR="0084093A" w:rsidRDefault="0084093A" w:rsidP="0084093A">
            <w:pPr>
              <w:pStyle w:val="TableContents"/>
              <w:jc w:val="center"/>
            </w:pPr>
            <w:r>
              <w:t>300 K</w:t>
            </w:r>
          </w:p>
        </w:tc>
      </w:tr>
      <w:tr w:rsidR="0084093A" w:rsidTr="0084093A">
        <w:trPr>
          <w:jc w:val="center"/>
        </w:trPr>
        <w:tc>
          <w:tcPr>
            <w:tcW w:w="1646" w:type="dxa"/>
            <w:tcBorders>
              <w:left w:val="single" w:sz="2" w:space="0" w:color="000001"/>
              <w:bottom w:val="single" w:sz="2" w:space="0" w:color="000001"/>
            </w:tcBorders>
            <w:shd w:val="clear" w:color="auto" w:fill="FFFFFF"/>
            <w:tcMar>
              <w:left w:w="48" w:type="dxa"/>
            </w:tcMar>
          </w:tcPr>
          <w:p w:rsidR="0084093A" w:rsidRDefault="0084093A" w:rsidP="0084093A">
            <w:pPr>
              <w:pStyle w:val="TableContents"/>
              <w:jc w:val="center"/>
            </w:pPr>
            <w:r>
              <w:lastRenderedPageBreak/>
              <w:t>TC1.</w:t>
            </w:r>
            <w:r w:rsidR="00A30BD8">
              <w:t>8</w:t>
            </w:r>
          </w:p>
        </w:tc>
        <w:tc>
          <w:tcPr>
            <w:tcW w:w="2088" w:type="dxa"/>
            <w:tcBorders>
              <w:left w:val="single" w:sz="2" w:space="0" w:color="000001"/>
              <w:bottom w:val="single" w:sz="2" w:space="0" w:color="000001"/>
            </w:tcBorders>
            <w:shd w:val="clear" w:color="auto" w:fill="FFFFFF"/>
            <w:tcMar>
              <w:left w:w="48" w:type="dxa"/>
            </w:tcMar>
          </w:tcPr>
          <w:p w:rsidR="0084093A" w:rsidRDefault="0084093A" w:rsidP="0084093A">
            <w:pPr>
              <w:pStyle w:val="TableContents"/>
              <w:jc w:val="center"/>
            </w:pPr>
            <w:r>
              <w:t>T</w:t>
            </w:r>
            <w:r w:rsidRPr="00AD10C4">
              <w:rPr>
                <w:vertAlign w:val="subscript"/>
              </w:rPr>
              <w:t>t</w:t>
            </w:r>
            <w:r>
              <w:t xml:space="preserve"> fixed, </w:t>
            </w:r>
            <w:r w:rsidR="00091FB3">
              <w:t>T</w:t>
            </w:r>
            <w:r w:rsidR="00091FB3">
              <w:rPr>
                <w:vertAlign w:val="subscript"/>
              </w:rPr>
              <w:t>r</w:t>
            </w:r>
            <w:r w:rsidR="00091FB3">
              <w:t xml:space="preserve"> and T</w:t>
            </w:r>
            <w:r w:rsidR="00091FB3" w:rsidRPr="006F7935">
              <w:rPr>
                <w:vertAlign w:val="subscript"/>
              </w:rPr>
              <w:t>v</w:t>
            </w:r>
            <w:r w:rsidR="00091FB3">
              <w:t xml:space="preserve"> vary</w:t>
            </w:r>
          </w:p>
        </w:tc>
        <w:tc>
          <w:tcPr>
            <w:tcW w:w="1042" w:type="dxa"/>
            <w:tcBorders>
              <w:left w:val="single" w:sz="2" w:space="0" w:color="000001"/>
              <w:bottom w:val="single" w:sz="2" w:space="0" w:color="000001"/>
            </w:tcBorders>
            <w:shd w:val="clear" w:color="auto" w:fill="FFFFFF"/>
            <w:tcMar>
              <w:left w:w="48" w:type="dxa"/>
            </w:tcMar>
          </w:tcPr>
          <w:p w:rsidR="0084093A" w:rsidRDefault="0084093A" w:rsidP="0084093A">
            <w:pPr>
              <w:pStyle w:val="TableContents"/>
              <w:jc w:val="center"/>
            </w:pPr>
            <w:r>
              <w:t>O</w:t>
            </w:r>
            <w:r>
              <w:rPr>
                <w:vertAlign w:val="subscript"/>
              </w:rPr>
              <w:t>2</w:t>
            </w:r>
          </w:p>
        </w:tc>
        <w:tc>
          <w:tcPr>
            <w:tcW w:w="2238" w:type="dxa"/>
            <w:tcBorders>
              <w:left w:val="single" w:sz="2" w:space="0" w:color="000001"/>
              <w:bottom w:val="single" w:sz="2" w:space="0" w:color="000001"/>
            </w:tcBorders>
            <w:shd w:val="clear" w:color="auto" w:fill="FFFFFF"/>
            <w:tcMar>
              <w:left w:w="48" w:type="dxa"/>
            </w:tcMar>
          </w:tcPr>
          <w:p w:rsidR="0084093A" w:rsidRDefault="0084093A" w:rsidP="0084093A">
            <w:pPr>
              <w:pStyle w:val="TableContents"/>
              <w:jc w:val="center"/>
            </w:pPr>
            <w:r>
              <w:t>8,000 K</w:t>
            </w:r>
          </w:p>
        </w:tc>
        <w:tc>
          <w:tcPr>
            <w:tcW w:w="1504" w:type="dxa"/>
            <w:tcBorders>
              <w:left w:val="single" w:sz="2" w:space="0" w:color="000001"/>
              <w:bottom w:val="single" w:sz="2" w:space="0" w:color="000001"/>
              <w:right w:val="single" w:sz="2" w:space="0" w:color="000001"/>
            </w:tcBorders>
            <w:shd w:val="clear" w:color="auto" w:fill="FFFFFF"/>
            <w:tcMar>
              <w:left w:w="48" w:type="dxa"/>
            </w:tcMar>
          </w:tcPr>
          <w:p w:rsidR="0084093A" w:rsidRDefault="0084093A" w:rsidP="0084093A">
            <w:pPr>
              <w:pStyle w:val="TableContents"/>
              <w:jc w:val="center"/>
            </w:pPr>
            <w:r>
              <w:t>300 K</w:t>
            </w:r>
          </w:p>
        </w:tc>
      </w:tr>
    </w:tbl>
    <w:p w:rsidR="000B19C9" w:rsidRPr="0084093A" w:rsidRDefault="0084093A" w:rsidP="0084093A">
      <w:pPr>
        <w:jc w:val="center"/>
        <w:rPr>
          <w:i/>
        </w:rPr>
      </w:pPr>
      <w:r w:rsidRPr="0084093A">
        <w:rPr>
          <w:i/>
        </w:rPr>
        <w:t>Table 2</w:t>
      </w:r>
    </w:p>
    <w:p w:rsidR="00FD33AB" w:rsidRDefault="00FD33AB"/>
    <w:p w:rsidR="00FD33AB" w:rsidRDefault="00FD33AB"/>
    <w:p w:rsidR="00FD33AB" w:rsidRDefault="00FD33AB"/>
    <w:p w:rsidR="000B19C9" w:rsidRDefault="00BF2FD6">
      <w:r>
        <w:rPr>
          <w:b/>
          <w:bCs/>
          <w:sz w:val="28"/>
          <w:szCs w:val="28"/>
        </w:rPr>
        <w:t>4. TC2: Normal Shock Wave in Dissociating O</w:t>
      </w:r>
      <w:r>
        <w:rPr>
          <w:b/>
          <w:bCs/>
          <w:sz w:val="28"/>
          <w:szCs w:val="28"/>
          <w:vertAlign w:val="subscript"/>
        </w:rPr>
        <w:t>2</w:t>
      </w:r>
    </w:p>
    <w:p w:rsidR="000B19C9" w:rsidRDefault="000B19C9"/>
    <w:p w:rsidR="000B19C9" w:rsidRDefault="00BF2FD6">
      <w:pPr>
        <w:rPr>
          <w:i/>
          <w:iCs/>
        </w:rPr>
      </w:pPr>
      <w:r>
        <w:rPr>
          <w:i/>
          <w:iCs/>
        </w:rPr>
        <w:t>4.1. Geometry</w:t>
      </w:r>
    </w:p>
    <w:p w:rsidR="000F29B8" w:rsidRDefault="000F29B8">
      <w:pPr>
        <w:rPr>
          <w:i/>
          <w:iCs/>
        </w:rPr>
      </w:pPr>
    </w:p>
    <w:p w:rsidR="000B19C9" w:rsidRDefault="00BF2FD6">
      <w:pPr>
        <w:jc w:val="both"/>
      </w:pPr>
      <w:r>
        <w:t>While it is possible to model the normal shock wave in one-dimensional configuration, it is recommended for the sake of consistency to model it in 2D. For CFD, that allows one to avoid the calculation of Rankine-</w:t>
      </w:r>
      <w:proofErr w:type="spellStart"/>
      <w:r>
        <w:t>Hugoniot</w:t>
      </w:r>
      <w:proofErr w:type="spellEnd"/>
      <w:r>
        <w:t xml:space="preserve"> conditions at the downstream boundary. For DSMC, in addition to the above, there will be no shock front movement in the upstream or downstream direction due to boundary condition fluctuations or incomplete thermal or chemical relaxation resulting in gas properties near the downstream boundary being slightly different from those dictated by th</w:t>
      </w:r>
      <w:r w:rsidR="00F770D1">
        <w:t>e Rankine-</w:t>
      </w:r>
      <w:proofErr w:type="spellStart"/>
      <w:r w:rsidR="00F770D1">
        <w:t>Hugoniot</w:t>
      </w:r>
      <w:proofErr w:type="spellEnd"/>
      <w:r w:rsidR="00F770D1">
        <w:t xml:space="preserve"> conditions. I</w:t>
      </w:r>
      <w:r>
        <w:t xml:space="preserve">n the 2D setup, </w:t>
      </w:r>
      <w:r w:rsidR="000C1662">
        <w:t xml:space="preserve">it is important that the </w:t>
      </w:r>
      <w:r w:rsidR="00271A8B">
        <w:t>geometry is large enough so that the solution along the stagnation line matches that in a one-dimensional shock. It is suggested to compute a f</w:t>
      </w:r>
      <w:r>
        <w:t xml:space="preserve">low over a </w:t>
      </w:r>
      <w:r w:rsidR="009F0513">
        <w:t>30</w:t>
      </w:r>
      <w:r>
        <w:t xml:space="preserve"> cm plate of an arbitrary thickness, placed perpendicular to</w:t>
      </w:r>
      <w:r w:rsidR="00271A8B">
        <w:t xml:space="preserve"> the free stream</w:t>
      </w:r>
      <w:r>
        <w:t>. Fully specular</w:t>
      </w:r>
      <w:r w:rsidR="00271A8B">
        <w:t xml:space="preserve"> in DSMC, and </w:t>
      </w:r>
      <w:r>
        <w:t xml:space="preserve">adiabatic </w:t>
      </w:r>
      <w:r w:rsidR="00271A8B">
        <w:t xml:space="preserve">in CFD, </w:t>
      </w:r>
      <w:r>
        <w:t xml:space="preserve">reflection should be set at the plate surface. The solution for a normal shock wave for the 2D case should </w:t>
      </w:r>
      <w:r w:rsidR="00271A8B">
        <w:t xml:space="preserve">then </w:t>
      </w:r>
      <w:r>
        <w:t xml:space="preserve">be extracted along the symmetry axis </w:t>
      </w:r>
      <w:r w:rsidR="00271A8B">
        <w:t xml:space="preserve">(stagnation streamline) </w:t>
      </w:r>
      <w:r>
        <w:t xml:space="preserve">of the flow. </w:t>
      </w:r>
    </w:p>
    <w:p w:rsidR="000B19C9" w:rsidRDefault="000B19C9"/>
    <w:p w:rsidR="000B19C9" w:rsidRDefault="00BF2FD6">
      <w:pPr>
        <w:rPr>
          <w:i/>
          <w:iCs/>
        </w:rPr>
      </w:pPr>
      <w:r>
        <w:rPr>
          <w:i/>
          <w:iCs/>
        </w:rPr>
        <w:t>4.2. Desired Output</w:t>
      </w:r>
    </w:p>
    <w:p w:rsidR="000F29B8" w:rsidRDefault="000F29B8">
      <w:pPr>
        <w:rPr>
          <w:i/>
          <w:iCs/>
        </w:rPr>
      </w:pPr>
    </w:p>
    <w:p w:rsidR="000B19C9" w:rsidRDefault="00BF2FD6" w:rsidP="008565BA">
      <w:pPr>
        <w:jc w:val="both"/>
        <w:outlineLvl w:val="0"/>
      </w:pPr>
      <w:r>
        <w:t>4.2.1. The following gas properties along the</w:t>
      </w:r>
      <w:r w:rsidR="00271A8B">
        <w:t xml:space="preserve"> stagnation line</w:t>
      </w:r>
    </w:p>
    <w:p w:rsidR="000B19C9" w:rsidRDefault="00BF2FD6">
      <w:pPr>
        <w:numPr>
          <w:ilvl w:val="0"/>
          <w:numId w:val="4"/>
        </w:numPr>
      </w:pPr>
      <w:r>
        <w:t>total number density (molecule/m</w:t>
      </w:r>
      <w:r>
        <w:rPr>
          <w:vertAlign w:val="superscript"/>
        </w:rPr>
        <w:t>3</w:t>
      </w:r>
      <w:r>
        <w:t>)</w:t>
      </w:r>
    </w:p>
    <w:p w:rsidR="000B19C9" w:rsidRDefault="00BF2FD6">
      <w:pPr>
        <w:numPr>
          <w:ilvl w:val="0"/>
          <w:numId w:val="4"/>
        </w:numPr>
      </w:pPr>
      <w:r>
        <w:t xml:space="preserve">O mole fraction </w:t>
      </w:r>
    </w:p>
    <w:p w:rsidR="000B19C9" w:rsidRDefault="00BF2FD6">
      <w:pPr>
        <w:numPr>
          <w:ilvl w:val="0"/>
          <w:numId w:val="4"/>
        </w:numPr>
      </w:pPr>
      <w:r>
        <w:t>overall translational temperature</w:t>
      </w:r>
      <w:bookmarkStart w:id="1" w:name="__DdeLink__342_3222572252"/>
      <w:bookmarkEnd w:id="1"/>
      <w:r>
        <w:t xml:space="preserve"> (K)</w:t>
      </w:r>
    </w:p>
    <w:p w:rsidR="000B19C9" w:rsidRDefault="00BF2FD6">
      <w:pPr>
        <w:numPr>
          <w:ilvl w:val="0"/>
          <w:numId w:val="4"/>
        </w:numPr>
      </w:pPr>
      <w:r>
        <w:t>rotational temperature of O</w:t>
      </w:r>
      <w:r>
        <w:rPr>
          <w:vertAlign w:val="subscript"/>
        </w:rPr>
        <w:t>2</w:t>
      </w:r>
      <w:r>
        <w:t xml:space="preserve"> (K)</w:t>
      </w:r>
    </w:p>
    <w:p w:rsidR="000B19C9" w:rsidRDefault="00BF2FD6">
      <w:pPr>
        <w:numPr>
          <w:ilvl w:val="0"/>
          <w:numId w:val="4"/>
        </w:numPr>
      </w:pPr>
      <w:r>
        <w:t>vibrational temperature of O</w:t>
      </w:r>
      <w:r>
        <w:rPr>
          <w:vertAlign w:val="subscript"/>
        </w:rPr>
        <w:t>2</w:t>
      </w:r>
      <w:r>
        <w:t xml:space="preserve"> (K)</w:t>
      </w:r>
    </w:p>
    <w:p w:rsidR="000B19C9" w:rsidRDefault="00BF2FD6">
      <w:pPr>
        <w:numPr>
          <w:ilvl w:val="0"/>
          <w:numId w:val="4"/>
        </w:numPr>
      </w:pPr>
      <w:r>
        <w:t>vibrational level populations at the point where the vibrational temperature is maximum</w:t>
      </w:r>
    </w:p>
    <w:p w:rsidR="000B19C9" w:rsidRDefault="000B19C9"/>
    <w:p w:rsidR="000B19C9" w:rsidRDefault="00BF2FD6">
      <w:pPr>
        <w:jc w:val="both"/>
      </w:pPr>
      <w:r>
        <w:t xml:space="preserve">4.2.2. A summary of the problem setup and solution procedure. Basic assumptions and models used, such as thermodynamic and transport data, collision models (elastic, inelastic, and reacting collisions), boundary condition description, grid sizes, as well as convergence criteria. An expert opinion as to the validity of the results, or any indicators that suggest the code or its algorithms or models may not be applicable to the problem. </w:t>
      </w:r>
    </w:p>
    <w:p w:rsidR="000B19C9" w:rsidRDefault="000B19C9">
      <w:pPr>
        <w:jc w:val="both"/>
      </w:pPr>
    </w:p>
    <w:p w:rsidR="000B19C9" w:rsidRDefault="00BF2FD6" w:rsidP="008565BA">
      <w:pPr>
        <w:jc w:val="both"/>
        <w:outlineLvl w:val="0"/>
      </w:pPr>
      <w:r>
        <w:t>4.2.3. An estimate of computational resources required (platform, memory, number of processors and CPU-time), and of the problem setup and postprocessing time (man-hours).</w:t>
      </w:r>
    </w:p>
    <w:p w:rsidR="000B19C9" w:rsidRDefault="000B19C9"/>
    <w:p w:rsidR="000B19C9" w:rsidRDefault="00BF2FD6">
      <w:pPr>
        <w:rPr>
          <w:i/>
          <w:iCs/>
        </w:rPr>
      </w:pPr>
      <w:r>
        <w:rPr>
          <w:i/>
          <w:iCs/>
        </w:rPr>
        <w:t>4.3. Run Matrix</w:t>
      </w:r>
    </w:p>
    <w:p w:rsidR="000F29B8" w:rsidRDefault="000F29B8">
      <w:pPr>
        <w:rPr>
          <w:i/>
          <w:iCs/>
        </w:rPr>
      </w:pPr>
    </w:p>
    <w:p w:rsidR="000B19C9" w:rsidRDefault="00BF2FD6">
      <w:pPr>
        <w:jc w:val="both"/>
      </w:pPr>
      <w:r>
        <w:t xml:space="preserve">The run matrix is given in Table </w:t>
      </w:r>
      <w:r w:rsidR="008359F1">
        <w:t>3</w:t>
      </w:r>
      <w:r>
        <w:t xml:space="preserve">. Symbol </w:t>
      </w:r>
      <w:r>
        <w:rPr>
          <w:rFonts w:cs="Tahoma"/>
        </w:rPr>
        <w:t>∞</w:t>
      </w:r>
      <w:r>
        <w:t xml:space="preserve"> denotes here the equilibrium upstream condition. </w:t>
      </w:r>
    </w:p>
    <w:p w:rsidR="000B19C9" w:rsidRDefault="000B19C9"/>
    <w:tbl>
      <w:tblPr>
        <w:tblW w:w="9972" w:type="dxa"/>
        <w:tblInd w:w="2"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firstRow="1" w:lastRow="0" w:firstColumn="1" w:lastColumn="0" w:noHBand="0" w:noVBand="1"/>
      </w:tblPr>
      <w:tblGrid>
        <w:gridCol w:w="1994"/>
        <w:gridCol w:w="1994"/>
        <w:gridCol w:w="1998"/>
        <w:gridCol w:w="1994"/>
        <w:gridCol w:w="1992"/>
      </w:tblGrid>
      <w:tr w:rsidR="000B19C9">
        <w:tc>
          <w:tcPr>
            <w:tcW w:w="1994" w:type="dxa"/>
            <w:tcBorders>
              <w:top w:val="single" w:sz="2" w:space="0" w:color="000001"/>
              <w:left w:val="single" w:sz="2" w:space="0" w:color="000001"/>
              <w:bottom w:val="single" w:sz="2" w:space="0" w:color="000001"/>
            </w:tcBorders>
            <w:shd w:val="clear" w:color="auto" w:fill="FFFFFF"/>
            <w:tcMar>
              <w:left w:w="45" w:type="dxa"/>
            </w:tcMar>
          </w:tcPr>
          <w:p w:rsidR="000B19C9" w:rsidRDefault="00BF2FD6">
            <w:pPr>
              <w:pStyle w:val="TableContents"/>
              <w:jc w:val="center"/>
            </w:pPr>
            <w:r>
              <w:lastRenderedPageBreak/>
              <w:t>Test Case</w:t>
            </w:r>
          </w:p>
        </w:tc>
        <w:tc>
          <w:tcPr>
            <w:tcW w:w="1994" w:type="dxa"/>
            <w:tcBorders>
              <w:top w:val="single" w:sz="2" w:space="0" w:color="000001"/>
              <w:left w:val="single" w:sz="2" w:space="0" w:color="000001"/>
              <w:bottom w:val="single" w:sz="2" w:space="0" w:color="000001"/>
            </w:tcBorders>
            <w:shd w:val="clear" w:color="auto" w:fill="FFFFFF"/>
            <w:tcMar>
              <w:left w:w="45" w:type="dxa"/>
            </w:tcMar>
          </w:tcPr>
          <w:p w:rsidR="000B19C9" w:rsidRDefault="00BF2FD6">
            <w:pPr>
              <w:pStyle w:val="TableContents"/>
              <w:jc w:val="center"/>
            </w:pPr>
            <w:r>
              <w:t>Free Stream Gas</w:t>
            </w:r>
          </w:p>
        </w:tc>
        <w:tc>
          <w:tcPr>
            <w:tcW w:w="1998" w:type="dxa"/>
            <w:tcBorders>
              <w:top w:val="single" w:sz="2" w:space="0" w:color="000001"/>
              <w:left w:val="single" w:sz="2" w:space="0" w:color="000001"/>
              <w:bottom w:val="single" w:sz="2" w:space="0" w:color="000001"/>
            </w:tcBorders>
            <w:shd w:val="clear" w:color="auto" w:fill="FFFFFF"/>
            <w:tcMar>
              <w:left w:w="45" w:type="dxa"/>
            </w:tcMar>
          </w:tcPr>
          <w:p w:rsidR="000B19C9" w:rsidRDefault="00BF2FD6">
            <w:pPr>
              <w:pStyle w:val="TableContents"/>
              <w:jc w:val="center"/>
            </w:pPr>
            <w:r>
              <w:t>p</w:t>
            </w:r>
            <w:r>
              <w:rPr>
                <w:rFonts w:cs="Tahoma"/>
                <w:vertAlign w:val="subscript"/>
              </w:rPr>
              <w:t>∞</w:t>
            </w:r>
            <w:r>
              <w:rPr>
                <w:rFonts w:cs="Tahoma"/>
              </w:rPr>
              <w:t>, Torr</w:t>
            </w:r>
          </w:p>
        </w:tc>
        <w:tc>
          <w:tcPr>
            <w:tcW w:w="1994" w:type="dxa"/>
            <w:tcBorders>
              <w:top w:val="single" w:sz="2" w:space="0" w:color="000001"/>
              <w:left w:val="single" w:sz="2" w:space="0" w:color="000001"/>
              <w:bottom w:val="single" w:sz="2" w:space="0" w:color="000001"/>
            </w:tcBorders>
            <w:shd w:val="clear" w:color="auto" w:fill="FFFFFF"/>
            <w:tcMar>
              <w:left w:w="45" w:type="dxa"/>
            </w:tcMar>
          </w:tcPr>
          <w:p w:rsidR="000B19C9" w:rsidRDefault="00BF2FD6">
            <w:pPr>
              <w:pStyle w:val="TableContents"/>
              <w:jc w:val="center"/>
            </w:pPr>
            <w:r>
              <w:t>U</w:t>
            </w:r>
            <w:r>
              <w:rPr>
                <w:rFonts w:cs="Tahoma"/>
                <w:vertAlign w:val="subscript"/>
              </w:rPr>
              <w:t>∞</w:t>
            </w:r>
            <w:r>
              <w:rPr>
                <w:rFonts w:cs="Tahoma"/>
              </w:rPr>
              <w:t>, m/s</w:t>
            </w:r>
          </w:p>
        </w:tc>
        <w:tc>
          <w:tcPr>
            <w:tcW w:w="1992"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0B19C9" w:rsidRDefault="00BF2FD6">
            <w:pPr>
              <w:pStyle w:val="TableContents"/>
              <w:jc w:val="center"/>
            </w:pPr>
            <w:r>
              <w:t>T</w:t>
            </w:r>
            <w:r>
              <w:rPr>
                <w:rFonts w:cs="Tahoma"/>
                <w:vertAlign w:val="subscript"/>
              </w:rPr>
              <w:t>∞</w:t>
            </w:r>
            <w:r>
              <w:rPr>
                <w:rFonts w:cs="Tahoma"/>
              </w:rPr>
              <w:t>, K</w:t>
            </w:r>
          </w:p>
        </w:tc>
      </w:tr>
      <w:tr w:rsidR="000B19C9">
        <w:tc>
          <w:tcPr>
            <w:tcW w:w="1994" w:type="dxa"/>
            <w:tcBorders>
              <w:top w:val="single" w:sz="2" w:space="0" w:color="000001"/>
              <w:left w:val="single" w:sz="2" w:space="0" w:color="000001"/>
              <w:bottom w:val="single" w:sz="2" w:space="0" w:color="000001"/>
            </w:tcBorders>
            <w:shd w:val="clear" w:color="auto" w:fill="FFFFFF"/>
            <w:tcMar>
              <w:left w:w="45" w:type="dxa"/>
            </w:tcMar>
          </w:tcPr>
          <w:p w:rsidR="000B19C9" w:rsidRDefault="00BF2FD6">
            <w:pPr>
              <w:pStyle w:val="TableContents"/>
              <w:jc w:val="center"/>
            </w:pPr>
            <w:r>
              <w:t>TC2.1</w:t>
            </w:r>
          </w:p>
        </w:tc>
        <w:tc>
          <w:tcPr>
            <w:tcW w:w="1994" w:type="dxa"/>
            <w:tcBorders>
              <w:top w:val="single" w:sz="2" w:space="0" w:color="000001"/>
              <w:left w:val="single" w:sz="2" w:space="0" w:color="000001"/>
              <w:bottom w:val="single" w:sz="2" w:space="0" w:color="000001"/>
            </w:tcBorders>
            <w:shd w:val="clear" w:color="auto" w:fill="FFFFFF"/>
            <w:tcMar>
              <w:left w:w="45" w:type="dxa"/>
            </w:tcMar>
          </w:tcPr>
          <w:p w:rsidR="000B19C9" w:rsidRDefault="00BF2FD6">
            <w:pPr>
              <w:pStyle w:val="TableContents"/>
              <w:jc w:val="center"/>
            </w:pPr>
            <w:r>
              <w:t>100% O</w:t>
            </w:r>
            <w:r>
              <w:rPr>
                <w:vertAlign w:val="subscript"/>
              </w:rPr>
              <w:t>2</w:t>
            </w:r>
          </w:p>
        </w:tc>
        <w:tc>
          <w:tcPr>
            <w:tcW w:w="1998" w:type="dxa"/>
            <w:tcBorders>
              <w:top w:val="single" w:sz="2" w:space="0" w:color="000001"/>
              <w:left w:val="single" w:sz="2" w:space="0" w:color="000001"/>
              <w:bottom w:val="single" w:sz="2" w:space="0" w:color="000001"/>
            </w:tcBorders>
            <w:shd w:val="clear" w:color="auto" w:fill="FFFFFF"/>
            <w:tcMar>
              <w:left w:w="45" w:type="dxa"/>
            </w:tcMar>
          </w:tcPr>
          <w:p w:rsidR="000B19C9" w:rsidRDefault="00BF2FD6">
            <w:pPr>
              <w:pStyle w:val="TableContents"/>
              <w:jc w:val="center"/>
            </w:pPr>
            <w:r>
              <w:t>2</w:t>
            </w:r>
          </w:p>
        </w:tc>
        <w:tc>
          <w:tcPr>
            <w:tcW w:w="1994" w:type="dxa"/>
            <w:tcBorders>
              <w:top w:val="single" w:sz="2" w:space="0" w:color="000001"/>
              <w:left w:val="single" w:sz="2" w:space="0" w:color="000001"/>
              <w:bottom w:val="single" w:sz="2" w:space="0" w:color="000001"/>
            </w:tcBorders>
            <w:shd w:val="clear" w:color="auto" w:fill="FFFFFF"/>
            <w:tcMar>
              <w:left w:w="45" w:type="dxa"/>
            </w:tcMar>
          </w:tcPr>
          <w:p w:rsidR="000B19C9" w:rsidRDefault="00BF2FD6">
            <w:pPr>
              <w:pStyle w:val="TableContents"/>
              <w:jc w:val="center"/>
            </w:pPr>
            <w:r>
              <w:t>3,070</w:t>
            </w:r>
          </w:p>
        </w:tc>
        <w:tc>
          <w:tcPr>
            <w:tcW w:w="1992"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0B19C9" w:rsidRDefault="00BF2FD6">
            <w:pPr>
              <w:pStyle w:val="TableContents"/>
              <w:jc w:val="center"/>
            </w:pPr>
            <w:r>
              <w:t>300</w:t>
            </w:r>
          </w:p>
        </w:tc>
      </w:tr>
      <w:tr w:rsidR="000B19C9">
        <w:tc>
          <w:tcPr>
            <w:tcW w:w="1994" w:type="dxa"/>
            <w:tcBorders>
              <w:top w:val="single" w:sz="2" w:space="0" w:color="000001"/>
              <w:left w:val="single" w:sz="2" w:space="0" w:color="000001"/>
              <w:bottom w:val="single" w:sz="2" w:space="0" w:color="000001"/>
            </w:tcBorders>
            <w:shd w:val="clear" w:color="auto" w:fill="FFFFFF"/>
            <w:tcMar>
              <w:left w:w="45" w:type="dxa"/>
            </w:tcMar>
          </w:tcPr>
          <w:p w:rsidR="000B19C9" w:rsidRDefault="00BF2FD6">
            <w:pPr>
              <w:pStyle w:val="TableContents"/>
              <w:jc w:val="center"/>
            </w:pPr>
            <w:r>
              <w:t>TC2.2</w:t>
            </w:r>
          </w:p>
        </w:tc>
        <w:tc>
          <w:tcPr>
            <w:tcW w:w="1994" w:type="dxa"/>
            <w:tcBorders>
              <w:top w:val="single" w:sz="2" w:space="0" w:color="000001"/>
              <w:left w:val="single" w:sz="2" w:space="0" w:color="000001"/>
              <w:bottom w:val="single" w:sz="2" w:space="0" w:color="000001"/>
            </w:tcBorders>
            <w:shd w:val="clear" w:color="auto" w:fill="FFFFFF"/>
            <w:tcMar>
              <w:left w:w="45" w:type="dxa"/>
            </w:tcMar>
          </w:tcPr>
          <w:p w:rsidR="000B19C9" w:rsidRDefault="00BF2FD6">
            <w:pPr>
              <w:pStyle w:val="TableContents"/>
              <w:jc w:val="center"/>
            </w:pPr>
            <w:r>
              <w:t>100% O</w:t>
            </w:r>
            <w:r>
              <w:rPr>
                <w:vertAlign w:val="subscript"/>
              </w:rPr>
              <w:t>2</w:t>
            </w:r>
          </w:p>
        </w:tc>
        <w:tc>
          <w:tcPr>
            <w:tcW w:w="1998" w:type="dxa"/>
            <w:tcBorders>
              <w:top w:val="single" w:sz="2" w:space="0" w:color="000001"/>
              <w:left w:val="single" w:sz="2" w:space="0" w:color="000001"/>
              <w:bottom w:val="single" w:sz="2" w:space="0" w:color="000001"/>
            </w:tcBorders>
            <w:shd w:val="clear" w:color="auto" w:fill="FFFFFF"/>
            <w:tcMar>
              <w:left w:w="45" w:type="dxa"/>
            </w:tcMar>
          </w:tcPr>
          <w:p w:rsidR="000B19C9" w:rsidRDefault="00BF2FD6">
            <w:pPr>
              <w:pStyle w:val="TableContents"/>
              <w:jc w:val="center"/>
            </w:pPr>
            <w:r>
              <w:t>0.8</w:t>
            </w:r>
          </w:p>
        </w:tc>
        <w:tc>
          <w:tcPr>
            <w:tcW w:w="1994" w:type="dxa"/>
            <w:tcBorders>
              <w:top w:val="single" w:sz="2" w:space="0" w:color="000001"/>
              <w:left w:val="single" w:sz="2" w:space="0" w:color="000001"/>
              <w:bottom w:val="single" w:sz="2" w:space="0" w:color="000001"/>
            </w:tcBorders>
            <w:shd w:val="clear" w:color="auto" w:fill="FFFFFF"/>
            <w:tcMar>
              <w:left w:w="45" w:type="dxa"/>
            </w:tcMar>
          </w:tcPr>
          <w:p w:rsidR="000B19C9" w:rsidRDefault="00BF2FD6">
            <w:pPr>
              <w:pStyle w:val="TableContents"/>
              <w:jc w:val="center"/>
            </w:pPr>
            <w:r>
              <w:t>4,440</w:t>
            </w:r>
          </w:p>
        </w:tc>
        <w:tc>
          <w:tcPr>
            <w:tcW w:w="1992"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0B19C9" w:rsidRDefault="00BF2FD6">
            <w:pPr>
              <w:pStyle w:val="TableContents"/>
              <w:jc w:val="center"/>
            </w:pPr>
            <w:r>
              <w:t>300</w:t>
            </w:r>
          </w:p>
        </w:tc>
      </w:tr>
    </w:tbl>
    <w:p w:rsidR="000B19C9" w:rsidRDefault="00BF2FD6">
      <w:pPr>
        <w:jc w:val="center"/>
        <w:rPr>
          <w:i/>
          <w:iCs/>
        </w:rPr>
      </w:pPr>
      <w:r>
        <w:rPr>
          <w:i/>
          <w:iCs/>
        </w:rPr>
        <w:t xml:space="preserve">Table </w:t>
      </w:r>
      <w:r w:rsidR="008359F1">
        <w:rPr>
          <w:i/>
          <w:iCs/>
        </w:rPr>
        <w:t>3</w:t>
      </w:r>
      <w:r>
        <w:rPr>
          <w:i/>
          <w:iCs/>
        </w:rPr>
        <w:t xml:space="preserve">. </w:t>
      </w:r>
    </w:p>
    <w:p w:rsidR="000B19C9" w:rsidRDefault="000B19C9"/>
    <w:p w:rsidR="000B19C9" w:rsidRDefault="000B19C9"/>
    <w:p w:rsidR="000B19C9" w:rsidRDefault="00BF2FD6" w:rsidP="00B93ABB">
      <w:pPr>
        <w:outlineLvl w:val="0"/>
      </w:pPr>
      <w:r>
        <w:rPr>
          <w:b/>
          <w:bCs/>
          <w:sz w:val="28"/>
          <w:szCs w:val="28"/>
        </w:rPr>
        <w:t xml:space="preserve">5. </w:t>
      </w:r>
      <w:r w:rsidR="000F29B8">
        <w:rPr>
          <w:b/>
          <w:bCs/>
          <w:sz w:val="28"/>
          <w:szCs w:val="28"/>
        </w:rPr>
        <w:t xml:space="preserve">TC3: </w:t>
      </w:r>
      <w:r w:rsidR="00634969">
        <w:rPr>
          <w:b/>
          <w:bCs/>
          <w:sz w:val="28"/>
          <w:szCs w:val="28"/>
        </w:rPr>
        <w:t xml:space="preserve">Two-Dimensional </w:t>
      </w:r>
      <w:r w:rsidR="006A43C9">
        <w:rPr>
          <w:b/>
          <w:bCs/>
          <w:sz w:val="28"/>
          <w:szCs w:val="28"/>
        </w:rPr>
        <w:t xml:space="preserve">Hypersonic Flow </w:t>
      </w:r>
    </w:p>
    <w:p w:rsidR="006A43C9" w:rsidRDefault="006A43C9"/>
    <w:p w:rsidR="006A43C9" w:rsidRDefault="006A43C9">
      <w:r>
        <w:t xml:space="preserve">We are currently considering two </w:t>
      </w:r>
      <w:r w:rsidR="00677B47">
        <w:t>options:</w:t>
      </w:r>
    </w:p>
    <w:p w:rsidR="00677B47" w:rsidRDefault="00677B47">
      <w:r w:rsidRPr="00B93ABB">
        <w:rPr>
          <w:b/>
        </w:rPr>
        <w:t>Option 1</w:t>
      </w:r>
      <w:r>
        <w:t>: flow over a double cone, with flow conditions of Refs. [</w:t>
      </w:r>
      <w:r w:rsidR="00867002">
        <w:t>4</w:t>
      </w:r>
      <w:r>
        <w:t>-6]</w:t>
      </w:r>
    </w:p>
    <w:p w:rsidR="00B5356D" w:rsidRDefault="00B5356D">
      <w:r w:rsidRPr="00B93ABB">
        <w:rPr>
          <w:b/>
        </w:rPr>
        <w:t>Option 2</w:t>
      </w:r>
      <w:r>
        <w:t>: flow over a cylinder, with flow conditions of Refs. [</w:t>
      </w:r>
      <w:r w:rsidR="00867002">
        <w:t>13-14]</w:t>
      </w:r>
    </w:p>
    <w:p w:rsidR="00867002" w:rsidRDefault="00867002" w:rsidP="00B93ABB">
      <w:pPr>
        <w:jc w:val="both"/>
      </w:pPr>
      <w:r>
        <w:t>Two options are considered since none of them is ideal. The double-cone experiments have been shown to be difficult to match numerically, with at least some of the difference attributed to uncertainties in the free stream conditions. The cylinder experiments are 3D, and even though the spanwise distance is four times larger than the diameter, some 3D effects may still be present. Also, the cylinder surface was proven to be catalytic, and thus</w:t>
      </w:r>
      <w:r w:rsidR="00AE2CF2">
        <w:t xml:space="preserve"> </w:t>
      </w:r>
      <w:r>
        <w:t xml:space="preserve">surface reactions need to be accounted for </w:t>
      </w:r>
      <w:r w:rsidR="00AE2CF2">
        <w:t xml:space="preserve">in numerical simulations </w:t>
      </w:r>
      <w:r>
        <w:t>in order to</w:t>
      </w:r>
      <w:r w:rsidR="00AE2CF2">
        <w:t xml:space="preserve"> reproduce the data.</w:t>
      </w:r>
    </w:p>
    <w:p w:rsidR="006A43C9" w:rsidRDefault="006A43C9"/>
    <w:p w:rsidR="000B19C9" w:rsidRDefault="00BF2FD6">
      <w:pPr>
        <w:rPr>
          <w:i/>
          <w:iCs/>
        </w:rPr>
      </w:pPr>
      <w:r>
        <w:rPr>
          <w:i/>
          <w:iCs/>
        </w:rPr>
        <w:t>5.1. Geometry</w:t>
      </w:r>
    </w:p>
    <w:p w:rsidR="000F29B8" w:rsidRDefault="000F29B8">
      <w:pPr>
        <w:rPr>
          <w:i/>
          <w:iCs/>
        </w:rPr>
      </w:pPr>
    </w:p>
    <w:p w:rsidR="00634969" w:rsidRPr="00B93ABB" w:rsidRDefault="00634969">
      <w:pPr>
        <w:rPr>
          <w:b/>
          <w:i/>
          <w:iCs/>
        </w:rPr>
      </w:pPr>
      <w:r w:rsidRPr="00B93ABB">
        <w:rPr>
          <w:b/>
          <w:i/>
          <w:iCs/>
        </w:rPr>
        <w:t xml:space="preserve">Option </w:t>
      </w:r>
      <w:r w:rsidR="00867002">
        <w:rPr>
          <w:b/>
          <w:i/>
          <w:iCs/>
        </w:rPr>
        <w:t>1</w:t>
      </w:r>
    </w:p>
    <w:p w:rsidR="000B19C9" w:rsidRDefault="00BF2FD6">
      <w:pPr>
        <w:jc w:val="both"/>
      </w:pPr>
      <w:r>
        <w:t xml:space="preserve">The flow is axially symmetric, and the geometry is a 25°/55° double cone. The base diameter of the front and back cones </w:t>
      </w:r>
      <w:r w:rsidR="0023389F">
        <w:t>is</w:t>
      </w:r>
      <w:r>
        <w:t xml:space="preserve"> 3.381</w:t>
      </w:r>
      <w:r w:rsidR="0023389F">
        <w:t xml:space="preserve"> </w:t>
      </w:r>
      <w:r>
        <w:t>in and 10.309</w:t>
      </w:r>
      <w:r w:rsidR="0023389F">
        <w:t xml:space="preserve"> </w:t>
      </w:r>
      <w:r>
        <w:t>in, respectively. There is also a 1.574</w:t>
      </w:r>
      <w:r w:rsidR="0023389F">
        <w:t xml:space="preserve"> </w:t>
      </w:r>
      <w:r>
        <w:t xml:space="preserve">in thick cylinder attached at the aft end of the back cone. For a coordinate system with origin at the leading edge of the front cone, and the flow direction from left to right, the describing vertices are given in Table </w:t>
      </w:r>
      <w:r w:rsidR="008359F1">
        <w:t>4</w:t>
      </w:r>
      <w:r>
        <w:t xml:space="preserve">. </w:t>
      </w:r>
    </w:p>
    <w:p w:rsidR="000B19C9" w:rsidRDefault="000B19C9"/>
    <w:tbl>
      <w:tblPr>
        <w:tblW w:w="9972" w:type="dxa"/>
        <w:tblInd w:w="2"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firstRow="1" w:lastRow="0" w:firstColumn="1" w:lastColumn="0" w:noHBand="0" w:noVBand="1"/>
      </w:tblPr>
      <w:tblGrid>
        <w:gridCol w:w="3324"/>
        <w:gridCol w:w="3324"/>
        <w:gridCol w:w="3324"/>
      </w:tblGrid>
      <w:tr w:rsidR="000B19C9">
        <w:tc>
          <w:tcPr>
            <w:tcW w:w="3324" w:type="dxa"/>
            <w:tcBorders>
              <w:top w:val="single" w:sz="2" w:space="0" w:color="000001"/>
              <w:left w:val="single" w:sz="2" w:space="0" w:color="000001"/>
              <w:bottom w:val="single" w:sz="2" w:space="0" w:color="000001"/>
            </w:tcBorders>
            <w:shd w:val="clear" w:color="auto" w:fill="FFFFFF"/>
            <w:tcMar>
              <w:left w:w="45" w:type="dxa"/>
            </w:tcMar>
          </w:tcPr>
          <w:p w:rsidR="000B19C9" w:rsidRDefault="00BF2FD6">
            <w:pPr>
              <w:pStyle w:val="TableContents"/>
              <w:jc w:val="center"/>
            </w:pPr>
            <w:r>
              <w:t>Point</w:t>
            </w:r>
          </w:p>
        </w:tc>
        <w:tc>
          <w:tcPr>
            <w:tcW w:w="3324" w:type="dxa"/>
            <w:tcBorders>
              <w:top w:val="single" w:sz="2" w:space="0" w:color="000001"/>
              <w:left w:val="single" w:sz="2" w:space="0" w:color="000001"/>
              <w:bottom w:val="single" w:sz="2" w:space="0" w:color="000001"/>
            </w:tcBorders>
            <w:shd w:val="clear" w:color="auto" w:fill="FFFFFF"/>
            <w:tcMar>
              <w:left w:w="45" w:type="dxa"/>
            </w:tcMar>
          </w:tcPr>
          <w:p w:rsidR="000B19C9" w:rsidRDefault="00BF2FD6">
            <w:pPr>
              <w:pStyle w:val="TableContents"/>
              <w:jc w:val="center"/>
            </w:pPr>
            <w:r>
              <w:t>x, mm</w:t>
            </w:r>
          </w:p>
        </w:tc>
        <w:tc>
          <w:tcPr>
            <w:tcW w:w="3324"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0B19C9" w:rsidRDefault="00BF2FD6">
            <w:pPr>
              <w:pStyle w:val="TableContents"/>
              <w:jc w:val="center"/>
            </w:pPr>
            <w:r>
              <w:t>y, mm</w:t>
            </w:r>
          </w:p>
        </w:tc>
      </w:tr>
      <w:tr w:rsidR="000B19C9">
        <w:tc>
          <w:tcPr>
            <w:tcW w:w="3324" w:type="dxa"/>
            <w:tcBorders>
              <w:top w:val="single" w:sz="2" w:space="0" w:color="000001"/>
              <w:left w:val="single" w:sz="2" w:space="0" w:color="000001"/>
              <w:bottom w:val="single" w:sz="2" w:space="0" w:color="000001"/>
            </w:tcBorders>
            <w:shd w:val="clear" w:color="auto" w:fill="FFFFFF"/>
            <w:tcMar>
              <w:left w:w="45" w:type="dxa"/>
            </w:tcMar>
          </w:tcPr>
          <w:p w:rsidR="000B19C9" w:rsidRDefault="00BF2FD6">
            <w:pPr>
              <w:pStyle w:val="TableContents"/>
              <w:jc w:val="center"/>
            </w:pPr>
            <w:r>
              <w:t>leading edge</w:t>
            </w:r>
          </w:p>
        </w:tc>
        <w:tc>
          <w:tcPr>
            <w:tcW w:w="3324" w:type="dxa"/>
            <w:tcBorders>
              <w:top w:val="single" w:sz="2" w:space="0" w:color="000001"/>
              <w:left w:val="single" w:sz="2" w:space="0" w:color="000001"/>
              <w:bottom w:val="single" w:sz="2" w:space="0" w:color="000001"/>
            </w:tcBorders>
            <w:shd w:val="clear" w:color="auto" w:fill="FFFFFF"/>
            <w:tcMar>
              <w:left w:w="45" w:type="dxa"/>
            </w:tcMar>
          </w:tcPr>
          <w:p w:rsidR="000B19C9" w:rsidRDefault="00BF2FD6">
            <w:pPr>
              <w:pStyle w:val="TableContents"/>
              <w:jc w:val="center"/>
            </w:pPr>
            <w:r>
              <w:t>0</w:t>
            </w:r>
          </w:p>
        </w:tc>
        <w:tc>
          <w:tcPr>
            <w:tcW w:w="3324"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0B19C9" w:rsidRDefault="00BF2FD6">
            <w:pPr>
              <w:pStyle w:val="TableContents"/>
              <w:jc w:val="center"/>
            </w:pPr>
            <w:r>
              <w:t>0</w:t>
            </w:r>
          </w:p>
        </w:tc>
      </w:tr>
      <w:tr w:rsidR="000B19C9">
        <w:tc>
          <w:tcPr>
            <w:tcW w:w="3324" w:type="dxa"/>
            <w:tcBorders>
              <w:top w:val="single" w:sz="2" w:space="0" w:color="000001"/>
              <w:left w:val="single" w:sz="2" w:space="0" w:color="000001"/>
              <w:bottom w:val="single" w:sz="2" w:space="0" w:color="000001"/>
            </w:tcBorders>
            <w:shd w:val="clear" w:color="auto" w:fill="FFFFFF"/>
            <w:tcMar>
              <w:left w:w="45" w:type="dxa"/>
            </w:tcMar>
          </w:tcPr>
          <w:p w:rsidR="000B19C9" w:rsidRDefault="00BF2FD6">
            <w:pPr>
              <w:pStyle w:val="TableContents"/>
              <w:jc w:val="center"/>
            </w:pPr>
            <w:r>
              <w:t>aft end of the front cone</w:t>
            </w:r>
          </w:p>
        </w:tc>
        <w:tc>
          <w:tcPr>
            <w:tcW w:w="3324" w:type="dxa"/>
            <w:tcBorders>
              <w:top w:val="single" w:sz="2" w:space="0" w:color="000001"/>
              <w:left w:val="single" w:sz="2" w:space="0" w:color="000001"/>
              <w:bottom w:val="single" w:sz="2" w:space="0" w:color="000001"/>
            </w:tcBorders>
            <w:shd w:val="clear" w:color="auto" w:fill="FFFFFF"/>
            <w:tcMar>
              <w:left w:w="45" w:type="dxa"/>
            </w:tcMar>
          </w:tcPr>
          <w:p w:rsidR="000B19C9" w:rsidRDefault="00BF2FD6">
            <w:pPr>
              <w:pStyle w:val="TableContents"/>
              <w:jc w:val="center"/>
            </w:pPr>
            <w:r>
              <w:t>92.085</w:t>
            </w:r>
          </w:p>
        </w:tc>
        <w:tc>
          <w:tcPr>
            <w:tcW w:w="3324"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0B19C9" w:rsidRDefault="00BF2FD6">
            <w:pPr>
              <w:pStyle w:val="TableContents"/>
              <w:jc w:val="center"/>
            </w:pPr>
            <w:r>
              <w:t>42.94</w:t>
            </w:r>
          </w:p>
        </w:tc>
      </w:tr>
      <w:tr w:rsidR="000B19C9">
        <w:tc>
          <w:tcPr>
            <w:tcW w:w="3324" w:type="dxa"/>
            <w:tcBorders>
              <w:top w:val="single" w:sz="2" w:space="0" w:color="000001"/>
              <w:left w:val="single" w:sz="2" w:space="0" w:color="000001"/>
              <w:bottom w:val="single" w:sz="2" w:space="0" w:color="000001"/>
            </w:tcBorders>
            <w:shd w:val="clear" w:color="auto" w:fill="FFFFFF"/>
            <w:tcMar>
              <w:left w:w="45" w:type="dxa"/>
            </w:tcMar>
          </w:tcPr>
          <w:p w:rsidR="000B19C9" w:rsidRDefault="00BF2FD6">
            <w:pPr>
              <w:pStyle w:val="TableContents"/>
              <w:jc w:val="center"/>
            </w:pPr>
            <w:r>
              <w:t>aft end of the back cone</w:t>
            </w:r>
          </w:p>
        </w:tc>
        <w:tc>
          <w:tcPr>
            <w:tcW w:w="3324" w:type="dxa"/>
            <w:tcBorders>
              <w:top w:val="single" w:sz="2" w:space="0" w:color="000001"/>
              <w:left w:val="single" w:sz="2" w:space="0" w:color="000001"/>
              <w:bottom w:val="single" w:sz="2" w:space="0" w:color="000001"/>
            </w:tcBorders>
            <w:shd w:val="clear" w:color="auto" w:fill="FFFFFF"/>
            <w:tcMar>
              <w:left w:w="45" w:type="dxa"/>
            </w:tcMar>
          </w:tcPr>
          <w:p w:rsidR="000B19C9" w:rsidRDefault="00BF2FD6">
            <w:pPr>
              <w:pStyle w:val="TableContents"/>
              <w:jc w:val="center"/>
            </w:pPr>
            <w:r>
              <w:t>153.69</w:t>
            </w:r>
          </w:p>
        </w:tc>
        <w:tc>
          <w:tcPr>
            <w:tcW w:w="3324"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0B19C9" w:rsidRDefault="00BF2FD6">
            <w:pPr>
              <w:pStyle w:val="TableContents"/>
              <w:jc w:val="center"/>
            </w:pPr>
            <w:r>
              <w:t>130.925</w:t>
            </w:r>
          </w:p>
        </w:tc>
      </w:tr>
      <w:tr w:rsidR="000B19C9">
        <w:tc>
          <w:tcPr>
            <w:tcW w:w="3324" w:type="dxa"/>
            <w:tcBorders>
              <w:top w:val="single" w:sz="2" w:space="0" w:color="000001"/>
              <w:left w:val="single" w:sz="2" w:space="0" w:color="000001"/>
              <w:bottom w:val="single" w:sz="2" w:space="0" w:color="000001"/>
            </w:tcBorders>
            <w:shd w:val="clear" w:color="auto" w:fill="FFFFFF"/>
            <w:tcMar>
              <w:left w:w="45" w:type="dxa"/>
            </w:tcMar>
          </w:tcPr>
          <w:p w:rsidR="000B19C9" w:rsidRDefault="00BF2FD6">
            <w:pPr>
              <w:pStyle w:val="TableContents"/>
              <w:jc w:val="center"/>
            </w:pPr>
            <w:r>
              <w:t>aft end of the cylinder</w:t>
            </w:r>
          </w:p>
        </w:tc>
        <w:tc>
          <w:tcPr>
            <w:tcW w:w="3324" w:type="dxa"/>
            <w:tcBorders>
              <w:top w:val="single" w:sz="2" w:space="0" w:color="000001"/>
              <w:left w:val="single" w:sz="2" w:space="0" w:color="000001"/>
              <w:bottom w:val="single" w:sz="2" w:space="0" w:color="000001"/>
            </w:tcBorders>
            <w:shd w:val="clear" w:color="auto" w:fill="FFFFFF"/>
            <w:tcMar>
              <w:left w:w="45" w:type="dxa"/>
            </w:tcMar>
          </w:tcPr>
          <w:p w:rsidR="000B19C9" w:rsidRDefault="00BF2FD6">
            <w:pPr>
              <w:pStyle w:val="TableContents"/>
              <w:jc w:val="center"/>
            </w:pPr>
            <w:r>
              <w:t>170.9</w:t>
            </w:r>
          </w:p>
        </w:tc>
        <w:tc>
          <w:tcPr>
            <w:tcW w:w="3324"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0B19C9" w:rsidRDefault="00BF2FD6">
            <w:pPr>
              <w:pStyle w:val="TableContents"/>
              <w:jc w:val="center"/>
            </w:pPr>
            <w:r>
              <w:t>130.925</w:t>
            </w:r>
          </w:p>
        </w:tc>
      </w:tr>
      <w:tr w:rsidR="000B19C9">
        <w:tc>
          <w:tcPr>
            <w:tcW w:w="3324" w:type="dxa"/>
            <w:tcBorders>
              <w:top w:val="single" w:sz="2" w:space="0" w:color="000001"/>
              <w:left w:val="single" w:sz="2" w:space="0" w:color="000001"/>
              <w:bottom w:val="single" w:sz="2" w:space="0" w:color="000001"/>
            </w:tcBorders>
            <w:shd w:val="clear" w:color="auto" w:fill="FFFFFF"/>
            <w:tcMar>
              <w:left w:w="45" w:type="dxa"/>
            </w:tcMar>
          </w:tcPr>
          <w:p w:rsidR="000B19C9" w:rsidRDefault="00BF2FD6">
            <w:pPr>
              <w:pStyle w:val="TableContents"/>
              <w:jc w:val="center"/>
            </w:pPr>
            <w:r>
              <w:t>center of cylinder base</w:t>
            </w:r>
          </w:p>
        </w:tc>
        <w:tc>
          <w:tcPr>
            <w:tcW w:w="3324" w:type="dxa"/>
            <w:tcBorders>
              <w:top w:val="single" w:sz="2" w:space="0" w:color="000001"/>
              <w:left w:val="single" w:sz="2" w:space="0" w:color="000001"/>
              <w:bottom w:val="single" w:sz="2" w:space="0" w:color="000001"/>
            </w:tcBorders>
            <w:shd w:val="clear" w:color="auto" w:fill="FFFFFF"/>
            <w:tcMar>
              <w:left w:w="45" w:type="dxa"/>
            </w:tcMar>
          </w:tcPr>
          <w:p w:rsidR="000B19C9" w:rsidRDefault="00BF2FD6">
            <w:pPr>
              <w:pStyle w:val="TableContents"/>
              <w:jc w:val="center"/>
            </w:pPr>
            <w:r>
              <w:t>170.9</w:t>
            </w:r>
          </w:p>
        </w:tc>
        <w:tc>
          <w:tcPr>
            <w:tcW w:w="3324"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0B19C9" w:rsidRDefault="00BF2FD6">
            <w:pPr>
              <w:pStyle w:val="TableContents"/>
              <w:jc w:val="center"/>
            </w:pPr>
            <w:r>
              <w:t>0</w:t>
            </w:r>
          </w:p>
        </w:tc>
      </w:tr>
    </w:tbl>
    <w:p w:rsidR="000B19C9" w:rsidRDefault="00BF2FD6">
      <w:pPr>
        <w:jc w:val="center"/>
        <w:rPr>
          <w:i/>
          <w:iCs/>
        </w:rPr>
      </w:pPr>
      <w:r>
        <w:rPr>
          <w:i/>
          <w:iCs/>
        </w:rPr>
        <w:t xml:space="preserve">Table </w:t>
      </w:r>
      <w:r w:rsidR="008359F1">
        <w:rPr>
          <w:i/>
          <w:iCs/>
        </w:rPr>
        <w:t>4</w:t>
      </w:r>
    </w:p>
    <w:p w:rsidR="000B19C9" w:rsidRDefault="000B19C9"/>
    <w:p w:rsidR="000B19C9" w:rsidRDefault="00BF2FD6" w:rsidP="008565BA">
      <w:pPr>
        <w:outlineLvl w:val="0"/>
      </w:pPr>
      <w:r>
        <w:t xml:space="preserve">The cone boundary condition is isothermal with full accommodation at 300 K. </w:t>
      </w:r>
    </w:p>
    <w:p w:rsidR="000B19C9" w:rsidRDefault="000B19C9"/>
    <w:p w:rsidR="00867002" w:rsidRPr="00B93ABB" w:rsidRDefault="00867002">
      <w:pPr>
        <w:rPr>
          <w:b/>
          <w:i/>
        </w:rPr>
      </w:pPr>
      <w:r w:rsidRPr="00B93ABB">
        <w:rPr>
          <w:b/>
          <w:i/>
        </w:rPr>
        <w:t>Option 2</w:t>
      </w:r>
    </w:p>
    <w:p w:rsidR="00867002" w:rsidRDefault="00867002">
      <w:r>
        <w:t xml:space="preserve">The flow is two-dimensional, and the geometry is a 9 cm diameter circle that represents a cross section of a 9 cm diameter, 38 cm spanwise cylinder used in the experiment [13]. </w:t>
      </w:r>
    </w:p>
    <w:p w:rsidR="00867002" w:rsidRDefault="00867002"/>
    <w:p w:rsidR="000B19C9" w:rsidRDefault="00BF2FD6">
      <w:pPr>
        <w:rPr>
          <w:i/>
          <w:iCs/>
        </w:rPr>
      </w:pPr>
      <w:r>
        <w:rPr>
          <w:i/>
          <w:iCs/>
        </w:rPr>
        <w:t>5.2. Desired Output</w:t>
      </w:r>
    </w:p>
    <w:p w:rsidR="000B19C9" w:rsidRDefault="000B19C9"/>
    <w:p w:rsidR="000B19C9" w:rsidRDefault="00BF2FD6">
      <w:pPr>
        <w:jc w:val="both"/>
      </w:pPr>
      <w:r>
        <w:lastRenderedPageBreak/>
        <w:t xml:space="preserve">5.2.1. Overall surface properties (properties of the gas at the surface) along the double-cone surface as a function of X coordinate (to make them compatible with published measured results), in spreadsheet form and SI units. The surface properties of interest are </w:t>
      </w:r>
    </w:p>
    <w:p w:rsidR="000B19C9" w:rsidRDefault="00BF2FD6">
      <w:pPr>
        <w:numPr>
          <w:ilvl w:val="0"/>
          <w:numId w:val="5"/>
        </w:numPr>
        <w:jc w:val="both"/>
      </w:pPr>
      <w:r>
        <w:t>pressure (N/m</w:t>
      </w:r>
      <w:r>
        <w:rPr>
          <w:vertAlign w:val="superscript"/>
        </w:rPr>
        <w:t>2</w:t>
      </w:r>
      <w:r>
        <w:t>)</w:t>
      </w:r>
    </w:p>
    <w:p w:rsidR="000B19C9" w:rsidRDefault="00BF2FD6">
      <w:pPr>
        <w:numPr>
          <w:ilvl w:val="0"/>
          <w:numId w:val="5"/>
        </w:numPr>
        <w:jc w:val="both"/>
      </w:pPr>
      <w:r>
        <w:t>skin friction (N/m</w:t>
      </w:r>
      <w:r>
        <w:rPr>
          <w:vertAlign w:val="superscript"/>
        </w:rPr>
        <w:t>2</w:t>
      </w:r>
      <w:r>
        <w:t>)</w:t>
      </w:r>
    </w:p>
    <w:p w:rsidR="000B19C9" w:rsidRDefault="00BF2FD6">
      <w:pPr>
        <w:numPr>
          <w:ilvl w:val="0"/>
          <w:numId w:val="5"/>
        </w:numPr>
        <w:jc w:val="both"/>
      </w:pPr>
      <w:r>
        <w:t>heat flux (W/m</w:t>
      </w:r>
      <w:r>
        <w:rPr>
          <w:vertAlign w:val="superscript"/>
        </w:rPr>
        <w:t>2</w:t>
      </w:r>
      <w:r>
        <w:t>)</w:t>
      </w:r>
    </w:p>
    <w:p w:rsidR="000B19C9" w:rsidRDefault="000B19C9">
      <w:pPr>
        <w:jc w:val="both"/>
      </w:pPr>
    </w:p>
    <w:p w:rsidR="00AE2CF2" w:rsidRDefault="00BF2FD6" w:rsidP="008565BA">
      <w:pPr>
        <w:jc w:val="both"/>
        <w:outlineLvl w:val="0"/>
      </w:pPr>
      <w:r>
        <w:t xml:space="preserve">5.2.2. </w:t>
      </w:r>
      <w:r w:rsidR="00AE2CF2">
        <w:t>Gas properties</w:t>
      </w:r>
    </w:p>
    <w:p w:rsidR="00AE2CF2" w:rsidRPr="00B93ABB" w:rsidRDefault="00AE2CF2" w:rsidP="008565BA">
      <w:pPr>
        <w:jc w:val="both"/>
        <w:outlineLvl w:val="0"/>
        <w:rPr>
          <w:b/>
        </w:rPr>
      </w:pPr>
      <w:r w:rsidRPr="00B93ABB">
        <w:rPr>
          <w:b/>
        </w:rPr>
        <w:t>Option 1</w:t>
      </w:r>
    </w:p>
    <w:p w:rsidR="000B19C9" w:rsidRDefault="00BF2FD6" w:rsidP="008565BA">
      <w:pPr>
        <w:jc w:val="both"/>
        <w:outlineLvl w:val="0"/>
      </w:pPr>
      <w:r>
        <w:t xml:space="preserve">The following gas properties along the line Y=100 mm in spreadsheet form and SI units: </w:t>
      </w:r>
    </w:p>
    <w:p w:rsidR="000B19C9" w:rsidRDefault="00BF2FD6">
      <w:pPr>
        <w:numPr>
          <w:ilvl w:val="0"/>
          <w:numId w:val="6"/>
        </w:numPr>
        <w:jc w:val="both"/>
      </w:pPr>
      <w:r>
        <w:t>overall translational temperature (K)</w:t>
      </w:r>
    </w:p>
    <w:p w:rsidR="000B19C9" w:rsidRDefault="00BF2FD6">
      <w:pPr>
        <w:numPr>
          <w:ilvl w:val="0"/>
          <w:numId w:val="6"/>
        </w:numPr>
        <w:jc w:val="both"/>
      </w:pPr>
      <w:r>
        <w:t>overall number density (molecule/m</w:t>
      </w:r>
      <w:r>
        <w:rPr>
          <w:vertAlign w:val="superscript"/>
        </w:rPr>
        <w:t>3</w:t>
      </w:r>
      <w:r>
        <w:t>)</w:t>
      </w:r>
    </w:p>
    <w:p w:rsidR="000B19C9" w:rsidRDefault="00BF2FD6">
      <w:pPr>
        <w:numPr>
          <w:ilvl w:val="0"/>
          <w:numId w:val="6"/>
        </w:numPr>
        <w:jc w:val="both"/>
      </w:pPr>
      <w:r>
        <w:t xml:space="preserve">species mole fractions </w:t>
      </w:r>
    </w:p>
    <w:p w:rsidR="000B19C9" w:rsidRDefault="00BF2FD6">
      <w:pPr>
        <w:numPr>
          <w:ilvl w:val="0"/>
          <w:numId w:val="6"/>
        </w:numPr>
        <w:jc w:val="both"/>
      </w:pPr>
      <w:r>
        <w:t>species rotational temperature (K)</w:t>
      </w:r>
    </w:p>
    <w:p w:rsidR="000B19C9" w:rsidRDefault="00BF2FD6">
      <w:pPr>
        <w:numPr>
          <w:ilvl w:val="0"/>
          <w:numId w:val="6"/>
        </w:numPr>
        <w:jc w:val="both"/>
      </w:pPr>
      <w:r>
        <w:t>species vibrational temperature (K)</w:t>
      </w:r>
    </w:p>
    <w:p w:rsidR="000B19C9" w:rsidRDefault="00BF2FD6">
      <w:pPr>
        <w:numPr>
          <w:ilvl w:val="0"/>
          <w:numId w:val="6"/>
        </w:numPr>
        <w:jc w:val="both"/>
      </w:pPr>
      <w:r>
        <w:t>local Reynolds number</w:t>
      </w:r>
      <w:r w:rsidR="0023389F">
        <w:t xml:space="preserve"> based on the reference length of 131 mm</w:t>
      </w:r>
    </w:p>
    <w:p w:rsidR="00AE2CF2" w:rsidRDefault="00AE2CF2" w:rsidP="00AE2CF2">
      <w:pPr>
        <w:jc w:val="both"/>
        <w:outlineLvl w:val="0"/>
      </w:pPr>
    </w:p>
    <w:p w:rsidR="00AE2CF2" w:rsidRPr="00B93ABB" w:rsidRDefault="00AE2CF2" w:rsidP="00AE2CF2">
      <w:pPr>
        <w:jc w:val="both"/>
        <w:outlineLvl w:val="0"/>
        <w:rPr>
          <w:b/>
        </w:rPr>
      </w:pPr>
      <w:r w:rsidRPr="00B93ABB">
        <w:rPr>
          <w:b/>
        </w:rPr>
        <w:t>Option 2</w:t>
      </w:r>
    </w:p>
    <w:p w:rsidR="00AE2CF2" w:rsidRDefault="00AE2CF2" w:rsidP="00AE2CF2">
      <w:pPr>
        <w:jc w:val="both"/>
        <w:outlineLvl w:val="0"/>
      </w:pPr>
      <w:r>
        <w:t xml:space="preserve">The following gas properties along the </w:t>
      </w:r>
      <w:r w:rsidR="00B03703">
        <w:t>st</w:t>
      </w:r>
      <w:r w:rsidR="002C19A9">
        <w:t xml:space="preserve">agnation stream </w:t>
      </w:r>
      <w:r>
        <w:t xml:space="preserve">in spreadsheet form and SI units: </w:t>
      </w:r>
    </w:p>
    <w:p w:rsidR="00AE2CF2" w:rsidRDefault="00AE2CF2" w:rsidP="00AE2CF2">
      <w:pPr>
        <w:numPr>
          <w:ilvl w:val="0"/>
          <w:numId w:val="6"/>
        </w:numPr>
        <w:jc w:val="both"/>
      </w:pPr>
      <w:r>
        <w:t>overall translational temperature (K)</w:t>
      </w:r>
    </w:p>
    <w:p w:rsidR="00AE2CF2" w:rsidRDefault="00AE2CF2" w:rsidP="00AE2CF2">
      <w:pPr>
        <w:numPr>
          <w:ilvl w:val="0"/>
          <w:numId w:val="6"/>
        </w:numPr>
        <w:jc w:val="both"/>
      </w:pPr>
      <w:r>
        <w:t>overall number density (molecule/m</w:t>
      </w:r>
      <w:r>
        <w:rPr>
          <w:vertAlign w:val="superscript"/>
        </w:rPr>
        <w:t>3</w:t>
      </w:r>
      <w:r>
        <w:t>)</w:t>
      </w:r>
    </w:p>
    <w:p w:rsidR="00AE2CF2" w:rsidRDefault="00AE2CF2" w:rsidP="00AE2CF2">
      <w:pPr>
        <w:numPr>
          <w:ilvl w:val="0"/>
          <w:numId w:val="6"/>
        </w:numPr>
        <w:jc w:val="both"/>
      </w:pPr>
      <w:r>
        <w:t xml:space="preserve">species mole fractions </w:t>
      </w:r>
    </w:p>
    <w:p w:rsidR="00AE2CF2" w:rsidRDefault="00AE2CF2" w:rsidP="00AE2CF2">
      <w:pPr>
        <w:numPr>
          <w:ilvl w:val="0"/>
          <w:numId w:val="6"/>
        </w:numPr>
        <w:jc w:val="both"/>
      </w:pPr>
      <w:r>
        <w:t>species rotational temperature (K)</w:t>
      </w:r>
    </w:p>
    <w:p w:rsidR="00AE2CF2" w:rsidRDefault="00AE2CF2" w:rsidP="00AE2CF2">
      <w:pPr>
        <w:numPr>
          <w:ilvl w:val="0"/>
          <w:numId w:val="6"/>
        </w:numPr>
        <w:jc w:val="both"/>
      </w:pPr>
      <w:r>
        <w:t>species vibrational temperature (K)</w:t>
      </w:r>
    </w:p>
    <w:p w:rsidR="00AE2CF2" w:rsidRDefault="00AE2CF2" w:rsidP="00AE2CF2">
      <w:pPr>
        <w:numPr>
          <w:ilvl w:val="0"/>
          <w:numId w:val="6"/>
        </w:numPr>
        <w:jc w:val="both"/>
      </w:pPr>
      <w:r>
        <w:t xml:space="preserve">local Reynolds number based on the reference length of </w:t>
      </w:r>
      <w:r w:rsidR="002C19A9">
        <w:t>90</w:t>
      </w:r>
      <w:r>
        <w:t xml:space="preserve"> mm</w:t>
      </w:r>
    </w:p>
    <w:p w:rsidR="000B19C9" w:rsidRDefault="000B19C9">
      <w:pPr>
        <w:jc w:val="both"/>
      </w:pPr>
    </w:p>
    <w:p w:rsidR="00AE2CF2" w:rsidRDefault="00AE2CF2">
      <w:pPr>
        <w:jc w:val="both"/>
      </w:pPr>
    </w:p>
    <w:p w:rsidR="000B19C9" w:rsidRDefault="00BF2FD6">
      <w:pPr>
        <w:jc w:val="both"/>
      </w:pPr>
      <w:r>
        <w:t xml:space="preserve">5.2.3. </w:t>
      </w:r>
      <w:r w:rsidR="002C19A9" w:rsidRPr="00B93ABB">
        <w:rPr>
          <w:b/>
        </w:rPr>
        <w:t>Option 1</w:t>
      </w:r>
      <w:r w:rsidR="002C19A9">
        <w:t xml:space="preserve"> only: t</w:t>
      </w:r>
      <w:r>
        <w:t xml:space="preserve">he temporal change in </w:t>
      </w:r>
    </w:p>
    <w:p w:rsidR="000B19C9" w:rsidRDefault="00BF2FD6">
      <w:pPr>
        <w:numPr>
          <w:ilvl w:val="0"/>
          <w:numId w:val="8"/>
        </w:numPr>
        <w:jc w:val="both"/>
      </w:pPr>
      <w:r>
        <w:t>the number density a spatial point (X,Y)=(92mm,46mm)</w:t>
      </w:r>
    </w:p>
    <w:p w:rsidR="000B19C9" w:rsidRDefault="00BF2FD6">
      <w:pPr>
        <w:numPr>
          <w:ilvl w:val="0"/>
          <w:numId w:val="8"/>
        </w:numPr>
        <w:jc w:val="both"/>
      </w:pPr>
      <w:r>
        <w:t xml:space="preserve">heat flux </w:t>
      </w:r>
      <w:r w:rsidR="00461015">
        <w:t xml:space="preserve">along the surface </w:t>
      </w:r>
    </w:p>
    <w:p w:rsidR="000B19C9" w:rsidRDefault="000B19C9">
      <w:pPr>
        <w:jc w:val="both"/>
      </w:pPr>
    </w:p>
    <w:p w:rsidR="000B19C9" w:rsidRDefault="00BF2FD6" w:rsidP="008565BA">
      <w:pPr>
        <w:jc w:val="both"/>
        <w:outlineLvl w:val="0"/>
      </w:pPr>
      <w:r>
        <w:t xml:space="preserve">5.2.4. </w:t>
      </w:r>
      <w:proofErr w:type="spellStart"/>
      <w:r>
        <w:t>Flowfield</w:t>
      </w:r>
      <w:proofErr w:type="spellEnd"/>
      <w:r>
        <w:t xml:space="preserve"> data files suitable for 2D contour plotting with </w:t>
      </w:r>
      <w:proofErr w:type="spellStart"/>
      <w:r>
        <w:t>Tecplot</w:t>
      </w:r>
      <w:proofErr w:type="spellEnd"/>
      <w:r>
        <w:t>. Variables of interest are similar to those given in 5.2.2.</w:t>
      </w:r>
    </w:p>
    <w:p w:rsidR="000B19C9" w:rsidRDefault="000B19C9">
      <w:pPr>
        <w:jc w:val="both"/>
      </w:pPr>
    </w:p>
    <w:p w:rsidR="000B19C9" w:rsidRDefault="00BF2FD6">
      <w:pPr>
        <w:jc w:val="both"/>
      </w:pPr>
      <w:r>
        <w:t xml:space="preserve">5.2.5. A summary of the problem setup and solution procedure. Basic assumptions and models used, such as thermodynamic and transport data, collision models (elastic, inelastic, and reacting collisions), boundary condition description, grid sizes, as well as convergence criteria. An expert opinion as to the validity of the results, or any indicators that suggest the code or its algorithms or models may not be applicable to the problem. </w:t>
      </w:r>
    </w:p>
    <w:p w:rsidR="000B19C9" w:rsidRDefault="000B19C9">
      <w:pPr>
        <w:jc w:val="both"/>
      </w:pPr>
    </w:p>
    <w:p w:rsidR="000B19C9" w:rsidRDefault="00BF2FD6">
      <w:pPr>
        <w:jc w:val="both"/>
      </w:pPr>
      <w:r>
        <w:t>5.2.6. An estimate of computational resources required (platform, memory, number of processors and CPU-time), and of the problem setup and postprocessing time (man-hours).</w:t>
      </w:r>
    </w:p>
    <w:p w:rsidR="000B19C9" w:rsidRDefault="000B19C9"/>
    <w:p w:rsidR="000B19C9" w:rsidRDefault="00BF2FD6">
      <w:pPr>
        <w:rPr>
          <w:i/>
          <w:iCs/>
        </w:rPr>
      </w:pPr>
      <w:r>
        <w:rPr>
          <w:i/>
          <w:iCs/>
        </w:rPr>
        <w:t>5.3. Run Matrix</w:t>
      </w:r>
    </w:p>
    <w:p w:rsidR="000B19C9" w:rsidRDefault="00BF2FD6">
      <w:pPr>
        <w:jc w:val="both"/>
      </w:pPr>
      <w:r>
        <w:t xml:space="preserve">The run matrix is given in Table </w:t>
      </w:r>
      <w:r w:rsidR="008359F1">
        <w:t>5</w:t>
      </w:r>
      <w:r w:rsidR="002C19A9">
        <w:t xml:space="preserve"> for </w:t>
      </w:r>
      <w:r w:rsidR="002C19A9" w:rsidRPr="00B93ABB">
        <w:rPr>
          <w:b/>
        </w:rPr>
        <w:t>Option 1</w:t>
      </w:r>
      <w:r w:rsidR="002C19A9">
        <w:t xml:space="preserve"> and Table 6 for </w:t>
      </w:r>
      <w:r w:rsidR="002C19A9" w:rsidRPr="00B93ABB">
        <w:rPr>
          <w:b/>
        </w:rPr>
        <w:t>Option 2</w:t>
      </w:r>
      <w:r>
        <w:t xml:space="preserve">. Symbol </w:t>
      </w:r>
      <w:r>
        <w:rPr>
          <w:rFonts w:cs="Tahoma"/>
        </w:rPr>
        <w:t>∞</w:t>
      </w:r>
      <w:r>
        <w:t xml:space="preserve"> denotes here the equilibrium free stream condition. </w:t>
      </w:r>
    </w:p>
    <w:p w:rsidR="000B19C9" w:rsidRDefault="000B19C9"/>
    <w:tbl>
      <w:tblPr>
        <w:tblW w:w="9972" w:type="dxa"/>
        <w:tblInd w:w="2"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firstRow="1" w:lastRow="0" w:firstColumn="1" w:lastColumn="0" w:noHBand="0" w:noVBand="1"/>
      </w:tblPr>
      <w:tblGrid>
        <w:gridCol w:w="1483"/>
        <w:gridCol w:w="2117"/>
        <w:gridCol w:w="1389"/>
        <w:gridCol w:w="1662"/>
        <w:gridCol w:w="1661"/>
        <w:gridCol w:w="1660"/>
      </w:tblGrid>
      <w:tr w:rsidR="000B19C9" w:rsidTr="00EB2177">
        <w:tc>
          <w:tcPr>
            <w:tcW w:w="1483" w:type="dxa"/>
            <w:tcBorders>
              <w:top w:val="single" w:sz="2" w:space="0" w:color="000001"/>
              <w:left w:val="single" w:sz="2" w:space="0" w:color="000001"/>
              <w:bottom w:val="single" w:sz="2" w:space="0" w:color="000001"/>
            </w:tcBorders>
            <w:shd w:val="clear" w:color="auto" w:fill="FFFFFF"/>
            <w:tcMar>
              <w:left w:w="45" w:type="dxa"/>
            </w:tcMar>
          </w:tcPr>
          <w:p w:rsidR="000B19C9" w:rsidRDefault="00BF2FD6">
            <w:pPr>
              <w:pStyle w:val="TableContents"/>
              <w:jc w:val="center"/>
            </w:pPr>
            <w:r>
              <w:t>Test Case</w:t>
            </w:r>
          </w:p>
        </w:tc>
        <w:tc>
          <w:tcPr>
            <w:tcW w:w="2117" w:type="dxa"/>
            <w:tcBorders>
              <w:top w:val="single" w:sz="2" w:space="0" w:color="000001"/>
              <w:left w:val="single" w:sz="2" w:space="0" w:color="000001"/>
              <w:bottom w:val="single" w:sz="2" w:space="0" w:color="000001"/>
            </w:tcBorders>
            <w:shd w:val="clear" w:color="auto" w:fill="FFFFFF"/>
            <w:tcMar>
              <w:left w:w="45" w:type="dxa"/>
            </w:tcMar>
          </w:tcPr>
          <w:p w:rsidR="000B19C9" w:rsidRDefault="00BF2FD6">
            <w:pPr>
              <w:pStyle w:val="TableContents"/>
              <w:jc w:val="center"/>
            </w:pPr>
            <w:r>
              <w:t>Free Stream Gas</w:t>
            </w:r>
          </w:p>
        </w:tc>
        <w:tc>
          <w:tcPr>
            <w:tcW w:w="1389" w:type="dxa"/>
            <w:tcBorders>
              <w:top w:val="single" w:sz="2" w:space="0" w:color="000001"/>
              <w:left w:val="single" w:sz="2" w:space="0" w:color="000001"/>
              <w:bottom w:val="single" w:sz="2" w:space="0" w:color="000001"/>
            </w:tcBorders>
            <w:shd w:val="clear" w:color="auto" w:fill="FFFFFF"/>
            <w:tcMar>
              <w:left w:w="45" w:type="dxa"/>
            </w:tcMar>
          </w:tcPr>
          <w:p w:rsidR="000B19C9" w:rsidRDefault="00BF2FD6">
            <w:pPr>
              <w:pStyle w:val="TableContents"/>
              <w:jc w:val="center"/>
            </w:pPr>
            <w:r>
              <w:rPr>
                <w:rFonts w:ascii="Symbol" w:hAnsi="Symbol"/>
              </w:rPr>
              <w:t></w:t>
            </w:r>
            <w:r>
              <w:rPr>
                <w:rFonts w:cs="Tahoma"/>
                <w:vertAlign w:val="subscript"/>
              </w:rPr>
              <w:t>∞</w:t>
            </w:r>
            <w:r>
              <w:rPr>
                <w:rFonts w:cs="Tahoma"/>
              </w:rPr>
              <w:t>, kg/m</w:t>
            </w:r>
            <w:r>
              <w:rPr>
                <w:rFonts w:cs="Tahoma"/>
                <w:vertAlign w:val="superscript"/>
              </w:rPr>
              <w:t>3</w:t>
            </w:r>
          </w:p>
        </w:tc>
        <w:tc>
          <w:tcPr>
            <w:tcW w:w="1662" w:type="dxa"/>
            <w:tcBorders>
              <w:top w:val="single" w:sz="2" w:space="0" w:color="000001"/>
              <w:left w:val="single" w:sz="2" w:space="0" w:color="000001"/>
              <w:bottom w:val="single" w:sz="2" w:space="0" w:color="000001"/>
            </w:tcBorders>
            <w:shd w:val="clear" w:color="auto" w:fill="FFFFFF"/>
            <w:tcMar>
              <w:left w:w="45" w:type="dxa"/>
            </w:tcMar>
          </w:tcPr>
          <w:p w:rsidR="000B19C9" w:rsidRDefault="00BF2FD6">
            <w:pPr>
              <w:pStyle w:val="TableContents"/>
              <w:jc w:val="center"/>
            </w:pPr>
            <w:r>
              <w:t>U</w:t>
            </w:r>
            <w:r>
              <w:rPr>
                <w:rFonts w:cs="Tahoma"/>
                <w:vertAlign w:val="subscript"/>
              </w:rPr>
              <w:t>∞</w:t>
            </w:r>
            <w:r>
              <w:rPr>
                <w:rFonts w:cs="Tahoma"/>
              </w:rPr>
              <w:t>, m/s</w:t>
            </w:r>
          </w:p>
        </w:tc>
        <w:tc>
          <w:tcPr>
            <w:tcW w:w="1661" w:type="dxa"/>
            <w:tcBorders>
              <w:top w:val="single" w:sz="2" w:space="0" w:color="000001"/>
              <w:left w:val="single" w:sz="2" w:space="0" w:color="000001"/>
              <w:bottom w:val="single" w:sz="2" w:space="0" w:color="000001"/>
            </w:tcBorders>
            <w:shd w:val="clear" w:color="auto" w:fill="FFFFFF"/>
            <w:tcMar>
              <w:left w:w="45" w:type="dxa"/>
            </w:tcMar>
          </w:tcPr>
          <w:p w:rsidR="000B19C9" w:rsidRDefault="00BF2FD6">
            <w:pPr>
              <w:pStyle w:val="TableContents"/>
              <w:jc w:val="center"/>
            </w:pPr>
            <w:r>
              <w:t>T</w:t>
            </w:r>
            <w:r>
              <w:rPr>
                <w:rFonts w:cs="Tahoma"/>
                <w:vertAlign w:val="subscript"/>
              </w:rPr>
              <w:t>∞</w:t>
            </w:r>
            <w:r>
              <w:rPr>
                <w:rFonts w:cs="Tahoma"/>
              </w:rPr>
              <w:t>, K</w:t>
            </w:r>
          </w:p>
        </w:tc>
        <w:tc>
          <w:tcPr>
            <w:tcW w:w="166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0B19C9" w:rsidRDefault="00BF2FD6">
            <w:pPr>
              <w:pStyle w:val="TableContents"/>
              <w:jc w:val="center"/>
            </w:pPr>
            <w:proofErr w:type="spellStart"/>
            <w:r>
              <w:t>Kn</w:t>
            </w:r>
            <w:proofErr w:type="spellEnd"/>
          </w:p>
        </w:tc>
      </w:tr>
      <w:tr w:rsidR="000B19C9" w:rsidTr="00EB2177">
        <w:tc>
          <w:tcPr>
            <w:tcW w:w="1483" w:type="dxa"/>
            <w:tcBorders>
              <w:top w:val="single" w:sz="2" w:space="0" w:color="000001"/>
              <w:left w:val="single" w:sz="2" w:space="0" w:color="000001"/>
              <w:bottom w:val="single" w:sz="2" w:space="0" w:color="000001"/>
            </w:tcBorders>
            <w:shd w:val="clear" w:color="auto" w:fill="FFFFFF"/>
            <w:tcMar>
              <w:left w:w="45" w:type="dxa"/>
            </w:tcMar>
          </w:tcPr>
          <w:p w:rsidR="000B19C9" w:rsidRDefault="00BF2FD6">
            <w:pPr>
              <w:pStyle w:val="TableContents"/>
              <w:jc w:val="center"/>
            </w:pPr>
            <w:r>
              <w:lastRenderedPageBreak/>
              <w:t>TC3.1</w:t>
            </w:r>
          </w:p>
        </w:tc>
        <w:tc>
          <w:tcPr>
            <w:tcW w:w="2117" w:type="dxa"/>
            <w:tcBorders>
              <w:top w:val="single" w:sz="2" w:space="0" w:color="000001"/>
              <w:left w:val="single" w:sz="2" w:space="0" w:color="000001"/>
              <w:bottom w:val="single" w:sz="2" w:space="0" w:color="000001"/>
            </w:tcBorders>
            <w:shd w:val="clear" w:color="auto" w:fill="FFFFFF"/>
            <w:tcMar>
              <w:left w:w="45" w:type="dxa"/>
            </w:tcMar>
          </w:tcPr>
          <w:p w:rsidR="000B19C9" w:rsidRDefault="00BF2FD6">
            <w:pPr>
              <w:pStyle w:val="TableContents"/>
              <w:jc w:val="center"/>
            </w:pPr>
            <w:r>
              <w:t>76.5% N</w:t>
            </w:r>
            <w:r>
              <w:rPr>
                <w:vertAlign w:val="subscript"/>
              </w:rPr>
              <w:t>2</w:t>
            </w:r>
            <w:r>
              <w:t xml:space="preserve"> &amp; 23.5% O</w:t>
            </w:r>
            <w:r>
              <w:rPr>
                <w:vertAlign w:val="subscript"/>
              </w:rPr>
              <w:t>2</w:t>
            </w:r>
          </w:p>
        </w:tc>
        <w:tc>
          <w:tcPr>
            <w:tcW w:w="1389" w:type="dxa"/>
            <w:tcBorders>
              <w:top w:val="single" w:sz="2" w:space="0" w:color="000001"/>
              <w:left w:val="single" w:sz="2" w:space="0" w:color="000001"/>
              <w:bottom w:val="single" w:sz="2" w:space="0" w:color="000001"/>
            </w:tcBorders>
            <w:shd w:val="clear" w:color="auto" w:fill="FFFFFF"/>
            <w:tcMar>
              <w:left w:w="45" w:type="dxa"/>
            </w:tcMar>
          </w:tcPr>
          <w:p w:rsidR="000B19C9" w:rsidRDefault="00BF2FD6">
            <w:pPr>
              <w:pStyle w:val="TableContents"/>
              <w:jc w:val="center"/>
            </w:pPr>
            <w:r>
              <w:t>4.99</w:t>
            </w:r>
            <w:r>
              <w:rPr>
                <w:rFonts w:cs="Tahoma"/>
              </w:rPr>
              <w:t>∙</w:t>
            </w:r>
            <w:r>
              <w:t>10</w:t>
            </w:r>
            <w:r>
              <w:rPr>
                <w:vertAlign w:val="superscript"/>
              </w:rPr>
              <w:t>-4</w:t>
            </w:r>
          </w:p>
        </w:tc>
        <w:tc>
          <w:tcPr>
            <w:tcW w:w="1662" w:type="dxa"/>
            <w:tcBorders>
              <w:top w:val="single" w:sz="2" w:space="0" w:color="000001"/>
              <w:left w:val="single" w:sz="2" w:space="0" w:color="000001"/>
              <w:bottom w:val="single" w:sz="2" w:space="0" w:color="000001"/>
            </w:tcBorders>
            <w:shd w:val="clear" w:color="auto" w:fill="FFFFFF"/>
            <w:tcMar>
              <w:left w:w="45" w:type="dxa"/>
            </w:tcMar>
          </w:tcPr>
          <w:p w:rsidR="000B19C9" w:rsidRDefault="00BF2FD6">
            <w:pPr>
              <w:pStyle w:val="TableContents"/>
              <w:jc w:val="center"/>
            </w:pPr>
            <w:r>
              <w:t>3,246</w:t>
            </w:r>
          </w:p>
        </w:tc>
        <w:tc>
          <w:tcPr>
            <w:tcW w:w="1661" w:type="dxa"/>
            <w:tcBorders>
              <w:top w:val="single" w:sz="2" w:space="0" w:color="000001"/>
              <w:left w:val="single" w:sz="2" w:space="0" w:color="000001"/>
              <w:bottom w:val="single" w:sz="2" w:space="0" w:color="000001"/>
            </w:tcBorders>
            <w:shd w:val="clear" w:color="auto" w:fill="FFFFFF"/>
            <w:tcMar>
              <w:left w:w="45" w:type="dxa"/>
            </w:tcMar>
          </w:tcPr>
          <w:p w:rsidR="000B19C9" w:rsidRDefault="00BF2FD6">
            <w:pPr>
              <w:pStyle w:val="TableContents"/>
              <w:jc w:val="center"/>
            </w:pPr>
            <w:r>
              <w:t>175</w:t>
            </w:r>
          </w:p>
        </w:tc>
        <w:tc>
          <w:tcPr>
            <w:tcW w:w="166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0B19C9" w:rsidRDefault="00BF2FD6">
            <w:pPr>
              <w:pStyle w:val="TableContents"/>
              <w:jc w:val="center"/>
            </w:pPr>
            <w:r>
              <w:t>7.7e-4</w:t>
            </w:r>
          </w:p>
        </w:tc>
      </w:tr>
      <w:tr w:rsidR="000B19C9" w:rsidTr="00EB2177">
        <w:tc>
          <w:tcPr>
            <w:tcW w:w="1483" w:type="dxa"/>
            <w:tcBorders>
              <w:top w:val="single" w:sz="2" w:space="0" w:color="000001"/>
              <w:left w:val="single" w:sz="2" w:space="0" w:color="000001"/>
              <w:bottom w:val="single" w:sz="2" w:space="0" w:color="000001"/>
            </w:tcBorders>
            <w:shd w:val="clear" w:color="auto" w:fill="FFFFFF"/>
            <w:tcMar>
              <w:left w:w="45" w:type="dxa"/>
            </w:tcMar>
          </w:tcPr>
          <w:p w:rsidR="000B19C9" w:rsidRDefault="00BF2FD6">
            <w:pPr>
              <w:pStyle w:val="TableContents"/>
              <w:jc w:val="center"/>
            </w:pPr>
            <w:r>
              <w:t>TC3.2</w:t>
            </w:r>
          </w:p>
        </w:tc>
        <w:tc>
          <w:tcPr>
            <w:tcW w:w="2117" w:type="dxa"/>
            <w:tcBorders>
              <w:top w:val="single" w:sz="2" w:space="0" w:color="000001"/>
              <w:left w:val="single" w:sz="2" w:space="0" w:color="000001"/>
              <w:bottom w:val="single" w:sz="2" w:space="0" w:color="000001"/>
            </w:tcBorders>
            <w:shd w:val="clear" w:color="auto" w:fill="FFFFFF"/>
            <w:tcMar>
              <w:left w:w="45" w:type="dxa"/>
            </w:tcMar>
          </w:tcPr>
          <w:p w:rsidR="000B19C9" w:rsidRDefault="00BF2FD6">
            <w:pPr>
              <w:pStyle w:val="TableContents"/>
              <w:jc w:val="center"/>
            </w:pPr>
            <w:r>
              <w:t>76.5% N</w:t>
            </w:r>
            <w:r>
              <w:rPr>
                <w:vertAlign w:val="subscript"/>
              </w:rPr>
              <w:t>2</w:t>
            </w:r>
            <w:r>
              <w:t xml:space="preserve"> &amp; 23.5% O</w:t>
            </w:r>
            <w:r>
              <w:rPr>
                <w:vertAlign w:val="subscript"/>
              </w:rPr>
              <w:t>2</w:t>
            </w:r>
          </w:p>
        </w:tc>
        <w:tc>
          <w:tcPr>
            <w:tcW w:w="1389" w:type="dxa"/>
            <w:tcBorders>
              <w:top w:val="single" w:sz="2" w:space="0" w:color="000001"/>
              <w:left w:val="single" w:sz="2" w:space="0" w:color="000001"/>
              <w:bottom w:val="single" w:sz="2" w:space="0" w:color="000001"/>
            </w:tcBorders>
            <w:shd w:val="clear" w:color="auto" w:fill="FFFFFF"/>
            <w:tcMar>
              <w:left w:w="45" w:type="dxa"/>
            </w:tcMar>
          </w:tcPr>
          <w:p w:rsidR="000B19C9" w:rsidRDefault="00BF2FD6">
            <w:pPr>
              <w:pStyle w:val="TableContents"/>
              <w:jc w:val="center"/>
            </w:pPr>
            <w:r>
              <w:t>9.64</w:t>
            </w:r>
            <w:r>
              <w:rPr>
                <w:rFonts w:cs="Tahoma"/>
              </w:rPr>
              <w:t>∙</w:t>
            </w:r>
            <w:r>
              <w:t>10</w:t>
            </w:r>
            <w:r>
              <w:rPr>
                <w:vertAlign w:val="superscript"/>
              </w:rPr>
              <w:t>-4</w:t>
            </w:r>
          </w:p>
        </w:tc>
        <w:tc>
          <w:tcPr>
            <w:tcW w:w="1662" w:type="dxa"/>
            <w:tcBorders>
              <w:top w:val="single" w:sz="2" w:space="0" w:color="000001"/>
              <w:left w:val="single" w:sz="2" w:space="0" w:color="000001"/>
              <w:bottom w:val="single" w:sz="2" w:space="0" w:color="000001"/>
            </w:tcBorders>
            <w:shd w:val="clear" w:color="auto" w:fill="FFFFFF"/>
            <w:tcMar>
              <w:left w:w="45" w:type="dxa"/>
            </w:tcMar>
          </w:tcPr>
          <w:p w:rsidR="000B19C9" w:rsidRDefault="00BF2FD6">
            <w:pPr>
              <w:pStyle w:val="TableContents"/>
              <w:jc w:val="center"/>
            </w:pPr>
            <w:r>
              <w:t>6,497</w:t>
            </w:r>
          </w:p>
        </w:tc>
        <w:tc>
          <w:tcPr>
            <w:tcW w:w="1661" w:type="dxa"/>
            <w:tcBorders>
              <w:top w:val="single" w:sz="2" w:space="0" w:color="000001"/>
              <w:left w:val="single" w:sz="2" w:space="0" w:color="000001"/>
              <w:bottom w:val="single" w:sz="2" w:space="0" w:color="000001"/>
            </w:tcBorders>
            <w:shd w:val="clear" w:color="auto" w:fill="FFFFFF"/>
            <w:tcMar>
              <w:left w:w="45" w:type="dxa"/>
            </w:tcMar>
          </w:tcPr>
          <w:p w:rsidR="000B19C9" w:rsidRDefault="00BF2FD6">
            <w:pPr>
              <w:pStyle w:val="TableContents"/>
              <w:jc w:val="center"/>
            </w:pPr>
            <w:r>
              <w:t>652</w:t>
            </w:r>
          </w:p>
        </w:tc>
        <w:tc>
          <w:tcPr>
            <w:tcW w:w="166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0B19C9" w:rsidRDefault="00BF2FD6">
            <w:pPr>
              <w:pStyle w:val="TableContents"/>
              <w:jc w:val="center"/>
            </w:pPr>
            <w:r>
              <w:t>2.5e-4</w:t>
            </w:r>
          </w:p>
        </w:tc>
      </w:tr>
      <w:tr w:rsidR="000B19C9" w:rsidTr="00EB2177">
        <w:tc>
          <w:tcPr>
            <w:tcW w:w="1483" w:type="dxa"/>
            <w:tcBorders>
              <w:left w:val="single" w:sz="2" w:space="0" w:color="000001"/>
              <w:bottom w:val="single" w:sz="2" w:space="0" w:color="000001"/>
            </w:tcBorders>
            <w:shd w:val="clear" w:color="auto" w:fill="FFFFFF"/>
            <w:tcMar>
              <w:left w:w="45" w:type="dxa"/>
            </w:tcMar>
          </w:tcPr>
          <w:p w:rsidR="000B19C9" w:rsidRDefault="00BF2FD6">
            <w:pPr>
              <w:pStyle w:val="TableContents"/>
              <w:jc w:val="center"/>
            </w:pPr>
            <w:r>
              <w:t>TC3.3</w:t>
            </w:r>
          </w:p>
        </w:tc>
        <w:tc>
          <w:tcPr>
            <w:tcW w:w="8489" w:type="dxa"/>
            <w:gridSpan w:val="5"/>
            <w:tcBorders>
              <w:left w:val="single" w:sz="2" w:space="0" w:color="000001"/>
              <w:bottom w:val="single" w:sz="2" w:space="0" w:color="000001"/>
              <w:right w:val="single" w:sz="2" w:space="0" w:color="000001"/>
            </w:tcBorders>
            <w:shd w:val="clear" w:color="auto" w:fill="FFFFFF"/>
            <w:tcMar>
              <w:left w:w="45" w:type="dxa"/>
            </w:tcMar>
          </w:tcPr>
          <w:p w:rsidR="000B19C9" w:rsidRDefault="00BF2FD6">
            <w:pPr>
              <w:pStyle w:val="TableContents"/>
              <w:jc w:val="center"/>
            </w:pPr>
            <w:bookmarkStart w:id="2" w:name="__DdeLink__2086_373398804"/>
            <w:r>
              <w:t xml:space="preserve">All free stream conditions of TC3.2; </w:t>
            </w:r>
            <w:bookmarkEnd w:id="2"/>
            <w:r>
              <w:t>Chemical reactions turned off</w:t>
            </w:r>
          </w:p>
        </w:tc>
      </w:tr>
      <w:tr w:rsidR="000B19C9" w:rsidTr="00EB2177">
        <w:tc>
          <w:tcPr>
            <w:tcW w:w="1483" w:type="dxa"/>
            <w:tcBorders>
              <w:left w:val="single" w:sz="2" w:space="0" w:color="000001"/>
              <w:bottom w:val="single" w:sz="2" w:space="0" w:color="000001"/>
            </w:tcBorders>
            <w:shd w:val="clear" w:color="auto" w:fill="FFFFFF"/>
            <w:tcMar>
              <w:left w:w="45" w:type="dxa"/>
            </w:tcMar>
          </w:tcPr>
          <w:p w:rsidR="000B19C9" w:rsidRDefault="00BF2FD6">
            <w:pPr>
              <w:pStyle w:val="TableContents"/>
              <w:jc w:val="center"/>
            </w:pPr>
            <w:r>
              <w:t>TC3.4</w:t>
            </w:r>
          </w:p>
        </w:tc>
        <w:tc>
          <w:tcPr>
            <w:tcW w:w="8489" w:type="dxa"/>
            <w:gridSpan w:val="5"/>
            <w:tcBorders>
              <w:left w:val="single" w:sz="2" w:space="0" w:color="000001"/>
              <w:bottom w:val="single" w:sz="2" w:space="0" w:color="000001"/>
              <w:right w:val="single" w:sz="2" w:space="0" w:color="000001"/>
            </w:tcBorders>
            <w:shd w:val="clear" w:color="auto" w:fill="FFFFFF"/>
            <w:tcMar>
              <w:left w:w="45" w:type="dxa"/>
            </w:tcMar>
          </w:tcPr>
          <w:p w:rsidR="000B19C9" w:rsidRDefault="00BF2FD6">
            <w:pPr>
              <w:pStyle w:val="TableContents"/>
              <w:jc w:val="center"/>
            </w:pPr>
            <w:r>
              <w:t>All free stream conditions of TC3.2; Perfect gas</w:t>
            </w:r>
            <w:r>
              <w:rPr>
                <w:vertAlign w:val="superscript"/>
              </w:rPr>
              <w:t>*</w:t>
            </w:r>
            <w:r>
              <w:t xml:space="preserve"> with specific heat ratio of 1.4</w:t>
            </w:r>
          </w:p>
        </w:tc>
      </w:tr>
    </w:tbl>
    <w:p w:rsidR="000B19C9" w:rsidRDefault="00BF2FD6">
      <w:pPr>
        <w:jc w:val="center"/>
        <w:rPr>
          <w:i/>
          <w:iCs/>
        </w:rPr>
      </w:pPr>
      <w:r>
        <w:rPr>
          <w:i/>
          <w:iCs/>
        </w:rPr>
        <w:t xml:space="preserve">Table </w:t>
      </w:r>
      <w:r w:rsidR="008359F1">
        <w:rPr>
          <w:i/>
          <w:iCs/>
        </w:rPr>
        <w:t>5</w:t>
      </w:r>
      <w:r>
        <w:rPr>
          <w:i/>
          <w:iCs/>
        </w:rPr>
        <w:t xml:space="preserve">. Cases TC3.1 and TC3.2 correspond to experimental cases Run 1 and Run 4 of </w:t>
      </w:r>
    </w:p>
    <w:p w:rsidR="000B19C9" w:rsidRDefault="00BF2FD6">
      <w:pPr>
        <w:jc w:val="center"/>
      </w:pPr>
      <w:r>
        <w:rPr>
          <w:i/>
          <w:iCs/>
        </w:rPr>
        <w:t>Ref. [6], respectively.  Knudsen numbers are based on the double cone radius of 131</w:t>
      </w:r>
      <w:r w:rsidR="0023389F">
        <w:rPr>
          <w:i/>
          <w:iCs/>
        </w:rPr>
        <w:t xml:space="preserve"> m</w:t>
      </w:r>
      <w:r>
        <w:rPr>
          <w:i/>
          <w:iCs/>
        </w:rPr>
        <w:t xml:space="preserve">m. </w:t>
      </w:r>
    </w:p>
    <w:p w:rsidR="000B19C9" w:rsidRDefault="00BF2FD6" w:rsidP="007A3F94">
      <w:pPr>
        <w:jc w:val="both"/>
      </w:pPr>
      <w:r>
        <w:rPr>
          <w:vertAlign w:val="superscript"/>
        </w:rPr>
        <w:t>*</w:t>
      </w:r>
      <w:r>
        <w:t xml:space="preserve"> In DSMC, perfect gas should be modeled as gas mixture with only translational and </w:t>
      </w:r>
      <w:r w:rsidR="000F29B8">
        <w:t>r</w:t>
      </w:r>
      <w:r>
        <w:t>otational modes active</w:t>
      </w:r>
    </w:p>
    <w:p w:rsidR="009068F6" w:rsidRDefault="009068F6" w:rsidP="00B93ABB">
      <w:pPr>
        <w:pStyle w:val="Caption"/>
        <w:keepNext/>
      </w:pPr>
    </w:p>
    <w:tbl>
      <w:tblPr>
        <w:tblW w:w="9972" w:type="dxa"/>
        <w:tblInd w:w="-3"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firstRow="1" w:lastRow="0" w:firstColumn="1" w:lastColumn="0" w:noHBand="0" w:noVBand="1"/>
        <w:tblCaption w:val="Table 5. Cases TC3.1 and TC3.2 correspond to experimental cases Run 1 and Run 4 of "/>
      </w:tblPr>
      <w:tblGrid>
        <w:gridCol w:w="1350"/>
        <w:gridCol w:w="2430"/>
        <w:gridCol w:w="1209"/>
        <w:gridCol w:w="1662"/>
        <w:gridCol w:w="1661"/>
        <w:gridCol w:w="1660"/>
      </w:tblGrid>
      <w:tr w:rsidR="002C19A9" w:rsidTr="00B93ABB">
        <w:tc>
          <w:tcPr>
            <w:tcW w:w="1350" w:type="dxa"/>
            <w:tcBorders>
              <w:top w:val="single" w:sz="2" w:space="0" w:color="000001"/>
              <w:left w:val="single" w:sz="2" w:space="0" w:color="000001"/>
              <w:bottom w:val="single" w:sz="2" w:space="0" w:color="000001"/>
            </w:tcBorders>
            <w:shd w:val="clear" w:color="auto" w:fill="FFFFFF"/>
            <w:tcMar>
              <w:left w:w="45" w:type="dxa"/>
            </w:tcMar>
          </w:tcPr>
          <w:p w:rsidR="002C19A9" w:rsidRDefault="002C19A9" w:rsidP="006F7935">
            <w:pPr>
              <w:pStyle w:val="TableContents"/>
              <w:jc w:val="center"/>
            </w:pPr>
            <w:r>
              <w:t>Test Case</w:t>
            </w:r>
          </w:p>
        </w:tc>
        <w:tc>
          <w:tcPr>
            <w:tcW w:w="2430" w:type="dxa"/>
            <w:tcBorders>
              <w:top w:val="single" w:sz="2" w:space="0" w:color="000001"/>
              <w:left w:val="single" w:sz="2" w:space="0" w:color="000001"/>
              <w:bottom w:val="single" w:sz="2" w:space="0" w:color="000001"/>
            </w:tcBorders>
            <w:shd w:val="clear" w:color="auto" w:fill="FFFFFF"/>
            <w:tcMar>
              <w:left w:w="45" w:type="dxa"/>
            </w:tcMar>
          </w:tcPr>
          <w:p w:rsidR="002C19A9" w:rsidRDefault="002C19A9" w:rsidP="006F7935">
            <w:pPr>
              <w:pStyle w:val="TableContents"/>
              <w:jc w:val="center"/>
            </w:pPr>
            <w:r>
              <w:t>Free Stream Gas</w:t>
            </w:r>
          </w:p>
        </w:tc>
        <w:tc>
          <w:tcPr>
            <w:tcW w:w="1209" w:type="dxa"/>
            <w:tcBorders>
              <w:top w:val="single" w:sz="2" w:space="0" w:color="000001"/>
              <w:left w:val="single" w:sz="2" w:space="0" w:color="000001"/>
              <w:bottom w:val="single" w:sz="2" w:space="0" w:color="000001"/>
            </w:tcBorders>
            <w:shd w:val="clear" w:color="auto" w:fill="FFFFFF"/>
            <w:tcMar>
              <w:left w:w="45" w:type="dxa"/>
            </w:tcMar>
          </w:tcPr>
          <w:p w:rsidR="002C19A9" w:rsidRDefault="00A16EB4" w:rsidP="006F7935">
            <w:pPr>
              <w:pStyle w:val="TableContents"/>
              <w:jc w:val="center"/>
            </w:pPr>
            <w:r w:rsidRPr="00B93ABB">
              <w:rPr>
                <w:rFonts w:cs="Tahoma"/>
              </w:rPr>
              <w:t>p, Pa</w:t>
            </w:r>
          </w:p>
        </w:tc>
        <w:tc>
          <w:tcPr>
            <w:tcW w:w="1662" w:type="dxa"/>
            <w:tcBorders>
              <w:top w:val="single" w:sz="2" w:space="0" w:color="000001"/>
              <w:left w:val="single" w:sz="2" w:space="0" w:color="000001"/>
              <w:bottom w:val="single" w:sz="2" w:space="0" w:color="000001"/>
            </w:tcBorders>
            <w:shd w:val="clear" w:color="auto" w:fill="FFFFFF"/>
            <w:tcMar>
              <w:left w:w="45" w:type="dxa"/>
            </w:tcMar>
          </w:tcPr>
          <w:p w:rsidR="002C19A9" w:rsidRDefault="002C19A9" w:rsidP="006F7935">
            <w:pPr>
              <w:pStyle w:val="TableContents"/>
              <w:jc w:val="center"/>
            </w:pPr>
            <w:r>
              <w:t>U</w:t>
            </w:r>
            <w:r>
              <w:rPr>
                <w:rFonts w:cs="Tahoma"/>
                <w:vertAlign w:val="subscript"/>
              </w:rPr>
              <w:t>∞</w:t>
            </w:r>
            <w:r>
              <w:rPr>
                <w:rFonts w:cs="Tahoma"/>
              </w:rPr>
              <w:t>, m/s</w:t>
            </w:r>
          </w:p>
        </w:tc>
        <w:tc>
          <w:tcPr>
            <w:tcW w:w="1661" w:type="dxa"/>
            <w:tcBorders>
              <w:top w:val="single" w:sz="2" w:space="0" w:color="000001"/>
              <w:left w:val="single" w:sz="2" w:space="0" w:color="000001"/>
              <w:bottom w:val="single" w:sz="2" w:space="0" w:color="000001"/>
            </w:tcBorders>
            <w:shd w:val="clear" w:color="auto" w:fill="FFFFFF"/>
            <w:tcMar>
              <w:left w:w="45" w:type="dxa"/>
            </w:tcMar>
          </w:tcPr>
          <w:p w:rsidR="002C19A9" w:rsidRDefault="002C19A9" w:rsidP="006F7935">
            <w:pPr>
              <w:pStyle w:val="TableContents"/>
              <w:jc w:val="center"/>
            </w:pPr>
            <w:r>
              <w:t>T</w:t>
            </w:r>
            <w:r>
              <w:rPr>
                <w:rFonts w:cs="Tahoma"/>
                <w:vertAlign w:val="subscript"/>
              </w:rPr>
              <w:t>∞</w:t>
            </w:r>
            <w:r>
              <w:rPr>
                <w:rFonts w:cs="Tahoma"/>
              </w:rPr>
              <w:t>, K</w:t>
            </w:r>
          </w:p>
        </w:tc>
        <w:tc>
          <w:tcPr>
            <w:tcW w:w="166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2C19A9" w:rsidRDefault="002C19A9" w:rsidP="006F7935">
            <w:pPr>
              <w:pStyle w:val="TableContents"/>
              <w:jc w:val="center"/>
            </w:pPr>
            <w:proofErr w:type="spellStart"/>
            <w:r>
              <w:t>Kn</w:t>
            </w:r>
            <w:proofErr w:type="spellEnd"/>
          </w:p>
        </w:tc>
      </w:tr>
      <w:tr w:rsidR="002C19A9" w:rsidTr="00B93ABB">
        <w:tc>
          <w:tcPr>
            <w:tcW w:w="1350" w:type="dxa"/>
            <w:tcBorders>
              <w:top w:val="single" w:sz="2" w:space="0" w:color="000001"/>
              <w:left w:val="single" w:sz="2" w:space="0" w:color="000001"/>
              <w:bottom w:val="single" w:sz="2" w:space="0" w:color="000001"/>
            </w:tcBorders>
            <w:shd w:val="clear" w:color="auto" w:fill="FFFFFF"/>
            <w:tcMar>
              <w:left w:w="45" w:type="dxa"/>
            </w:tcMar>
          </w:tcPr>
          <w:p w:rsidR="002C19A9" w:rsidRDefault="002C19A9" w:rsidP="006F7935">
            <w:pPr>
              <w:pStyle w:val="TableContents"/>
              <w:jc w:val="center"/>
            </w:pPr>
            <w:r>
              <w:t>TC3.1</w:t>
            </w:r>
          </w:p>
        </w:tc>
        <w:tc>
          <w:tcPr>
            <w:tcW w:w="2430" w:type="dxa"/>
            <w:tcBorders>
              <w:top w:val="single" w:sz="2" w:space="0" w:color="000001"/>
              <w:left w:val="single" w:sz="2" w:space="0" w:color="000001"/>
              <w:bottom w:val="single" w:sz="2" w:space="0" w:color="000001"/>
            </w:tcBorders>
            <w:shd w:val="clear" w:color="auto" w:fill="FFFFFF"/>
            <w:tcMar>
              <w:left w:w="45" w:type="dxa"/>
            </w:tcMar>
          </w:tcPr>
          <w:p w:rsidR="002C19A9" w:rsidRPr="00B93ABB" w:rsidRDefault="00A16EB4" w:rsidP="006F7935">
            <w:pPr>
              <w:pStyle w:val="TableContents"/>
              <w:jc w:val="center"/>
            </w:pPr>
            <w:r>
              <w:t>73.6% N</w:t>
            </w:r>
            <w:r>
              <w:rPr>
                <w:vertAlign w:val="subscript"/>
              </w:rPr>
              <w:t>2</w:t>
            </w:r>
            <w:r>
              <w:t>, 13.4% O</w:t>
            </w:r>
            <w:r>
              <w:rPr>
                <w:vertAlign w:val="subscript"/>
              </w:rPr>
              <w:t>2</w:t>
            </w:r>
            <w:r>
              <w:t>, 5.1% NO, 7.9%</w:t>
            </w:r>
          </w:p>
        </w:tc>
        <w:tc>
          <w:tcPr>
            <w:tcW w:w="1209" w:type="dxa"/>
            <w:tcBorders>
              <w:top w:val="single" w:sz="2" w:space="0" w:color="000001"/>
              <w:left w:val="single" w:sz="2" w:space="0" w:color="000001"/>
              <w:bottom w:val="single" w:sz="2" w:space="0" w:color="000001"/>
            </w:tcBorders>
            <w:shd w:val="clear" w:color="auto" w:fill="FFFFFF"/>
            <w:tcMar>
              <w:left w:w="45" w:type="dxa"/>
            </w:tcMar>
          </w:tcPr>
          <w:p w:rsidR="002C19A9" w:rsidRDefault="00A16EB4" w:rsidP="006F7935">
            <w:pPr>
              <w:pStyle w:val="TableContents"/>
              <w:jc w:val="center"/>
            </w:pPr>
            <w:r>
              <w:t>687</w:t>
            </w:r>
          </w:p>
        </w:tc>
        <w:tc>
          <w:tcPr>
            <w:tcW w:w="1662" w:type="dxa"/>
            <w:tcBorders>
              <w:top w:val="single" w:sz="2" w:space="0" w:color="000001"/>
              <w:left w:val="single" w:sz="2" w:space="0" w:color="000001"/>
              <w:bottom w:val="single" w:sz="2" w:space="0" w:color="000001"/>
            </w:tcBorders>
            <w:shd w:val="clear" w:color="auto" w:fill="FFFFFF"/>
            <w:tcMar>
              <w:left w:w="45" w:type="dxa"/>
            </w:tcMar>
          </w:tcPr>
          <w:p w:rsidR="002C19A9" w:rsidRDefault="00A16EB4" w:rsidP="006F7935">
            <w:pPr>
              <w:pStyle w:val="TableContents"/>
              <w:jc w:val="center"/>
            </w:pPr>
            <w:r>
              <w:t>4,776</w:t>
            </w:r>
          </w:p>
        </w:tc>
        <w:tc>
          <w:tcPr>
            <w:tcW w:w="1661" w:type="dxa"/>
            <w:tcBorders>
              <w:top w:val="single" w:sz="2" w:space="0" w:color="000001"/>
              <w:left w:val="single" w:sz="2" w:space="0" w:color="000001"/>
              <w:bottom w:val="single" w:sz="2" w:space="0" w:color="000001"/>
            </w:tcBorders>
            <w:shd w:val="clear" w:color="auto" w:fill="FFFFFF"/>
            <w:tcMar>
              <w:left w:w="45" w:type="dxa"/>
            </w:tcMar>
          </w:tcPr>
          <w:p w:rsidR="002C19A9" w:rsidRDefault="00A16EB4" w:rsidP="006F7935">
            <w:pPr>
              <w:pStyle w:val="TableContents"/>
              <w:jc w:val="center"/>
            </w:pPr>
            <w:r>
              <w:t>694</w:t>
            </w:r>
          </w:p>
        </w:tc>
        <w:tc>
          <w:tcPr>
            <w:tcW w:w="166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2C19A9" w:rsidRDefault="00A16EB4" w:rsidP="006F7935">
            <w:pPr>
              <w:pStyle w:val="TableContents"/>
              <w:jc w:val="center"/>
            </w:pPr>
            <w:r>
              <w:t>2.5</w:t>
            </w:r>
            <w:r w:rsidR="002C19A9">
              <w:t>e-4</w:t>
            </w:r>
          </w:p>
        </w:tc>
      </w:tr>
      <w:tr w:rsidR="009068F6" w:rsidTr="00B93ABB">
        <w:tc>
          <w:tcPr>
            <w:tcW w:w="1350" w:type="dxa"/>
            <w:tcBorders>
              <w:top w:val="single" w:sz="2" w:space="0" w:color="000001"/>
              <w:left w:val="single" w:sz="2" w:space="0" w:color="000001"/>
              <w:bottom w:val="single" w:sz="2" w:space="0" w:color="000001"/>
            </w:tcBorders>
            <w:shd w:val="clear" w:color="auto" w:fill="FFFFFF"/>
            <w:tcMar>
              <w:left w:w="45" w:type="dxa"/>
            </w:tcMar>
          </w:tcPr>
          <w:p w:rsidR="009068F6" w:rsidRDefault="009068F6" w:rsidP="009068F6">
            <w:pPr>
              <w:pStyle w:val="TableContents"/>
              <w:jc w:val="center"/>
            </w:pPr>
            <w:r>
              <w:t>TC3.2</w:t>
            </w:r>
          </w:p>
        </w:tc>
        <w:tc>
          <w:tcPr>
            <w:tcW w:w="2430" w:type="dxa"/>
            <w:tcBorders>
              <w:top w:val="single" w:sz="2" w:space="0" w:color="000001"/>
              <w:left w:val="single" w:sz="2" w:space="0" w:color="000001"/>
              <w:bottom w:val="single" w:sz="2" w:space="0" w:color="000001"/>
            </w:tcBorders>
            <w:shd w:val="clear" w:color="auto" w:fill="FFFFFF"/>
            <w:tcMar>
              <w:left w:w="45" w:type="dxa"/>
            </w:tcMar>
          </w:tcPr>
          <w:p w:rsidR="009068F6" w:rsidRDefault="009068F6" w:rsidP="009068F6">
            <w:pPr>
              <w:pStyle w:val="TableContents"/>
              <w:jc w:val="center"/>
            </w:pPr>
            <w:r>
              <w:t>O</w:t>
            </w:r>
            <w:r w:rsidR="00A16EB4">
              <w:t>75.4% N</w:t>
            </w:r>
            <w:r w:rsidR="00A16EB4">
              <w:rPr>
                <w:vertAlign w:val="subscript"/>
              </w:rPr>
              <w:t>2</w:t>
            </w:r>
            <w:r w:rsidR="00A16EB4">
              <w:t>, 0.7% O</w:t>
            </w:r>
            <w:r w:rsidR="00A16EB4">
              <w:rPr>
                <w:vertAlign w:val="subscript"/>
              </w:rPr>
              <w:t>2</w:t>
            </w:r>
            <w:r w:rsidR="00A16EB4">
              <w:t>, 1% NO, 22.9% O</w:t>
            </w:r>
          </w:p>
        </w:tc>
        <w:tc>
          <w:tcPr>
            <w:tcW w:w="1209" w:type="dxa"/>
            <w:tcBorders>
              <w:top w:val="single" w:sz="2" w:space="0" w:color="000001"/>
              <w:left w:val="single" w:sz="2" w:space="0" w:color="000001"/>
              <w:bottom w:val="single" w:sz="2" w:space="0" w:color="000001"/>
            </w:tcBorders>
            <w:shd w:val="clear" w:color="auto" w:fill="FFFFFF"/>
            <w:tcMar>
              <w:left w:w="45" w:type="dxa"/>
            </w:tcMar>
          </w:tcPr>
          <w:p w:rsidR="009068F6" w:rsidRDefault="00A16EB4" w:rsidP="009068F6">
            <w:pPr>
              <w:pStyle w:val="TableContents"/>
              <w:jc w:val="center"/>
            </w:pPr>
            <w:r>
              <w:t>476</w:t>
            </w:r>
          </w:p>
        </w:tc>
        <w:tc>
          <w:tcPr>
            <w:tcW w:w="1662" w:type="dxa"/>
            <w:tcBorders>
              <w:top w:val="single" w:sz="2" w:space="0" w:color="000001"/>
              <w:left w:val="single" w:sz="2" w:space="0" w:color="000001"/>
              <w:bottom w:val="single" w:sz="2" w:space="0" w:color="000001"/>
            </w:tcBorders>
            <w:shd w:val="clear" w:color="auto" w:fill="FFFFFF"/>
            <w:tcMar>
              <w:left w:w="45" w:type="dxa"/>
            </w:tcMar>
          </w:tcPr>
          <w:p w:rsidR="009068F6" w:rsidRDefault="00A16EB4" w:rsidP="009068F6">
            <w:pPr>
              <w:pStyle w:val="TableContents"/>
              <w:jc w:val="center"/>
            </w:pPr>
            <w:r>
              <w:t>5,956</w:t>
            </w:r>
          </w:p>
        </w:tc>
        <w:tc>
          <w:tcPr>
            <w:tcW w:w="1661" w:type="dxa"/>
            <w:tcBorders>
              <w:top w:val="single" w:sz="2" w:space="0" w:color="000001"/>
              <w:left w:val="single" w:sz="2" w:space="0" w:color="000001"/>
              <w:bottom w:val="single" w:sz="2" w:space="0" w:color="000001"/>
            </w:tcBorders>
            <w:shd w:val="clear" w:color="auto" w:fill="FFFFFF"/>
            <w:tcMar>
              <w:left w:w="45" w:type="dxa"/>
            </w:tcMar>
          </w:tcPr>
          <w:p w:rsidR="009068F6" w:rsidRDefault="00A16EB4" w:rsidP="009068F6">
            <w:pPr>
              <w:pStyle w:val="TableContents"/>
              <w:jc w:val="center"/>
            </w:pPr>
            <w:r>
              <w:t>901</w:t>
            </w:r>
          </w:p>
        </w:tc>
        <w:tc>
          <w:tcPr>
            <w:tcW w:w="1660"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9068F6" w:rsidRDefault="00A16EB4" w:rsidP="009068F6">
            <w:pPr>
              <w:pStyle w:val="TableContents"/>
              <w:jc w:val="center"/>
            </w:pPr>
            <w:r>
              <w:t>5.8</w:t>
            </w:r>
            <w:r w:rsidR="009068F6">
              <w:t>e-4</w:t>
            </w:r>
          </w:p>
        </w:tc>
      </w:tr>
      <w:tr w:rsidR="009068F6" w:rsidTr="00B93ABB">
        <w:tc>
          <w:tcPr>
            <w:tcW w:w="1350" w:type="dxa"/>
            <w:tcBorders>
              <w:left w:val="single" w:sz="2" w:space="0" w:color="000001"/>
              <w:bottom w:val="single" w:sz="2" w:space="0" w:color="000001"/>
            </w:tcBorders>
            <w:shd w:val="clear" w:color="auto" w:fill="FFFFFF"/>
            <w:tcMar>
              <w:left w:w="45" w:type="dxa"/>
            </w:tcMar>
          </w:tcPr>
          <w:p w:rsidR="009068F6" w:rsidRDefault="009068F6" w:rsidP="009068F6">
            <w:pPr>
              <w:pStyle w:val="TableContents"/>
              <w:jc w:val="center"/>
            </w:pPr>
            <w:r>
              <w:t>TC3.3</w:t>
            </w:r>
          </w:p>
        </w:tc>
        <w:tc>
          <w:tcPr>
            <w:tcW w:w="8622" w:type="dxa"/>
            <w:gridSpan w:val="5"/>
            <w:tcBorders>
              <w:left w:val="single" w:sz="2" w:space="0" w:color="000001"/>
              <w:bottom w:val="single" w:sz="2" w:space="0" w:color="000001"/>
              <w:right w:val="single" w:sz="2" w:space="0" w:color="000001"/>
            </w:tcBorders>
            <w:shd w:val="clear" w:color="auto" w:fill="FFFFFF"/>
            <w:tcMar>
              <w:left w:w="45" w:type="dxa"/>
            </w:tcMar>
          </w:tcPr>
          <w:p w:rsidR="009068F6" w:rsidRDefault="009068F6" w:rsidP="009068F6">
            <w:pPr>
              <w:pStyle w:val="TableContents"/>
              <w:jc w:val="center"/>
            </w:pPr>
            <w:r>
              <w:t>All conditions of TC3.1, plus catalytic recombination at the surface</w:t>
            </w:r>
          </w:p>
        </w:tc>
      </w:tr>
      <w:tr w:rsidR="009068F6" w:rsidTr="00B93ABB">
        <w:tc>
          <w:tcPr>
            <w:tcW w:w="1350" w:type="dxa"/>
            <w:tcBorders>
              <w:left w:val="single" w:sz="2" w:space="0" w:color="000001"/>
              <w:bottom w:val="single" w:sz="2" w:space="0" w:color="000001"/>
            </w:tcBorders>
            <w:shd w:val="clear" w:color="auto" w:fill="FFFFFF"/>
            <w:tcMar>
              <w:left w:w="45" w:type="dxa"/>
            </w:tcMar>
          </w:tcPr>
          <w:p w:rsidR="009068F6" w:rsidRDefault="009068F6" w:rsidP="009068F6">
            <w:pPr>
              <w:pStyle w:val="TableContents"/>
              <w:jc w:val="center"/>
            </w:pPr>
            <w:r>
              <w:t>TC3.4</w:t>
            </w:r>
          </w:p>
        </w:tc>
        <w:tc>
          <w:tcPr>
            <w:tcW w:w="8622" w:type="dxa"/>
            <w:gridSpan w:val="5"/>
            <w:tcBorders>
              <w:left w:val="single" w:sz="2" w:space="0" w:color="000001"/>
              <w:bottom w:val="single" w:sz="2" w:space="0" w:color="000001"/>
              <w:right w:val="single" w:sz="2" w:space="0" w:color="000001"/>
            </w:tcBorders>
            <w:shd w:val="clear" w:color="auto" w:fill="FFFFFF"/>
            <w:tcMar>
              <w:left w:w="45" w:type="dxa"/>
            </w:tcMar>
          </w:tcPr>
          <w:p w:rsidR="009068F6" w:rsidRDefault="009068F6" w:rsidP="00B93ABB">
            <w:pPr>
              <w:pStyle w:val="TableContents"/>
              <w:keepNext/>
              <w:jc w:val="center"/>
            </w:pPr>
            <w:r>
              <w:t>All conditions of TC3.2, plus catalytic recombination at the surface</w:t>
            </w:r>
          </w:p>
        </w:tc>
      </w:tr>
    </w:tbl>
    <w:p w:rsidR="009068F6" w:rsidRDefault="009068F6" w:rsidP="009068F6">
      <w:pPr>
        <w:jc w:val="center"/>
        <w:rPr>
          <w:i/>
          <w:iCs/>
        </w:rPr>
      </w:pPr>
      <w:r>
        <w:t xml:space="preserve">Table 6. </w:t>
      </w:r>
      <w:r>
        <w:rPr>
          <w:i/>
          <w:iCs/>
        </w:rPr>
        <w:t xml:space="preserve">Cases TC3.1 and TC3.2 correspond to experimental cases HEG III and HEG I of </w:t>
      </w:r>
    </w:p>
    <w:p w:rsidR="009068F6" w:rsidRDefault="009068F6" w:rsidP="009068F6">
      <w:pPr>
        <w:jc w:val="center"/>
      </w:pPr>
      <w:r>
        <w:rPr>
          <w:i/>
          <w:iCs/>
        </w:rPr>
        <w:t xml:space="preserve">Ref. [13], respectively.  Knudsen numbers are based on the cylinder diameter of 90 mm. </w:t>
      </w:r>
    </w:p>
    <w:p w:rsidR="000B19C9" w:rsidRDefault="000B19C9"/>
    <w:p w:rsidR="000B19C9" w:rsidRDefault="00BF2FD6">
      <w:pPr>
        <w:rPr>
          <w:i/>
          <w:iCs/>
        </w:rPr>
      </w:pPr>
      <w:r>
        <w:rPr>
          <w:i/>
          <w:iCs/>
        </w:rPr>
        <w:t>5.4. IR Signature Calculation</w:t>
      </w:r>
    </w:p>
    <w:p w:rsidR="000F29B8" w:rsidRDefault="000F29B8">
      <w:pPr>
        <w:rPr>
          <w:i/>
          <w:iCs/>
        </w:rPr>
      </w:pPr>
    </w:p>
    <w:p w:rsidR="000B19C9" w:rsidRDefault="00BF2FD6">
      <w:pPr>
        <w:jc w:val="both"/>
      </w:pPr>
      <w:r>
        <w:t xml:space="preserve">The </w:t>
      </w:r>
      <w:proofErr w:type="spellStart"/>
      <w:r>
        <w:t>macroparameters</w:t>
      </w:r>
      <w:proofErr w:type="spellEnd"/>
      <w:r>
        <w:t xml:space="preserve"> along the Y=100mm line will be used to compute IR emission from the fundamental transition of NO in the 4.9-5.6</w:t>
      </w:r>
      <w:r>
        <w:rPr>
          <w:rFonts w:ascii="Symbol" w:hAnsi="Symbol"/>
        </w:rPr>
        <w:t></w:t>
      </w:r>
      <w:r>
        <w:t xml:space="preserve">m range. The objective is to examine the impact of numerical uncertainties and models on the IR emission. </w:t>
      </w:r>
      <w:proofErr w:type="spellStart"/>
      <w:r>
        <w:t>Specair</w:t>
      </w:r>
      <w:proofErr w:type="spellEnd"/>
      <w:r>
        <w:t xml:space="preserve"> software [8] will be used in IR emission calculations.</w:t>
      </w:r>
    </w:p>
    <w:p w:rsidR="006A43C9" w:rsidRDefault="006A43C9" w:rsidP="006A43C9">
      <w:pPr>
        <w:jc w:val="both"/>
      </w:pPr>
      <w:r>
        <w:t xml:space="preserve">Note that all signature calculations may only be considered preliminary; they can’t substitute for a full collisional-radiative model. Moreover, significant difference in radiances may indicate the need for the development of such models. </w:t>
      </w:r>
    </w:p>
    <w:p w:rsidR="000B19C9" w:rsidRDefault="000B19C9"/>
    <w:p w:rsidR="000B19C9" w:rsidRDefault="00BF2FD6" w:rsidP="008565BA">
      <w:pPr>
        <w:outlineLvl w:val="0"/>
      </w:pPr>
      <w:r>
        <w:rPr>
          <w:b/>
          <w:bCs/>
          <w:sz w:val="28"/>
          <w:szCs w:val="28"/>
        </w:rPr>
        <w:t>6. Tentative Timeline</w:t>
      </w:r>
    </w:p>
    <w:p w:rsidR="000B19C9" w:rsidRDefault="000B19C9"/>
    <w:p w:rsidR="006A43C9" w:rsidRDefault="006A43C9" w:rsidP="00F008CB">
      <w:pPr>
        <w:numPr>
          <w:ilvl w:val="0"/>
          <w:numId w:val="7"/>
        </w:numPr>
        <w:jc w:val="both"/>
      </w:pPr>
      <w:r>
        <w:t>January 2019, d</w:t>
      </w:r>
      <w:r w:rsidR="00301E81" w:rsidRPr="00B93ABB">
        <w:rPr>
          <w:kern w:val="0"/>
        </w:rPr>
        <w:t xml:space="preserve">iscussion of next steps </w:t>
      </w:r>
      <w:r w:rsidRPr="00B93ABB">
        <w:rPr>
          <w:kern w:val="0"/>
        </w:rPr>
        <w:t xml:space="preserve">aimed at finalizing test conditions </w:t>
      </w:r>
      <w:r>
        <w:rPr>
          <w:kern w:val="0"/>
        </w:rPr>
        <w:t>for TC1 and TC3</w:t>
      </w:r>
    </w:p>
    <w:p w:rsidR="000B19C9" w:rsidRDefault="00BF2FD6" w:rsidP="00B93ABB">
      <w:pPr>
        <w:numPr>
          <w:ilvl w:val="0"/>
          <w:numId w:val="7"/>
        </w:numPr>
        <w:jc w:val="both"/>
      </w:pPr>
      <w:r>
        <w:t xml:space="preserve">Summer 2019, presentation of </w:t>
      </w:r>
      <w:r w:rsidR="00301E81">
        <w:t>comparative</w:t>
      </w:r>
      <w:r>
        <w:t xml:space="preserve"> results </w:t>
      </w:r>
      <w:r w:rsidR="00301E81">
        <w:t xml:space="preserve">and possible next steps </w:t>
      </w:r>
      <w:r>
        <w:t xml:space="preserve">(AIAA </w:t>
      </w:r>
      <w:proofErr w:type="spellStart"/>
      <w:r>
        <w:t>Thermophysics</w:t>
      </w:r>
      <w:proofErr w:type="spellEnd"/>
      <w:r>
        <w:t xml:space="preserve"> Conference, DSMC </w:t>
      </w:r>
      <w:r w:rsidR="00301E81">
        <w:t xml:space="preserve">2019 </w:t>
      </w:r>
      <w:r>
        <w:t>Workshop).</w:t>
      </w:r>
    </w:p>
    <w:p w:rsidR="000B19C9" w:rsidRDefault="000B19C9"/>
    <w:p w:rsidR="00D026AD" w:rsidRDefault="00D026AD"/>
    <w:p w:rsidR="00271A8B" w:rsidRDefault="00271A8B"/>
    <w:p w:rsidR="00271A8B" w:rsidRDefault="00271A8B"/>
    <w:p w:rsidR="00271A8B" w:rsidRDefault="00271A8B"/>
    <w:p w:rsidR="00271A8B" w:rsidRDefault="00271A8B"/>
    <w:p w:rsidR="000B19C9" w:rsidRDefault="00BF2FD6" w:rsidP="008565BA">
      <w:pPr>
        <w:outlineLvl w:val="0"/>
        <w:rPr>
          <w:b/>
          <w:bCs/>
          <w:sz w:val="28"/>
          <w:szCs w:val="28"/>
        </w:rPr>
      </w:pPr>
      <w:r>
        <w:rPr>
          <w:b/>
          <w:bCs/>
          <w:sz w:val="28"/>
          <w:szCs w:val="28"/>
        </w:rPr>
        <w:lastRenderedPageBreak/>
        <w:t>7. References</w:t>
      </w:r>
    </w:p>
    <w:p w:rsidR="000B19C9" w:rsidRDefault="000B19C9"/>
    <w:p w:rsidR="000B19C9" w:rsidRDefault="00BF2FD6">
      <w:pPr>
        <w:spacing w:before="57" w:after="57"/>
        <w:jc w:val="both"/>
      </w:pPr>
      <w:r>
        <w:t xml:space="preserve">[1] I. E. </w:t>
      </w:r>
      <w:proofErr w:type="spellStart"/>
      <w:r>
        <w:t>Zabelinskii</w:t>
      </w:r>
      <w:proofErr w:type="spellEnd"/>
      <w:r>
        <w:t xml:space="preserve">, L. B. </w:t>
      </w:r>
      <w:proofErr w:type="spellStart"/>
      <w:r>
        <w:t>Ibraguimova</w:t>
      </w:r>
      <w:proofErr w:type="spellEnd"/>
      <w:r>
        <w:t xml:space="preserve">, O.P. </w:t>
      </w:r>
      <w:proofErr w:type="spellStart"/>
      <w:r>
        <w:t>Shatalov</w:t>
      </w:r>
      <w:proofErr w:type="spellEnd"/>
      <w:r>
        <w:t xml:space="preserve">, Measurement of vibrational temperature of oxygen behind the shock wave in strong thermal and chemical nonequilibrium, </w:t>
      </w:r>
      <w:proofErr w:type="spellStart"/>
      <w:r>
        <w:t>Mekhanika</w:t>
      </w:r>
      <w:proofErr w:type="spellEnd"/>
      <w:r>
        <w:t xml:space="preserve"> </w:t>
      </w:r>
      <w:proofErr w:type="spellStart"/>
      <w:r>
        <w:t>Zhidkosti</w:t>
      </w:r>
      <w:proofErr w:type="spellEnd"/>
      <w:r>
        <w:t xml:space="preserve"> </w:t>
      </w:r>
      <w:proofErr w:type="spellStart"/>
      <w:r>
        <w:t>i</w:t>
      </w:r>
      <w:proofErr w:type="spellEnd"/>
      <w:r>
        <w:t xml:space="preserve"> Gaza 3, 159-167 (2010).</w:t>
      </w:r>
    </w:p>
    <w:p w:rsidR="000B19C9" w:rsidRDefault="00BF2FD6">
      <w:pPr>
        <w:spacing w:before="57" w:after="57"/>
        <w:jc w:val="both"/>
      </w:pPr>
      <w:r>
        <w:t xml:space="preserve">[2] L. B. </w:t>
      </w:r>
      <w:proofErr w:type="spellStart"/>
      <w:r>
        <w:t>Ibraguimova</w:t>
      </w:r>
      <w:proofErr w:type="spellEnd"/>
      <w:r>
        <w:t xml:space="preserve">, A. L. </w:t>
      </w:r>
      <w:proofErr w:type="spellStart"/>
      <w:r>
        <w:t>Sergievskaya</w:t>
      </w:r>
      <w:proofErr w:type="spellEnd"/>
      <w:r>
        <w:t xml:space="preserve">, V. Yu. </w:t>
      </w:r>
      <w:proofErr w:type="spellStart"/>
      <w:r>
        <w:t>Levashov</w:t>
      </w:r>
      <w:proofErr w:type="spellEnd"/>
      <w:r>
        <w:t xml:space="preserve">, O. P. </w:t>
      </w:r>
      <w:proofErr w:type="spellStart"/>
      <w:r>
        <w:t>Shatalov</w:t>
      </w:r>
      <w:proofErr w:type="spellEnd"/>
      <w:r>
        <w:t xml:space="preserve">, Yu. V. </w:t>
      </w:r>
      <w:proofErr w:type="spellStart"/>
      <w:r>
        <w:t>Tunik</w:t>
      </w:r>
      <w:proofErr w:type="spellEnd"/>
      <w:r>
        <w:t xml:space="preserve">, I. E. </w:t>
      </w:r>
      <w:proofErr w:type="spellStart"/>
      <w:r>
        <w:t>Zabelinskii</w:t>
      </w:r>
      <w:proofErr w:type="spellEnd"/>
      <w:r>
        <w:t>, Equilibrium and Non-equilibrium Rate Constants of Oxygen Dissociation at High Temperatures, AIP Conf. Proc. 1501, 1094 (2012).</w:t>
      </w:r>
    </w:p>
    <w:p w:rsidR="000B19C9" w:rsidRDefault="00BF2FD6">
      <w:pPr>
        <w:spacing w:before="57" w:after="57"/>
        <w:jc w:val="both"/>
      </w:pPr>
      <w:r>
        <w:t xml:space="preserve">[3] L. B. </w:t>
      </w:r>
      <w:proofErr w:type="spellStart"/>
      <w:r>
        <w:t>Ibraguimova</w:t>
      </w:r>
      <w:proofErr w:type="spellEnd"/>
      <w:r>
        <w:t xml:space="preserve">, A. L. </w:t>
      </w:r>
      <w:proofErr w:type="spellStart"/>
      <w:r>
        <w:t>Sergievskaya</w:t>
      </w:r>
      <w:proofErr w:type="spellEnd"/>
      <w:r>
        <w:t xml:space="preserve">, O. P. </w:t>
      </w:r>
      <w:proofErr w:type="spellStart"/>
      <w:r>
        <w:t>Shatalov</w:t>
      </w:r>
      <w:proofErr w:type="spellEnd"/>
      <w:r>
        <w:t xml:space="preserve">, Yu. V. </w:t>
      </w:r>
      <w:proofErr w:type="spellStart"/>
      <w:r>
        <w:t>Tunik</w:t>
      </w:r>
      <w:proofErr w:type="spellEnd"/>
      <w:r>
        <w:t xml:space="preserve">, I. E. </w:t>
      </w:r>
      <w:proofErr w:type="spellStart"/>
      <w:r>
        <w:t>Zabelinskii</w:t>
      </w:r>
      <w:proofErr w:type="spellEnd"/>
      <w:r>
        <w:t>, Investigation of Oxygen Dissociation and Vibrational Relaxation at Temperatures 4000 -</w:t>
      </w:r>
    </w:p>
    <w:p w:rsidR="000B19C9" w:rsidRDefault="00BF2FD6">
      <w:pPr>
        <w:spacing w:before="57" w:after="57"/>
        <w:jc w:val="both"/>
      </w:pPr>
      <w:r>
        <w:t>10800 K, J. Chem. Phys. 139, 034317 (2013).</w:t>
      </w:r>
    </w:p>
    <w:p w:rsidR="000B19C9" w:rsidRDefault="00BF2FD6">
      <w:pPr>
        <w:spacing w:before="57" w:after="57"/>
        <w:jc w:val="both"/>
      </w:pPr>
      <w:r>
        <w:t>[4] CUBRC. Shock Wave/Laminar Boundary Layer Interaction with Real-gas Effects Presented at AIAA Aviation 2014. Available online: http://www.cubrc.org/index.php/page/publications</w:t>
      </w:r>
    </w:p>
    <w:p w:rsidR="000B19C9" w:rsidRDefault="00BF2FD6">
      <w:pPr>
        <w:spacing w:before="57" w:after="57"/>
        <w:jc w:val="both"/>
      </w:pPr>
      <w:r>
        <w:t xml:space="preserve">[5] M. Holden, M. MacLean, T. </w:t>
      </w:r>
      <w:proofErr w:type="spellStart"/>
      <w:r>
        <w:t>Wadhams</w:t>
      </w:r>
      <w:proofErr w:type="spellEnd"/>
      <w:r>
        <w:t>, A. Dufrene, Experimental Research and Analysis in Supersonic and Hypervelocity Flows in the LENS Shock Tunnels and Expansion Tunnel AIAA Paper 2015-3660</w:t>
      </w:r>
    </w:p>
    <w:p w:rsidR="000B19C9" w:rsidRDefault="00BF2FD6">
      <w:pPr>
        <w:spacing w:before="57" w:after="57"/>
        <w:jc w:val="both"/>
      </w:pPr>
      <w:r>
        <w:t xml:space="preserve">[6] M. Holden, M. MacLean, T. </w:t>
      </w:r>
      <w:proofErr w:type="spellStart"/>
      <w:r>
        <w:t>Wadhams</w:t>
      </w:r>
      <w:proofErr w:type="spellEnd"/>
      <w:r>
        <w:t xml:space="preserve">, A. Dufrene, Measurements of Real Gas Effects on Regions of Laminar Shock Wave/Boundary Layer Interaction in Hypervelocity Flows for “Blind’ Code Validation Studies, AIAA Paper 2013-2837. </w:t>
      </w:r>
    </w:p>
    <w:p w:rsidR="000B19C9" w:rsidRDefault="00BF2FD6">
      <w:pPr>
        <w:spacing w:before="57" w:after="57"/>
        <w:jc w:val="both"/>
      </w:pPr>
      <w:r>
        <w:t>[7] C. Park, Rotational relaxation of N</w:t>
      </w:r>
      <w:r>
        <w:rPr>
          <w:vertAlign w:val="subscript"/>
        </w:rPr>
        <w:t>2</w:t>
      </w:r>
      <w:r>
        <w:t xml:space="preserve"> behind a strong shock wave, J. </w:t>
      </w:r>
      <w:proofErr w:type="spellStart"/>
      <w:r>
        <w:t>Thermophys</w:t>
      </w:r>
      <w:proofErr w:type="spellEnd"/>
      <w:r>
        <w:t>. Heat Transfer, Vol. 18, No. 4, 2004, pp. 527-533.</w:t>
      </w:r>
    </w:p>
    <w:p w:rsidR="0036392D" w:rsidRDefault="0036392D">
      <w:pPr>
        <w:spacing w:before="57" w:after="57"/>
        <w:jc w:val="both"/>
      </w:pPr>
      <w:r>
        <w:t xml:space="preserve">[8] D.A. </w:t>
      </w:r>
      <w:proofErr w:type="spellStart"/>
      <w:r>
        <w:t>Andrienko</w:t>
      </w:r>
      <w:proofErr w:type="spellEnd"/>
      <w:r>
        <w:t>, I.D. Boyd, High fidelity modeling of thermal relaxation of dissociating oxygen, AIAA Paper 2016-0736.</w:t>
      </w:r>
    </w:p>
    <w:p w:rsidR="000B19C9" w:rsidRPr="00B93ABB" w:rsidRDefault="00BF2FD6">
      <w:pPr>
        <w:spacing w:before="57" w:after="57"/>
        <w:jc w:val="both"/>
        <w:rPr>
          <w:rFonts w:cs="Tahoma"/>
        </w:rPr>
      </w:pPr>
      <w:r>
        <w:t>[</w:t>
      </w:r>
      <w:r w:rsidR="0036392D">
        <w:t>9</w:t>
      </w:r>
      <w:r>
        <w:t xml:space="preserve">] Laux, C.O., Spence T.G., Kruger, C.H., and </w:t>
      </w:r>
      <w:proofErr w:type="spellStart"/>
      <w:r>
        <w:t>Zare</w:t>
      </w:r>
      <w:proofErr w:type="spellEnd"/>
      <w:r>
        <w:t xml:space="preserve">, R.N., “Optical Diagnostics of Atmospheric Pressure Air Plasmas,” Plasma Sources Science and Technology, Vol. 12, pp. 125-138 (2003). See also </w:t>
      </w:r>
      <w:hyperlink r:id="rId8" w:history="1">
        <w:r w:rsidR="004A12B6" w:rsidRPr="00241EF3">
          <w:rPr>
            <w:rStyle w:val="Hyperlink"/>
          </w:rPr>
          <w:t>www.spectralfit.com</w:t>
        </w:r>
      </w:hyperlink>
    </w:p>
    <w:p w:rsidR="004A12B6" w:rsidRPr="00B93ABB" w:rsidRDefault="004A12B6" w:rsidP="00B93ABB">
      <w:pPr>
        <w:overflowPunct/>
        <w:autoSpaceDE w:val="0"/>
        <w:autoSpaceDN w:val="0"/>
        <w:adjustRightInd w:val="0"/>
        <w:jc w:val="both"/>
        <w:rPr>
          <w:rFonts w:cs="Tahoma"/>
          <w:color w:val="auto"/>
          <w:kern w:val="0"/>
          <w:lang w:bidi="ar-SA"/>
        </w:rPr>
      </w:pPr>
      <w:r w:rsidRPr="00B93ABB">
        <w:rPr>
          <w:rFonts w:cs="Tahoma"/>
        </w:rPr>
        <w:t xml:space="preserve">[10] </w:t>
      </w:r>
      <w:r w:rsidRPr="00B93ABB">
        <w:rPr>
          <w:rFonts w:cs="Tahoma"/>
          <w:color w:val="auto"/>
          <w:kern w:val="0"/>
          <w:lang w:bidi="ar-SA"/>
        </w:rPr>
        <w:t>J.D.</w:t>
      </w:r>
      <w:r>
        <w:rPr>
          <w:rFonts w:cs="Tahoma"/>
          <w:color w:val="auto"/>
          <w:kern w:val="0"/>
          <w:lang w:bidi="ar-SA"/>
        </w:rPr>
        <w:t xml:space="preserve"> </w:t>
      </w:r>
      <w:r w:rsidRPr="00B93ABB">
        <w:rPr>
          <w:rFonts w:cs="Tahoma"/>
          <w:color w:val="auto"/>
          <w:kern w:val="0"/>
          <w:lang w:bidi="ar-SA"/>
        </w:rPr>
        <w:t>Bender, P.</w:t>
      </w:r>
      <w:r>
        <w:rPr>
          <w:rFonts w:cs="Tahoma"/>
          <w:color w:val="auto"/>
          <w:kern w:val="0"/>
          <w:lang w:bidi="ar-SA"/>
        </w:rPr>
        <w:t xml:space="preserve"> </w:t>
      </w:r>
      <w:proofErr w:type="spellStart"/>
      <w:r w:rsidRPr="00B93ABB">
        <w:rPr>
          <w:rFonts w:cs="Tahoma"/>
          <w:color w:val="auto"/>
          <w:kern w:val="0"/>
          <w:lang w:bidi="ar-SA"/>
        </w:rPr>
        <w:t>Valentini</w:t>
      </w:r>
      <w:proofErr w:type="spellEnd"/>
      <w:r w:rsidRPr="00B93ABB">
        <w:rPr>
          <w:rFonts w:cs="Tahoma"/>
          <w:color w:val="auto"/>
          <w:kern w:val="0"/>
          <w:lang w:bidi="ar-SA"/>
        </w:rPr>
        <w:t>, I.</w:t>
      </w:r>
      <w:r>
        <w:rPr>
          <w:rFonts w:cs="Tahoma"/>
          <w:color w:val="auto"/>
          <w:kern w:val="0"/>
          <w:lang w:bidi="ar-SA"/>
        </w:rPr>
        <w:t xml:space="preserve"> </w:t>
      </w:r>
      <w:proofErr w:type="spellStart"/>
      <w:r w:rsidRPr="00B93ABB">
        <w:rPr>
          <w:rFonts w:cs="Tahoma"/>
          <w:color w:val="auto"/>
          <w:kern w:val="0"/>
          <w:lang w:bidi="ar-SA"/>
        </w:rPr>
        <w:t>Nompelis</w:t>
      </w:r>
      <w:proofErr w:type="spellEnd"/>
      <w:r w:rsidRPr="00B93ABB">
        <w:rPr>
          <w:rFonts w:cs="Tahoma"/>
          <w:color w:val="auto"/>
          <w:kern w:val="0"/>
          <w:lang w:bidi="ar-SA"/>
        </w:rPr>
        <w:t>, Y.</w:t>
      </w:r>
      <w:r>
        <w:rPr>
          <w:rFonts w:cs="Tahoma"/>
          <w:color w:val="auto"/>
          <w:kern w:val="0"/>
          <w:lang w:bidi="ar-SA"/>
        </w:rPr>
        <w:t xml:space="preserve"> </w:t>
      </w:r>
      <w:proofErr w:type="spellStart"/>
      <w:proofErr w:type="gramStart"/>
      <w:r w:rsidRPr="00B93ABB">
        <w:rPr>
          <w:rFonts w:cs="Tahoma"/>
          <w:color w:val="auto"/>
          <w:kern w:val="0"/>
          <w:lang w:bidi="ar-SA"/>
        </w:rPr>
        <w:t>Paukku</w:t>
      </w:r>
      <w:proofErr w:type="spellEnd"/>
      <w:r w:rsidRPr="00B93ABB">
        <w:rPr>
          <w:rFonts w:cs="Tahoma"/>
          <w:color w:val="auto"/>
          <w:kern w:val="0"/>
          <w:lang w:bidi="ar-SA"/>
        </w:rPr>
        <w:t>,</w:t>
      </w:r>
      <w:r>
        <w:rPr>
          <w:rFonts w:cs="Tahoma"/>
          <w:color w:val="auto"/>
          <w:kern w:val="0"/>
          <w:lang w:bidi="ar-SA"/>
        </w:rPr>
        <w:t xml:space="preserve"> </w:t>
      </w:r>
      <w:r w:rsidRPr="00B93ABB">
        <w:rPr>
          <w:rFonts w:cs="Tahoma"/>
          <w:color w:val="auto"/>
          <w:kern w:val="0"/>
          <w:lang w:bidi="ar-SA"/>
        </w:rPr>
        <w:t xml:space="preserve"> Z.</w:t>
      </w:r>
      <w:proofErr w:type="gramEnd"/>
      <w:r>
        <w:rPr>
          <w:rFonts w:cs="Tahoma"/>
          <w:color w:val="auto"/>
          <w:kern w:val="0"/>
          <w:lang w:bidi="ar-SA"/>
        </w:rPr>
        <w:t xml:space="preserve"> </w:t>
      </w:r>
      <w:proofErr w:type="spellStart"/>
      <w:r w:rsidRPr="00B93ABB">
        <w:rPr>
          <w:rFonts w:cs="Tahoma"/>
          <w:color w:val="auto"/>
          <w:kern w:val="0"/>
          <w:lang w:bidi="ar-SA"/>
        </w:rPr>
        <w:t>Varga</w:t>
      </w:r>
      <w:proofErr w:type="spellEnd"/>
      <w:r w:rsidRPr="00B93ABB">
        <w:rPr>
          <w:rFonts w:cs="Tahoma"/>
          <w:color w:val="auto"/>
          <w:kern w:val="0"/>
          <w:lang w:bidi="ar-SA"/>
        </w:rPr>
        <w:t>, D.G.</w:t>
      </w:r>
      <w:r>
        <w:rPr>
          <w:rFonts w:cs="Tahoma"/>
          <w:color w:val="auto"/>
          <w:kern w:val="0"/>
          <w:lang w:bidi="ar-SA"/>
        </w:rPr>
        <w:t xml:space="preserve"> </w:t>
      </w:r>
      <w:proofErr w:type="spellStart"/>
      <w:r w:rsidRPr="00B93ABB">
        <w:rPr>
          <w:rFonts w:cs="Tahoma"/>
          <w:color w:val="auto"/>
          <w:kern w:val="0"/>
          <w:lang w:bidi="ar-SA"/>
        </w:rPr>
        <w:t>Truhlar</w:t>
      </w:r>
      <w:proofErr w:type="spellEnd"/>
      <w:r w:rsidRPr="00B93ABB">
        <w:rPr>
          <w:rFonts w:cs="Tahoma"/>
          <w:color w:val="auto"/>
          <w:kern w:val="0"/>
          <w:lang w:bidi="ar-SA"/>
        </w:rPr>
        <w:t>, T.</w:t>
      </w:r>
      <w:r>
        <w:rPr>
          <w:rFonts w:cs="Tahoma"/>
          <w:color w:val="auto"/>
          <w:kern w:val="0"/>
          <w:lang w:bidi="ar-SA"/>
        </w:rPr>
        <w:t xml:space="preserve"> </w:t>
      </w:r>
      <w:proofErr w:type="spellStart"/>
      <w:r>
        <w:rPr>
          <w:rFonts w:cs="Tahoma"/>
          <w:color w:val="auto"/>
          <w:kern w:val="0"/>
          <w:lang w:bidi="ar-SA"/>
        </w:rPr>
        <w:t>S</w:t>
      </w:r>
      <w:r w:rsidRPr="00B93ABB">
        <w:rPr>
          <w:rFonts w:cs="Tahoma"/>
          <w:color w:val="auto"/>
          <w:kern w:val="0"/>
          <w:lang w:bidi="ar-SA"/>
        </w:rPr>
        <w:t>chwartzentruber</w:t>
      </w:r>
      <w:proofErr w:type="spellEnd"/>
      <w:r w:rsidRPr="00B93ABB">
        <w:rPr>
          <w:rFonts w:cs="Tahoma"/>
          <w:color w:val="auto"/>
          <w:kern w:val="0"/>
          <w:lang w:bidi="ar-SA"/>
        </w:rPr>
        <w:t>, G.V.</w:t>
      </w:r>
      <w:r>
        <w:rPr>
          <w:rFonts w:cs="Tahoma"/>
          <w:color w:val="auto"/>
          <w:kern w:val="0"/>
          <w:lang w:bidi="ar-SA"/>
        </w:rPr>
        <w:t xml:space="preserve"> </w:t>
      </w:r>
      <w:r w:rsidRPr="00B93ABB">
        <w:rPr>
          <w:rFonts w:cs="Tahoma"/>
          <w:color w:val="auto"/>
          <w:kern w:val="0"/>
          <w:lang w:bidi="ar-SA"/>
        </w:rPr>
        <w:t>Candler, ``An</w:t>
      </w:r>
      <w:r>
        <w:rPr>
          <w:rFonts w:cs="Tahoma"/>
          <w:color w:val="auto"/>
          <w:kern w:val="0"/>
          <w:lang w:bidi="ar-SA"/>
        </w:rPr>
        <w:t xml:space="preserve"> </w:t>
      </w:r>
      <w:r w:rsidRPr="00B93ABB">
        <w:rPr>
          <w:rFonts w:cs="Tahoma"/>
          <w:color w:val="auto"/>
          <w:kern w:val="0"/>
          <w:lang w:bidi="ar-SA"/>
        </w:rPr>
        <w:t>Improved Potential Energy Surface and Multi-Temperature</w:t>
      </w:r>
      <w:r>
        <w:rPr>
          <w:rFonts w:cs="Tahoma"/>
          <w:color w:val="auto"/>
          <w:kern w:val="0"/>
          <w:lang w:bidi="ar-SA"/>
        </w:rPr>
        <w:t xml:space="preserve"> </w:t>
      </w:r>
      <w:proofErr w:type="spellStart"/>
      <w:r w:rsidRPr="00B93ABB">
        <w:rPr>
          <w:rFonts w:cs="Tahoma"/>
          <w:color w:val="auto"/>
          <w:kern w:val="0"/>
          <w:lang w:bidi="ar-SA"/>
        </w:rPr>
        <w:t>Quasiclassical</w:t>
      </w:r>
      <w:proofErr w:type="spellEnd"/>
      <w:r w:rsidRPr="00B93ABB">
        <w:rPr>
          <w:rFonts w:cs="Tahoma"/>
          <w:color w:val="auto"/>
          <w:kern w:val="0"/>
          <w:lang w:bidi="ar-SA"/>
        </w:rPr>
        <w:t xml:space="preserve"> Trajectory Calculations of N</w:t>
      </w:r>
      <w:r w:rsidRPr="00B93ABB">
        <w:rPr>
          <w:rFonts w:cs="Tahoma"/>
          <w:color w:val="auto"/>
          <w:kern w:val="0"/>
          <w:vertAlign w:val="subscript"/>
          <w:lang w:bidi="ar-SA"/>
        </w:rPr>
        <w:t>2</w:t>
      </w:r>
      <w:r w:rsidRPr="00B93ABB">
        <w:rPr>
          <w:rFonts w:cs="Tahoma"/>
          <w:color w:val="auto"/>
          <w:kern w:val="0"/>
          <w:lang w:bidi="ar-SA"/>
        </w:rPr>
        <w:t>+N</w:t>
      </w:r>
      <w:r w:rsidRPr="00B93ABB">
        <w:rPr>
          <w:rFonts w:cs="Tahoma"/>
          <w:color w:val="auto"/>
          <w:kern w:val="0"/>
          <w:vertAlign w:val="subscript"/>
          <w:lang w:bidi="ar-SA"/>
        </w:rPr>
        <w:t>2</w:t>
      </w:r>
      <w:r w:rsidRPr="00B93ABB">
        <w:rPr>
          <w:rFonts w:cs="Tahoma"/>
          <w:color w:val="auto"/>
          <w:kern w:val="0"/>
          <w:lang w:bidi="ar-SA"/>
        </w:rPr>
        <w:t xml:space="preserve"> Dissociation reactions,'' J. Chem. Phys. 143(5), 054304 (2015).</w:t>
      </w:r>
    </w:p>
    <w:p w:rsidR="00B325A2" w:rsidRPr="00B93ABB" w:rsidRDefault="00B325A2" w:rsidP="00B93ABB">
      <w:pPr>
        <w:overflowPunct/>
        <w:autoSpaceDE w:val="0"/>
        <w:autoSpaceDN w:val="0"/>
        <w:adjustRightInd w:val="0"/>
        <w:jc w:val="both"/>
        <w:rPr>
          <w:rFonts w:cs="Tahoma"/>
          <w:color w:val="auto"/>
          <w:kern w:val="0"/>
          <w:lang w:bidi="ar-SA"/>
        </w:rPr>
      </w:pPr>
      <w:r w:rsidRPr="00B93ABB">
        <w:rPr>
          <w:rFonts w:cs="Tahoma"/>
          <w:color w:val="auto"/>
          <w:kern w:val="0"/>
          <w:lang w:bidi="ar-SA"/>
        </w:rPr>
        <w:t xml:space="preserve">[11] D.A. </w:t>
      </w:r>
      <w:proofErr w:type="spellStart"/>
      <w:r w:rsidRPr="00B93ABB">
        <w:rPr>
          <w:rFonts w:cs="Tahoma"/>
          <w:color w:val="auto"/>
          <w:kern w:val="0"/>
          <w:lang w:bidi="ar-SA"/>
        </w:rPr>
        <w:t>Andrienko</w:t>
      </w:r>
      <w:proofErr w:type="spellEnd"/>
      <w:r w:rsidRPr="00B93ABB">
        <w:rPr>
          <w:rFonts w:cs="Tahoma"/>
          <w:color w:val="auto"/>
          <w:kern w:val="0"/>
          <w:lang w:bidi="ar-SA"/>
        </w:rPr>
        <w:t xml:space="preserve">, K. </w:t>
      </w:r>
      <w:proofErr w:type="spellStart"/>
      <w:r w:rsidRPr="00B93ABB">
        <w:rPr>
          <w:rFonts w:cs="Tahoma"/>
          <w:color w:val="auto"/>
          <w:kern w:val="0"/>
          <w:lang w:bidi="ar-SA"/>
        </w:rPr>
        <w:t>Neitzel</w:t>
      </w:r>
      <w:proofErr w:type="spellEnd"/>
      <w:r w:rsidRPr="00B93ABB">
        <w:rPr>
          <w:rFonts w:cs="Tahoma"/>
          <w:color w:val="auto"/>
          <w:kern w:val="0"/>
          <w:lang w:bidi="ar-SA"/>
        </w:rPr>
        <w:t>, I.D. Boyd, ``Vibrational relaxation and dissociation in O</w:t>
      </w:r>
      <w:r w:rsidRPr="00B93ABB">
        <w:rPr>
          <w:rFonts w:cs="Tahoma"/>
          <w:color w:val="auto"/>
          <w:kern w:val="0"/>
          <w:vertAlign w:val="subscript"/>
          <w:lang w:bidi="ar-SA"/>
        </w:rPr>
        <w:t>2</w:t>
      </w:r>
      <w:r w:rsidRPr="00B93ABB">
        <w:rPr>
          <w:rFonts w:cs="Tahoma"/>
          <w:color w:val="auto"/>
          <w:kern w:val="0"/>
          <w:lang w:bidi="ar-SA"/>
        </w:rPr>
        <w:t>-O mixtures,''</w:t>
      </w:r>
      <w:r>
        <w:rPr>
          <w:rFonts w:cs="Tahoma"/>
          <w:color w:val="auto"/>
          <w:kern w:val="0"/>
          <w:lang w:bidi="ar-SA"/>
        </w:rPr>
        <w:t xml:space="preserve"> </w:t>
      </w:r>
      <w:r w:rsidRPr="00B93ABB">
        <w:rPr>
          <w:rFonts w:cs="Tahoma"/>
          <w:color w:val="auto"/>
          <w:kern w:val="0"/>
          <w:lang w:bidi="ar-SA"/>
        </w:rPr>
        <w:t xml:space="preserve">AIAA Paper 2016-4021. </w:t>
      </w:r>
    </w:p>
    <w:p w:rsidR="00B325A2" w:rsidRPr="00B93ABB" w:rsidRDefault="00B325A2" w:rsidP="00B93ABB">
      <w:pPr>
        <w:overflowPunct/>
        <w:autoSpaceDE w:val="0"/>
        <w:autoSpaceDN w:val="0"/>
        <w:adjustRightInd w:val="0"/>
        <w:jc w:val="both"/>
        <w:rPr>
          <w:rFonts w:cs="Tahoma"/>
          <w:color w:val="auto"/>
          <w:kern w:val="0"/>
          <w:lang w:bidi="ar-SA"/>
        </w:rPr>
      </w:pPr>
      <w:r w:rsidRPr="00B93ABB">
        <w:rPr>
          <w:rFonts w:cs="Tahoma"/>
          <w:color w:val="auto"/>
          <w:kern w:val="0"/>
          <w:lang w:bidi="ar-SA"/>
        </w:rPr>
        <w:t xml:space="preserve">[12] T.E. </w:t>
      </w:r>
      <w:proofErr w:type="spellStart"/>
      <w:r w:rsidRPr="00B93ABB">
        <w:rPr>
          <w:rFonts w:cs="Tahoma"/>
          <w:color w:val="auto"/>
          <w:kern w:val="0"/>
          <w:lang w:bidi="ar-SA"/>
        </w:rPr>
        <w:t>Schwartzentruber</w:t>
      </w:r>
      <w:proofErr w:type="spellEnd"/>
      <w:r w:rsidRPr="00B93ABB">
        <w:rPr>
          <w:rFonts w:cs="Tahoma"/>
          <w:color w:val="auto"/>
          <w:kern w:val="0"/>
          <w:lang w:bidi="ar-SA"/>
        </w:rPr>
        <w:t xml:space="preserve">, M.S. Grover, and P. </w:t>
      </w:r>
      <w:proofErr w:type="spellStart"/>
      <w:r w:rsidRPr="00B93ABB">
        <w:rPr>
          <w:rFonts w:cs="Tahoma"/>
          <w:color w:val="auto"/>
          <w:kern w:val="0"/>
          <w:lang w:bidi="ar-SA"/>
        </w:rPr>
        <w:t>Valentini</w:t>
      </w:r>
      <w:proofErr w:type="spellEnd"/>
      <w:r w:rsidRPr="00B93ABB">
        <w:rPr>
          <w:rFonts w:cs="Tahoma"/>
          <w:color w:val="auto"/>
          <w:kern w:val="0"/>
          <w:lang w:bidi="ar-SA"/>
        </w:rPr>
        <w:t xml:space="preserve">, ``Direct Molecular Simulation of Nonequilibrium Dilute Gases,'' J. </w:t>
      </w:r>
      <w:proofErr w:type="spellStart"/>
      <w:r w:rsidRPr="00B93ABB">
        <w:rPr>
          <w:rFonts w:cs="Tahoma"/>
          <w:color w:val="auto"/>
          <w:kern w:val="0"/>
          <w:lang w:bidi="ar-SA"/>
        </w:rPr>
        <w:t>Thermohys</w:t>
      </w:r>
      <w:proofErr w:type="spellEnd"/>
      <w:r w:rsidRPr="00B93ABB">
        <w:rPr>
          <w:rFonts w:cs="Tahoma"/>
          <w:color w:val="auto"/>
          <w:kern w:val="0"/>
          <w:lang w:bidi="ar-SA"/>
        </w:rPr>
        <w:t>. Heat Trans. Dec. 2017.</w:t>
      </w:r>
    </w:p>
    <w:p w:rsidR="00B5356D" w:rsidRDefault="00B5356D" w:rsidP="00B325A2">
      <w:pPr>
        <w:spacing w:before="57" w:after="57"/>
        <w:jc w:val="both"/>
      </w:pPr>
      <w:r>
        <w:rPr>
          <w:rFonts w:cs="Tahoma"/>
        </w:rPr>
        <w:t xml:space="preserve">[13] </w:t>
      </w:r>
      <w:r>
        <w:t xml:space="preserve">S. Karl, J. Martinez-Schramm, and K. </w:t>
      </w:r>
      <w:proofErr w:type="spellStart"/>
      <w:r>
        <w:t>Hannemann</w:t>
      </w:r>
      <w:proofErr w:type="spellEnd"/>
      <w:r>
        <w:t xml:space="preserve">, “High enthalpy cylinder flow in HEG: a basis for CFD validation,” AIAA Paper 2003-4252 (2003). </w:t>
      </w:r>
    </w:p>
    <w:p w:rsidR="004A12B6" w:rsidRDefault="00B5356D" w:rsidP="00B325A2">
      <w:pPr>
        <w:spacing w:before="57" w:after="57"/>
        <w:jc w:val="both"/>
        <w:rPr>
          <w:rFonts w:cs="Tahoma"/>
        </w:rPr>
      </w:pPr>
      <w:r>
        <w:t xml:space="preserve">[14] D. Knight, J. Longo, D. </w:t>
      </w:r>
      <w:proofErr w:type="spellStart"/>
      <w:r>
        <w:t>Drikakis</w:t>
      </w:r>
      <w:proofErr w:type="spellEnd"/>
      <w:r>
        <w:t xml:space="preserve">, D. Gaitonde, A. </w:t>
      </w:r>
      <w:proofErr w:type="spellStart"/>
      <w:r>
        <w:t>Lani</w:t>
      </w:r>
      <w:proofErr w:type="spellEnd"/>
      <w:r>
        <w:t xml:space="preserve">, I. </w:t>
      </w:r>
      <w:proofErr w:type="spellStart"/>
      <w:r>
        <w:t>Nompelis</w:t>
      </w:r>
      <w:proofErr w:type="spellEnd"/>
      <w:r>
        <w:t xml:space="preserve">, B. </w:t>
      </w:r>
      <w:proofErr w:type="spellStart"/>
      <w:r>
        <w:t>Reinmann</w:t>
      </w:r>
      <w:proofErr w:type="spellEnd"/>
      <w:r>
        <w:t xml:space="preserve">, L. </w:t>
      </w:r>
      <w:proofErr w:type="spellStart"/>
      <w:r>
        <w:t>Walpot</w:t>
      </w:r>
      <w:proofErr w:type="spellEnd"/>
      <w:r>
        <w:t xml:space="preserve">, “Assessment of CFD capability for prediction of hypersonic shock interactions,” </w:t>
      </w:r>
      <w:proofErr w:type="spellStart"/>
      <w:r>
        <w:t>Progr</w:t>
      </w:r>
      <w:proofErr w:type="spellEnd"/>
      <w:r>
        <w:t>. Aerospace Sciences 48-49, 8-26 (2012).</w:t>
      </w:r>
    </w:p>
    <w:p w:rsidR="00B5356D" w:rsidRPr="00B93ABB" w:rsidRDefault="00B5356D" w:rsidP="00B93ABB">
      <w:pPr>
        <w:spacing w:before="57" w:after="57"/>
        <w:jc w:val="both"/>
        <w:rPr>
          <w:rFonts w:cs="Tahoma"/>
        </w:rPr>
      </w:pPr>
      <w:r>
        <w:rPr>
          <w:rFonts w:cs="Tahoma"/>
        </w:rPr>
        <w:t xml:space="preserve"> </w:t>
      </w:r>
    </w:p>
    <w:sectPr w:rsidR="00B5356D" w:rsidRPr="00B93ABB" w:rsidSect="00AD10C4">
      <w:footerReference w:type="default" r:id="rId9"/>
      <w:footerReference w:type="first" r:id="rId10"/>
      <w:pgSz w:w="12240" w:h="15840"/>
      <w:pgMar w:top="1134" w:right="1134" w:bottom="573" w:left="1134" w:header="0" w:footer="0" w:gutter="0"/>
      <w:cols w:space="720"/>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3C3C" w:rsidRDefault="00ED3C3C">
      <w:r>
        <w:separator/>
      </w:r>
    </w:p>
  </w:endnote>
  <w:endnote w:type="continuationSeparator" w:id="0">
    <w:p w:rsidR="00ED3C3C" w:rsidRDefault="00ED3C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Calibri"/>
    <w:charset w:val="01"/>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ohit Devanagari">
    <w:altName w:val="Cambria"/>
    <w:panose1 w:val="00000000000000000000"/>
    <w:charset w:val="00"/>
    <w:family w:val="roman"/>
    <w:notTrueType/>
    <w:pitch w:val="default"/>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1A18" w:rsidRDefault="00771A18">
    <w:pPr>
      <w:pStyle w:val="Footer"/>
    </w:pPr>
    <w:r>
      <w:t xml:space="preserve"> </w:t>
    </w:r>
  </w:p>
  <w:p w:rsidR="00771A18" w:rsidRDefault="00771A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1A18" w:rsidRDefault="00771A18" w:rsidP="00016536">
    <w:pPr>
      <w:pStyle w:val="Footer"/>
    </w:pPr>
    <w:r w:rsidRPr="00EB2177">
      <w:rPr>
        <w:vertAlign w:val="superscript"/>
      </w:rPr>
      <w:footnoteRef/>
    </w:r>
    <w:r>
      <w:t xml:space="preserve"> The authors are grateful to Dr. </w:t>
    </w:r>
    <w:proofErr w:type="spellStart"/>
    <w:r>
      <w:t>Eswar</w:t>
    </w:r>
    <w:proofErr w:type="spellEnd"/>
    <w:r>
      <w:t xml:space="preserve"> </w:t>
    </w:r>
    <w:proofErr w:type="spellStart"/>
    <w:r>
      <w:t>Josyula</w:t>
    </w:r>
    <w:proofErr w:type="spellEnd"/>
    <w:r>
      <w:t xml:space="preserve"> for his contribution and initiation of this topic via the non-equilibrium discussion group and to Prof. Iain Boyd for important discussions.</w:t>
    </w:r>
  </w:p>
  <w:p w:rsidR="00771A18" w:rsidRDefault="00771A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3C3C" w:rsidRDefault="00ED3C3C">
      <w:r>
        <w:separator/>
      </w:r>
    </w:p>
  </w:footnote>
  <w:footnote w:type="continuationSeparator" w:id="0">
    <w:p w:rsidR="00ED3C3C" w:rsidRDefault="00ED3C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6054D"/>
    <w:multiLevelType w:val="multilevel"/>
    <w:tmpl w:val="31DC2C6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FFD7E5E"/>
    <w:multiLevelType w:val="multilevel"/>
    <w:tmpl w:val="3BDA6C2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9DB1D4A"/>
    <w:multiLevelType w:val="hybridMultilevel"/>
    <w:tmpl w:val="EC34423A"/>
    <w:lvl w:ilvl="0" w:tplc="B5449754">
      <w:start w:val="1"/>
      <w:numFmt w:val="upperLetter"/>
      <w:lvlText w:val="%1."/>
      <w:lvlJc w:val="left"/>
      <w:pPr>
        <w:ind w:left="744" w:hanging="3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9253D9"/>
    <w:multiLevelType w:val="multilevel"/>
    <w:tmpl w:val="F1E8D4E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231768B5"/>
    <w:multiLevelType w:val="multilevel"/>
    <w:tmpl w:val="7F0458C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36052F02"/>
    <w:multiLevelType w:val="multilevel"/>
    <w:tmpl w:val="3DC40A1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372B2D8F"/>
    <w:multiLevelType w:val="multilevel"/>
    <w:tmpl w:val="FDD0BE6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44390A75"/>
    <w:multiLevelType w:val="multilevel"/>
    <w:tmpl w:val="DC4E498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512A060F"/>
    <w:multiLevelType w:val="multilevel"/>
    <w:tmpl w:val="2ADA638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53E3756D"/>
    <w:multiLevelType w:val="multilevel"/>
    <w:tmpl w:val="6D908BA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62AD4210"/>
    <w:multiLevelType w:val="hybridMultilevel"/>
    <w:tmpl w:val="3B2A4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9"/>
  </w:num>
  <w:num w:numId="4">
    <w:abstractNumId w:val="7"/>
  </w:num>
  <w:num w:numId="5">
    <w:abstractNumId w:val="0"/>
  </w:num>
  <w:num w:numId="6">
    <w:abstractNumId w:val="8"/>
  </w:num>
  <w:num w:numId="7">
    <w:abstractNumId w:val="3"/>
  </w:num>
  <w:num w:numId="8">
    <w:abstractNumId w:val="4"/>
  </w:num>
  <w:num w:numId="9">
    <w:abstractNumId w:val="6"/>
  </w:num>
  <w:num w:numId="10">
    <w:abstractNumId w:val="10"/>
  </w:num>
  <w:num w:numId="11">
    <w:abstractNumId w:val="2"/>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08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19C9"/>
    <w:rsid w:val="00016536"/>
    <w:rsid w:val="00055787"/>
    <w:rsid w:val="00083BEF"/>
    <w:rsid w:val="00091FB3"/>
    <w:rsid w:val="000B19C9"/>
    <w:rsid w:val="000B3D7F"/>
    <w:rsid w:val="000C1662"/>
    <w:rsid w:val="000F29B8"/>
    <w:rsid w:val="00153A42"/>
    <w:rsid w:val="001F41EE"/>
    <w:rsid w:val="0022560C"/>
    <w:rsid w:val="0023389F"/>
    <w:rsid w:val="00235BFE"/>
    <w:rsid w:val="00255650"/>
    <w:rsid w:val="0025657C"/>
    <w:rsid w:val="00271A8B"/>
    <w:rsid w:val="002C19A9"/>
    <w:rsid w:val="002C4BC4"/>
    <w:rsid w:val="00301E81"/>
    <w:rsid w:val="00361C6F"/>
    <w:rsid w:val="0036392D"/>
    <w:rsid w:val="003721BA"/>
    <w:rsid w:val="003B7339"/>
    <w:rsid w:val="004507C1"/>
    <w:rsid w:val="00461015"/>
    <w:rsid w:val="004A12B6"/>
    <w:rsid w:val="00530C55"/>
    <w:rsid w:val="0055632D"/>
    <w:rsid w:val="00590157"/>
    <w:rsid w:val="005A3B1B"/>
    <w:rsid w:val="00621311"/>
    <w:rsid w:val="00622927"/>
    <w:rsid w:val="00634969"/>
    <w:rsid w:val="0064417D"/>
    <w:rsid w:val="006628A7"/>
    <w:rsid w:val="00677B47"/>
    <w:rsid w:val="006A43C9"/>
    <w:rsid w:val="006A55C2"/>
    <w:rsid w:val="006F261B"/>
    <w:rsid w:val="00762343"/>
    <w:rsid w:val="00771A18"/>
    <w:rsid w:val="007A3F94"/>
    <w:rsid w:val="007D7FA1"/>
    <w:rsid w:val="00827150"/>
    <w:rsid w:val="008359F1"/>
    <w:rsid w:val="0084093A"/>
    <w:rsid w:val="008565BA"/>
    <w:rsid w:val="00867002"/>
    <w:rsid w:val="00870337"/>
    <w:rsid w:val="008871AF"/>
    <w:rsid w:val="008B1B2F"/>
    <w:rsid w:val="008C1D12"/>
    <w:rsid w:val="008C2FDF"/>
    <w:rsid w:val="009068F6"/>
    <w:rsid w:val="0093415A"/>
    <w:rsid w:val="009B2DA3"/>
    <w:rsid w:val="009F0513"/>
    <w:rsid w:val="00A16EB4"/>
    <w:rsid w:val="00A23C8A"/>
    <w:rsid w:val="00A30BD8"/>
    <w:rsid w:val="00AD10C4"/>
    <w:rsid w:val="00AE2CF2"/>
    <w:rsid w:val="00AF14E2"/>
    <w:rsid w:val="00B03703"/>
    <w:rsid w:val="00B110B3"/>
    <w:rsid w:val="00B325A2"/>
    <w:rsid w:val="00B35F00"/>
    <w:rsid w:val="00B40744"/>
    <w:rsid w:val="00B44490"/>
    <w:rsid w:val="00B5356D"/>
    <w:rsid w:val="00B72789"/>
    <w:rsid w:val="00B75642"/>
    <w:rsid w:val="00B93ABB"/>
    <w:rsid w:val="00BF2FD6"/>
    <w:rsid w:val="00C309AD"/>
    <w:rsid w:val="00C36AA0"/>
    <w:rsid w:val="00C47F07"/>
    <w:rsid w:val="00C548B1"/>
    <w:rsid w:val="00C96F1B"/>
    <w:rsid w:val="00CC235C"/>
    <w:rsid w:val="00D026AD"/>
    <w:rsid w:val="00D17BC6"/>
    <w:rsid w:val="00E46236"/>
    <w:rsid w:val="00EB2177"/>
    <w:rsid w:val="00ED3C3C"/>
    <w:rsid w:val="00ED4709"/>
    <w:rsid w:val="00EE6BC4"/>
    <w:rsid w:val="00F15D2A"/>
    <w:rsid w:val="00F15EC7"/>
    <w:rsid w:val="00F764A6"/>
    <w:rsid w:val="00F770D1"/>
    <w:rsid w:val="00FA28FC"/>
    <w:rsid w:val="00FB25DB"/>
    <w:rsid w:val="00FD33A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4D9A2"/>
  <w15:docId w15:val="{9F875E50-C370-404E-80E4-1562057D7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Tahoma" w:hAnsi="Tahoma" w:cs="Lohit Devanagari"/>
        <w:kern w:val="2"/>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overflowPunct w:val="0"/>
    </w:pPr>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HeaderChar">
    <w:name w:val="Header Char"/>
    <w:basedOn w:val="DefaultParagraphFont"/>
    <w:qFormat/>
    <w:rPr>
      <w:rFonts w:cs="Mangal"/>
      <w:color w:val="00000A"/>
      <w:sz w:val="24"/>
      <w:szCs w:val="21"/>
    </w:rPr>
  </w:style>
  <w:style w:type="character" w:customStyle="1" w:styleId="FooterChar">
    <w:name w:val="Footer Char"/>
    <w:basedOn w:val="DefaultParagraphFont"/>
    <w:uiPriority w:val="99"/>
    <w:qFormat/>
    <w:rPr>
      <w:rFonts w:cs="Mangal"/>
      <w:color w:val="00000A"/>
      <w:sz w:val="24"/>
      <w:szCs w:val="21"/>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Characters">
    <w:name w:val="Endnote Characters"/>
    <w:qFormat/>
  </w:style>
  <w:style w:type="character" w:customStyle="1" w:styleId="EndnoteAnchor">
    <w:name w:val="Endnote Anchor"/>
    <w:rPr>
      <w:vertAlign w:val="superscript"/>
    </w:rPr>
  </w:style>
  <w:style w:type="paragraph" w:customStyle="1" w:styleId="Heading">
    <w:name w:val="Heading"/>
    <w:basedOn w:val="Normal"/>
    <w:next w:val="BodyText"/>
    <w:qFormat/>
    <w:pPr>
      <w:keepNext/>
      <w:spacing w:before="240" w:after="120"/>
    </w:pPr>
    <w:rPr>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style>
  <w:style w:type="paragraph" w:customStyle="1" w:styleId="PreformattedText">
    <w:name w:val="Preformatted Text"/>
    <w:basedOn w:val="Normal"/>
    <w:qFormat/>
  </w:style>
  <w:style w:type="paragraph" w:styleId="Header">
    <w:name w:val="header"/>
    <w:basedOn w:val="Normal"/>
    <w:pPr>
      <w:tabs>
        <w:tab w:val="center" w:pos="4680"/>
        <w:tab w:val="right" w:pos="9360"/>
      </w:tabs>
    </w:pPr>
    <w:rPr>
      <w:rFonts w:cs="Mangal"/>
      <w:szCs w:val="21"/>
    </w:rPr>
  </w:style>
  <w:style w:type="paragraph" w:styleId="Footer">
    <w:name w:val="footer"/>
    <w:basedOn w:val="Normal"/>
    <w:uiPriority w:val="99"/>
    <w:pPr>
      <w:tabs>
        <w:tab w:val="center" w:pos="4680"/>
        <w:tab w:val="right" w:pos="9360"/>
      </w:tabs>
    </w:pPr>
    <w:rPr>
      <w:rFonts w:cs="Mangal"/>
      <w:szCs w:val="21"/>
    </w:rPr>
  </w:style>
  <w:style w:type="paragraph" w:styleId="FootnoteText">
    <w:name w:val="footnote text"/>
    <w:basedOn w:val="Normal"/>
  </w:style>
  <w:style w:type="paragraph" w:styleId="EndnoteText">
    <w:name w:val="endnote text"/>
    <w:basedOn w:val="Normal"/>
  </w:style>
  <w:style w:type="paragraph" w:styleId="BalloonText">
    <w:name w:val="Balloon Text"/>
    <w:basedOn w:val="Normal"/>
    <w:link w:val="BalloonTextChar"/>
    <w:uiPriority w:val="99"/>
    <w:semiHidden/>
    <w:unhideWhenUsed/>
    <w:rsid w:val="00EB2177"/>
    <w:rPr>
      <w:rFonts w:ascii="Segoe UI" w:hAnsi="Segoe UI" w:cs="Mangal"/>
      <w:sz w:val="18"/>
      <w:szCs w:val="16"/>
    </w:rPr>
  </w:style>
  <w:style w:type="character" w:customStyle="1" w:styleId="BalloonTextChar">
    <w:name w:val="Balloon Text Char"/>
    <w:basedOn w:val="DefaultParagraphFont"/>
    <w:link w:val="BalloonText"/>
    <w:uiPriority w:val="99"/>
    <w:semiHidden/>
    <w:rsid w:val="00EB2177"/>
    <w:rPr>
      <w:rFonts w:ascii="Segoe UI" w:hAnsi="Segoe UI" w:cs="Mangal"/>
      <w:color w:val="00000A"/>
      <w:sz w:val="18"/>
      <w:szCs w:val="16"/>
    </w:rPr>
  </w:style>
  <w:style w:type="paragraph" w:styleId="ListParagraph">
    <w:name w:val="List Paragraph"/>
    <w:basedOn w:val="Normal"/>
    <w:uiPriority w:val="34"/>
    <w:qFormat/>
    <w:rsid w:val="0022560C"/>
    <w:pPr>
      <w:ind w:left="720"/>
      <w:contextualSpacing/>
    </w:pPr>
    <w:rPr>
      <w:rFonts w:cs="Mangal"/>
      <w:szCs w:val="21"/>
    </w:rPr>
  </w:style>
  <w:style w:type="paragraph" w:styleId="Revision">
    <w:name w:val="Revision"/>
    <w:hidden/>
    <w:uiPriority w:val="99"/>
    <w:semiHidden/>
    <w:rsid w:val="001F41EE"/>
    <w:rPr>
      <w:rFonts w:cs="Mangal"/>
      <w:color w:val="00000A"/>
      <w:sz w:val="24"/>
      <w:szCs w:val="21"/>
    </w:rPr>
  </w:style>
  <w:style w:type="character" w:styleId="PlaceholderText">
    <w:name w:val="Placeholder Text"/>
    <w:basedOn w:val="DefaultParagraphFont"/>
    <w:uiPriority w:val="99"/>
    <w:semiHidden/>
    <w:rsid w:val="0036392D"/>
    <w:rPr>
      <w:color w:val="808080"/>
    </w:rPr>
  </w:style>
  <w:style w:type="character" w:styleId="Hyperlink">
    <w:name w:val="Hyperlink"/>
    <w:basedOn w:val="DefaultParagraphFont"/>
    <w:uiPriority w:val="99"/>
    <w:unhideWhenUsed/>
    <w:rsid w:val="004A12B6"/>
    <w:rPr>
      <w:color w:val="0563C1" w:themeColor="hyperlink"/>
      <w:u w:val="single"/>
    </w:rPr>
  </w:style>
  <w:style w:type="character" w:styleId="UnresolvedMention">
    <w:name w:val="Unresolved Mention"/>
    <w:basedOn w:val="DefaultParagraphFont"/>
    <w:uiPriority w:val="99"/>
    <w:semiHidden/>
    <w:unhideWhenUsed/>
    <w:rsid w:val="004A12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9514279">
      <w:bodyDiv w:val="1"/>
      <w:marLeft w:val="0"/>
      <w:marRight w:val="0"/>
      <w:marTop w:val="0"/>
      <w:marBottom w:val="0"/>
      <w:divBdr>
        <w:top w:val="none" w:sz="0" w:space="0" w:color="auto"/>
        <w:left w:val="none" w:sz="0" w:space="0" w:color="auto"/>
        <w:bottom w:val="none" w:sz="0" w:space="0" w:color="auto"/>
        <w:right w:val="none" w:sz="0" w:space="0" w:color="auto"/>
      </w:divBdr>
    </w:div>
    <w:div w:id="12488047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pectralfit.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77DE3-62E1-4420-9033-D8DAA4D68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1122</TotalTime>
  <Pages>9</Pages>
  <Words>3214</Words>
  <Characters>18320</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WYSONG, INGRID J DR-04 USAF AFMC AFRL/RQRC</dc:creator>
  <dc:description/>
  <cp:lastModifiedBy>gimel</cp:lastModifiedBy>
  <cp:revision>4</cp:revision>
  <cp:lastPrinted>2017-11-09T23:28:00Z</cp:lastPrinted>
  <dcterms:created xsi:type="dcterms:W3CDTF">2018-10-05T03:20:00Z</dcterms:created>
  <dcterms:modified xsi:type="dcterms:W3CDTF">2018-10-24T17:03:00Z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