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34"/>
          <w:szCs w:val="34"/>
        </w:rPr>
        <w:t xml:space="preserve">Command of the Message — Decagon for Bookly</w:t>
      </w:r>
    </w:p>
    <w:p>
      <w:pPr>
        <w:spacing w:after="200"/>
      </w:pPr>
      <w:r>
        <w:rPr>
          <w:i/>
          <w:iCs/>
          <w:color w:val="5C7A80"/>
          <w:sz w:val="20"/>
          <w:szCs w:val="20"/>
        </w:rPr>
        <w:t xml:space="preserve">Force Management methodology applied to the Bookly opportunity  |  Decagon SE Take-Home</w:t>
      </w:r>
    </w:p>
    <w:p>
      <w:pPr>
        <w:pStyle w:val="Heading1"/>
        <w:spacing w:after="120" w:before="320"/>
      </w:pPr>
      <w:r>
        <w:t xml:space="preserve">1. Power Positioning Statement</w:t>
      </w:r>
    </w:p>
    <w:p>
      <w:pPr>
        <w:spacing w:after="120"/>
      </w:pPr>
      <w:r>
        <w:rPr>
          <w:sz w:val="21"/>
          <w:szCs w:val="21"/>
        </w:rPr>
        <w:t xml:space="preserve">For </w:t>
      </w:r>
      <w:r>
        <w:rPr>
          <w:b/>
          <w:bCs/>
          <w:sz w:val="21"/>
          <w:szCs w:val="21"/>
        </w:rPr>
        <w:t xml:space="preserve">Bookly's VP of Customer Experience, </w:t>
      </w:r>
      <w:r>
        <w:rPr>
          <w:sz w:val="21"/>
          <w:szCs w:val="21"/>
        </w:rPr>
        <w:t xml:space="preserve">who </w:t>
      </w:r>
      <w:r>
        <w:rPr>
          <w:b/>
          <w:bCs/>
          <w:sz w:val="21"/>
          <w:szCs w:val="21"/>
        </w:rPr>
        <w:t xml:space="preserve">needs to absorb BookTok-driven order spikes without linear headcount growth, while keeping the personal, trustworthy service that built Bookly's reputation, </w:t>
      </w:r>
      <w:r>
        <w:rPr>
          <w:sz w:val="21"/>
          <w:szCs w:val="21"/>
        </w:rPr>
        <w:t xml:space="preserve">Decagon is a </w:t>
      </w:r>
      <w:r>
        <w:rPr>
          <w:b/>
          <w:bCs/>
          <w:sz w:val="21"/>
          <w:szCs w:val="21"/>
        </w:rPr>
        <w:t xml:space="preserve">customer support AI agent platform </w:t>
      </w:r>
      <w:r>
        <w:rPr>
          <w:sz w:val="21"/>
          <w:szCs w:val="21"/>
        </w:rPr>
        <w:t xml:space="preserve">that </w:t>
      </w:r>
      <w:r>
        <w:rPr>
          <w:b/>
          <w:bCs/>
          <w:sz w:val="21"/>
          <w:szCs w:val="21"/>
        </w:rPr>
        <w:t xml:space="preserve">resolves order-status, returns, and policy questions instantly and accurately, and hands off to a human the moment it isn't confident. </w:t>
      </w:r>
      <w:r>
        <w:rPr>
          <w:sz w:val="21"/>
          <w:szCs w:val="21"/>
        </w:rPr>
        <w:t xml:space="preserve">Unlike </w:t>
      </w:r>
      <w:r>
        <w:rPr>
          <w:b/>
          <w:bCs/>
          <w:sz w:val="21"/>
          <w:szCs w:val="21"/>
        </w:rPr>
        <w:t xml:space="preserve">generic chatbots or simply hiring more seasonal support staff, </w:t>
      </w:r>
      <w:r>
        <w:rPr>
          <w:sz w:val="21"/>
          <w:szCs w:val="21"/>
        </w:rPr>
        <w:t xml:space="preserve">Decagon </w:t>
      </w:r>
      <w:r>
        <w:rPr>
          <w:b/>
          <w:bCs/>
          <w:sz w:val="21"/>
          <w:szCs w:val="21"/>
        </w:rPr>
        <w:t xml:space="preserve">lets Bookly's own CX team — not engineers — write and adjust the agent's logic in plain language, and embeds directly into the tools reps already use.</w:t>
      </w:r>
    </w:p>
    <w:p>
      <w:pPr>
        <w:pStyle w:val="Heading1"/>
        <w:spacing w:after="120" w:before="320"/>
      </w:pPr>
      <w:r>
        <w:t xml:space="preserve">2. Current State / Trigger</w:t>
      </w:r>
    </w:p>
    <w:p>
      <w:pPr>
        <w:pStyle w:val="ListParagraph"/>
        <w:numPr>
          <w:ilvl w:val="0"/>
          <w:numId w:val="1"/>
        </w:numPr>
        <w:spacing w:after="60"/>
      </w:pPr>
      <w:r>
        <w:t xml:space="preserve">A book (or author) goes viral on BookTok and order volume triples overnight — a real, recurring dynamic that has hit even Barnes &amp; Noble's support queue in 2026.</w:t>
      </w:r>
    </w:p>
    <w:p>
      <w:pPr>
        <w:pStyle w:val="ListParagraph"/>
        <w:numPr>
          <w:ilvl w:val="0"/>
          <w:numId w:val="1"/>
        </w:numPr>
        <w:spacing w:after="60"/>
      </w:pPr>
      <w:r>
        <w:t xml:space="preserve">Support reps spend the bulk of their time on repetitive “where's my order” and “can I return this” questions instead of higher-value, brand-building interactions.</w:t>
      </w:r>
    </w:p>
    <w:p>
      <w:pPr>
        <w:pStyle w:val="ListParagraph"/>
        <w:numPr>
          <w:ilvl w:val="0"/>
          <w:numId w:val="1"/>
        </w:numPr>
        <w:spacing w:after="60"/>
      </w:pPr>
      <w:r>
        <w:t xml:space="preserve">Bookly's brand promise is Strand-style intimacy (knowledgeable, personal, “23 miles of books” character) — but its support operation is being asked to scale like a mass retailer.</w:t>
      </w:r>
    </w:p>
    <w:p>
      <w:pPr>
        <w:pStyle w:val="Heading1"/>
        <w:spacing w:after="120" w:before="320"/>
      </w:pPr>
      <w:r>
        <w:t xml:space="preserve">3. Negative Consequences (of doing nothing)</w:t>
      </w:r>
    </w:p>
    <w:p>
      <w:pPr>
        <w:pStyle w:val="ListParagraph"/>
        <w:numPr>
          <w:ilvl w:val="0"/>
          <w:numId w:val="1"/>
        </w:numPr>
        <w:spacing w:after="60"/>
      </w:pPr>
      <w:r>
        <w:t xml:space="preserve">Order-delay and refund complaints compound publicly: Barnes &amp; Noble currently carries 300+ BBB complaints and roughly a 1.4-star Trustpilot average, driven largely by shipping backlogs and returns friction — the exact reputational failure mode Bookly wants to avoid.</w:t>
      </w:r>
    </w:p>
    <w:p>
      <w:pPr>
        <w:pStyle w:val="ListParagraph"/>
        <w:numPr>
          <w:ilvl w:val="0"/>
          <w:numId w:val="1"/>
        </w:numPr>
        <w:spacing w:after="60"/>
      </w:pPr>
      <w:r>
        <w:t xml:space="preserve">Every hour a rep spends manually checking order status is an hour not spent on the differentiated service (e.g., finding a rare or out-of-print edition) that actually earns loyalty.</w:t>
      </w:r>
    </w:p>
    <w:p>
      <w:pPr>
        <w:pStyle w:val="ListParagraph"/>
        <w:numPr>
          <w:ilvl w:val="0"/>
          <w:numId w:val="1"/>
        </w:numPr>
        <w:spacing w:after="60"/>
      </w:pPr>
      <w:r>
        <w:t xml:space="preserve">Frustrated customers are one click from Bookshop.org (which routes 100% of the transaction to a beloved local store) or Amazon — in books, switching costs are effectively zero.</w:t>
      </w:r>
    </w:p>
    <w:p>
      <w:pPr>
        <w:pStyle w:val="ListParagraph"/>
        <w:numPr>
          <w:ilvl w:val="0"/>
          <w:numId w:val="1"/>
        </w:numPr>
        <w:spacing w:after="60"/>
      </w:pPr>
      <w:r>
        <w:t xml:space="preserve">Seasonal/surge hiring to cover spikes is expensive, slow to ramp, and inconsistent in quality — it doesn't scale down cleanly either.</w:t>
      </w:r>
    </w:p>
    <w:p>
      <w:pPr>
        <w:pStyle w:val="Heading1"/>
        <w:spacing w:after="120" w:before="320"/>
      </w:pPr>
      <w:r>
        <w:t xml:space="preserve">4. Positive Business Outcomes (of solving it)</w:t>
      </w:r>
    </w:p>
    <w:p>
      <w:pPr>
        <w:pStyle w:val="ListParagraph"/>
        <w:numPr>
          <w:ilvl w:val="0"/>
          <w:numId w:val="1"/>
        </w:numPr>
        <w:spacing w:after="60"/>
      </w:pPr>
      <w:r>
        <w:t xml:space="preserve">Instant, 24/7 resolution of order-status, shipping, and returns questions without proportional headcount growth during demand spikes.</w:t>
      </w:r>
    </w:p>
    <w:p>
      <w:pPr>
        <w:pStyle w:val="ListParagraph"/>
        <w:numPr>
          <w:ilvl w:val="0"/>
          <w:numId w:val="1"/>
        </w:numPr>
        <w:spacing w:after="60"/>
      </w:pPr>
      <w:r>
        <w:t xml:space="preserve">Reps freed up to focus on complex, trust-building interactions — the Strand-style expertise that differentiates Bookly from Amazon.</w:t>
      </w:r>
    </w:p>
    <w:p>
      <w:pPr>
        <w:pStyle w:val="ListParagraph"/>
        <w:numPr>
          <w:ilvl w:val="0"/>
          <w:numId w:val="1"/>
        </w:numPr>
        <w:spacing w:after="60"/>
      </w:pPr>
      <w:r>
        <w:t xml:space="preserve">Protected and improved public reputation and review scores by closing the gap between “order placed” and “question answered.”</w:t>
      </w:r>
    </w:p>
    <w:p>
      <w:pPr>
        <w:pStyle w:val="ListParagraph"/>
        <w:numPr>
          <w:ilvl w:val="0"/>
          <w:numId w:val="1"/>
        </w:numPr>
        <w:spacing w:after="60"/>
      </w:pPr>
      <w:r>
        <w:t xml:space="preserve">Preserved customer lifetime value in a low-margin, repeat-purchase category where indie-friendly alternatives are always one click away.</w:t>
      </w:r>
    </w:p>
    <w:p>
      <w:pPr>
        <w:pStyle w:val="Heading1"/>
        <w:spacing w:after="120" w:before="320"/>
      </w:pPr>
      <w:r>
        <w:t xml:space="preserve">5. Required Capabilities</w:t>
      </w:r>
    </w:p>
    <w:p>
      <w:pPr>
        <w:pStyle w:val="ListParagraph"/>
        <w:numPr>
          <w:ilvl w:val="0"/>
          <w:numId w:val="1"/>
        </w:numPr>
        <w:spacing w:after="60"/>
      </w:pPr>
      <w:r>
        <w:t xml:space="preserve">Natural-language configuration (Decagon's Agent Operating Procedures) so Bookly's CX ops team can write and adjust agent logic without opening an engineering ticket.</w:t>
      </w:r>
    </w:p>
    <w:p>
      <w:pPr>
        <w:pStyle w:val="ListParagraph"/>
        <w:numPr>
          <w:ilvl w:val="0"/>
          <w:numId w:val="1"/>
        </w:numPr>
        <w:spacing w:after="60"/>
      </w:pPr>
      <w:r>
        <w:t xml:space="preserve">Deep integration into the tools reps already use (e.g., Zendesk/Salesforce-style workflows) so AI actions and escalations show up in the existing rep workflow, not a bolted-on side channel.</w:t>
      </w:r>
    </w:p>
    <w:p>
      <w:pPr>
        <w:pStyle w:val="ListParagraph"/>
        <w:numPr>
          <w:ilvl w:val="0"/>
          <w:numId w:val="1"/>
        </w:numPr>
        <w:spacing w:after="60"/>
      </w:pPr>
      <w:r>
        <w:t xml:space="preserve">Purpose-built accuracy on order/returns/policy queries rather than generic FAQ-matching — Bookly needs judgment calls (e.g., first-edition vs. reprint returns), not just keyword answers.</w:t>
      </w:r>
    </w:p>
    <w:p>
      <w:pPr>
        <w:pStyle w:val="ListParagraph"/>
        <w:numPr>
          <w:ilvl w:val="0"/>
          <w:numId w:val="1"/>
        </w:numPr>
        <w:spacing w:after="60"/>
      </w:pPr>
      <w:r>
        <w:t xml:space="preserve">A confident hand-off path: the agent recognizes when it doesn't know and escalates gracefully instead of guessing.</w:t>
      </w:r>
    </w:p>
    <w:p>
      <w:pPr>
        <w:pStyle w:val="ListParagraph"/>
        <w:numPr>
          <w:ilvl w:val="0"/>
          <w:numId w:val="1"/>
        </w:numPr>
        <w:spacing w:after="60"/>
      </w:pPr>
      <w:r>
        <w:t xml:space="preserve">Both chat and voice support (Decagon's ElevenLabs voice partnership) since loyal, often older book buyers still prefer to call.</w:t>
      </w:r>
    </w:p>
    <w:p>
      <w:pPr>
        <w:pStyle w:val="Heading1"/>
        <w:spacing w:after="120" w:before="320"/>
      </w:pPr>
      <w:r>
        <w:t xml:space="preserve">6. Defensible Differentiators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E2761" w:val="clear"/>
            <w:tcMar>
              <w:top w:type="dxa" w:w="100"/>
              <w:left w:type="dxa" w:w="120"/>
              <w:bottom w:type="dxa" w:w="100"/>
              <w:right w:type="dxa" w:w="120"/>
            </w:tcMar>
          </w:tcPr>
          <w:p>
            <w:r>
              <w:rPr>
                <w:b/>
                <w:bCs/>
                <w:color w:val="FFFFFF"/>
                <w:sz w:val="19"/>
                <w:szCs w:val="19"/>
              </w:rPr>
              <w:t xml:space="preserve">Differentiator</w:t>
            </w:r>
          </w:p>
        </w:tc>
        <w:tc>
          <w:tcPr>
            <w:tcW w:type="dxa" w:w="3400"/>
            <w:shd w:fill="1E2761" w:val="clear"/>
            <w:tcMar>
              <w:top w:type="dxa" w:w="100"/>
              <w:left w:type="dxa" w:w="120"/>
              <w:bottom w:type="dxa" w:w="100"/>
              <w:right w:type="dxa" w:w="120"/>
            </w:tcMar>
          </w:tcPr>
          <w:p>
            <w:r>
              <w:rPr>
                <w:b/>
                <w:bCs/>
                <w:color w:val="FFFFFF"/>
                <w:sz w:val="19"/>
                <w:szCs w:val="19"/>
              </w:rPr>
              <w:t xml:space="preserve">Business Value to Bookly</w:t>
            </w:r>
          </w:p>
        </w:tc>
        <w:tc>
          <w:tcPr>
            <w:tcW w:type="dxa" w:w="3400"/>
            <w:shd w:fill="1E2761" w:val="clear"/>
            <w:tcMar>
              <w:top w:type="dxa" w:w="100"/>
              <w:left w:type="dxa" w:w="120"/>
              <w:bottom w:type="dxa" w:w="100"/>
              <w:right w:type="dxa" w:w="120"/>
            </w:tcMar>
          </w:tcPr>
          <w:p>
            <w:r>
              <w:rPr>
                <w:b/>
                <w:bCs/>
                <w:color w:val="FFFFFF"/>
                <w:sz w:val="19"/>
                <w:szCs w:val="19"/>
              </w:rPr>
              <w:t xml:space="preserve">Proof Point</w:t>
            </w:r>
          </w:p>
        </w:tc>
      </w:tr>
      <w:tr>
        <w:tc>
          <w:tcPr>
            <w:tcW w:type="dxa" w:w="2600"/>
            <w:tcMar>
              <w:top w:type="dxa" w:w="100"/>
              <w:left w:type="dxa" w:w="120"/>
              <w:bottom w:type="dxa" w:w="100"/>
              <w:right w:type="dxa" w:w="120"/>
            </w:tcMar>
          </w:tcPr>
          <w:p>
            <w:r>
              <w:rPr>
                <w:b w:val="false"/>
                <w:bCs w:val="false"/>
                <w:color w:val="000000"/>
                <w:sz w:val="18"/>
                <w:szCs w:val="18"/>
              </w:rPr>
              <w:t xml:space="preserve">Configurable by Bookly's own team (AOPs) vs. Sierra's bespoke build model</w:t>
            </w:r>
          </w:p>
        </w:tc>
        <w:tc>
          <w:tcPr>
            <w:tcW w:type="dxa" w:w="3400"/>
            <w:tcMar>
              <w:top w:type="dxa" w:w="100"/>
              <w:left w:type="dxa" w:w="120"/>
              <w:bottom w:type="dxa" w:w="100"/>
              <w:right w:type="dxa" w:w="120"/>
            </w:tcMar>
          </w:tcPr>
          <w:p>
            <w:r>
              <w:rPr>
                <w:b w:val="false"/>
                <w:bCs w:val="false"/>
                <w:color w:val="000000"/>
                <w:sz w:val="18"/>
                <w:szCs w:val="18"/>
              </w:rPr>
              <w:t xml:space="preserve">Bookly's CX team ships and adjusts policy changes themselves during a BookTok spike, in hours — not weeks waiting on a dev/services team.</w:t>
            </w:r>
          </w:p>
        </w:tc>
        <w:tc>
          <w:tcPr>
            <w:tcW w:type="dxa" w:w="3400"/>
            <w:tcMar>
              <w:top w:type="dxa" w:w="100"/>
              <w:left w:type="dxa" w:w="120"/>
              <w:bottom w:type="dxa" w:w="100"/>
              <w:right w:type="dxa" w:w="120"/>
            </w:tcMar>
          </w:tcPr>
          <w:p>
            <w:r>
              <w:rPr>
                <w:b w:val="false"/>
                <w:bCs w:val="false"/>
                <w:color w:val="000000"/>
                <w:sz w:val="18"/>
                <w:szCs w:val="18"/>
              </w:rPr>
              <w:t xml:space="preserve">Decagon's natural-language Agent Operating Procedures let non-technical CX staff define logic while engineering retains control of integrations/guardrails.</w:t>
            </w:r>
          </w:p>
        </w:tc>
      </w:tr>
      <w:tr>
        <w:tc>
          <w:tcPr>
            <w:tcW w:type="dxa" w:w="2600"/>
            <w:tcMar>
              <w:top w:type="dxa" w:w="100"/>
              <w:left w:type="dxa" w:w="120"/>
              <w:bottom w:type="dxa" w:w="100"/>
              <w:right w:type="dxa" w:w="120"/>
            </w:tcMar>
          </w:tcPr>
          <w:p>
            <w:r>
              <w:rPr>
                <w:b w:val="false"/>
                <w:bCs w:val="false"/>
                <w:color w:val="000000"/>
                <w:sz w:val="18"/>
                <w:szCs w:val="18"/>
              </w:rPr>
              <w:t xml:space="preserve">Precision and configurability vs. Intercom Fin's fast, FAQ-style resolution</w:t>
            </w:r>
          </w:p>
        </w:tc>
        <w:tc>
          <w:tcPr>
            <w:tcW w:type="dxa" w:w="3400"/>
            <w:tcMar>
              <w:top w:type="dxa" w:w="100"/>
              <w:left w:type="dxa" w:w="120"/>
              <w:bottom w:type="dxa" w:w="100"/>
              <w:right w:type="dxa" w:w="120"/>
            </w:tcMar>
          </w:tcPr>
          <w:p>
            <w:r>
              <w:rPr>
                <w:b w:val="false"/>
                <w:bCs w:val="false"/>
                <w:color w:val="000000"/>
                <w:sz w:val="18"/>
                <w:szCs w:val="18"/>
              </w:rPr>
              <w:t xml:space="preserve">Bookly needs nuanced, policy-sensitive judgment (returns edge cases, rare/used-book questions) and analytics it can bring to its board — not just a high raw resolution-rate on simple FAQs.</w:t>
            </w:r>
          </w:p>
        </w:tc>
        <w:tc>
          <w:tcPr>
            <w:tcW w:type="dxa" w:w="3400"/>
            <w:tcMar>
              <w:top w:type="dxa" w:w="100"/>
              <w:left w:type="dxa" w:w="120"/>
              <w:bottom w:type="dxa" w:w="100"/>
              <w:right w:type="dxa" w:w="120"/>
            </w:tcMar>
          </w:tcPr>
          <w:p>
            <w:r>
              <w:rPr>
                <w:b w:val="false"/>
                <w:bCs w:val="false"/>
                <w:color w:val="000000"/>
                <w:sz w:val="18"/>
                <w:szCs w:val="18"/>
              </w:rPr>
              <w:t xml:space="preserve">Independent benchmarks show Fin ahead on generic ticket resolution rate; Decagon's differentiation is depth of configuration and analytics for complex, judgment-heavy support orgs. (Be ready for this objection — see note below.)</w:t>
            </w:r>
          </w:p>
        </w:tc>
      </w:tr>
      <w:tr>
        <w:tc>
          <w:tcPr>
            <w:tcW w:type="dxa" w:w="2600"/>
            <w:tcMar>
              <w:top w:type="dxa" w:w="100"/>
              <w:left w:type="dxa" w:w="120"/>
              <w:bottom w:type="dxa" w:w="100"/>
              <w:right w:type="dxa" w:w="120"/>
            </w:tcMar>
          </w:tcPr>
          <w:p>
            <w:r>
              <w:rPr>
                <w:b w:val="false"/>
                <w:bCs w:val="false"/>
                <w:color w:val="000000"/>
                <w:sz w:val="18"/>
                <w:szCs w:val="18"/>
              </w:rPr>
              <w:t xml:space="preserve">Human-in-the-loop, embedded design vs. a fully autonomous bot</w:t>
            </w:r>
          </w:p>
        </w:tc>
        <w:tc>
          <w:tcPr>
            <w:tcW w:type="dxa" w:w="3400"/>
            <w:tcMar>
              <w:top w:type="dxa" w:w="100"/>
              <w:left w:type="dxa" w:w="120"/>
              <w:bottom w:type="dxa" w:w="100"/>
              <w:right w:type="dxa" w:w="120"/>
            </w:tcMar>
          </w:tcPr>
          <w:p>
            <w:r>
              <w:rPr>
                <w:b w:val="false"/>
                <w:bCs w:val="false"/>
                <w:color w:val="000000"/>
                <w:sz w:val="18"/>
                <w:szCs w:val="18"/>
              </w:rPr>
              <w:t xml:space="preserve">Preserves the “friendly neighborhood bookstore” brand voice — AI handles volume, humans still show up for what makes Bookly Bookly.</w:t>
            </w:r>
          </w:p>
        </w:tc>
        <w:tc>
          <w:tcPr>
            <w:tcW w:type="dxa" w:w="3400"/>
            <w:tcMar>
              <w:top w:type="dxa" w:w="100"/>
              <w:left w:type="dxa" w:w="120"/>
              <w:bottom w:type="dxa" w:w="100"/>
              <w:right w:type="dxa" w:w="120"/>
            </w:tcMar>
          </w:tcPr>
          <w:p>
            <w:r>
              <w:rPr>
                <w:b w:val="false"/>
                <w:bCs w:val="false"/>
                <w:color w:val="000000"/>
                <w:sz w:val="18"/>
                <w:szCs w:val="18"/>
              </w:rPr>
              <w:t xml:space="preserve">Decagon embeds into existing rep tools rather than replacing reps, and has scaled to ~$35M ARR and 100+ new enterprise logos across F100 sectors in 2025 on this model.</w:t>
            </w:r>
          </w:p>
        </w:tc>
      </w:tr>
    </w:tbl>
    <w:p>
      <w:pPr>
        <w:spacing w:after="120" w:before="80"/>
      </w:pPr>
      <w:r>
        <w:rPr>
          <w:b/>
          <w:bCs/>
          <w:color w:val="5C7A80"/>
          <w:sz w:val="18"/>
          <w:szCs w:val="18"/>
        </w:rPr>
        <w:t xml:space="preserve">Objection-handling note: </w:t>
      </w:r>
      <w:r>
        <w:rPr>
          <w:i/>
          <w:iCs/>
          <w:color w:val="5C7A80"/>
          <w:sz w:val="18"/>
          <w:szCs w:val="18"/>
        </w:rPr>
        <w:t xml:space="preserve">if challenged on resolution-rate benchmarks where a competitor scores higher, reframe around fit — Bookly's judgment-heavy, brand-sensitive use case rewards configurability and controlled escalation over raw automation rate.</w:t>
      </w:r>
    </w:p>
    <w:p>
      <w:pPr>
        <w:pStyle w:val="Heading1"/>
        <w:spacing w:after="120" w:before="320"/>
      </w:pPr>
      <w:r>
        <w:t xml:space="preserve">7. Qualifying / Discovery Questions</w:t>
      </w:r>
    </w:p>
    <w:p>
      <w:pPr>
        <w:pStyle w:val="ListParagraph"/>
        <w:numPr>
          <w:ilvl w:val="0"/>
          <w:numId w:val="1"/>
        </w:numPr>
        <w:spacing w:after="60"/>
      </w:pPr>
      <w:r>
        <w:t xml:space="preserve">When a title goes viral and order volume triples overnight, what happens to your support queue and average response time today?</w:t>
      </w:r>
    </w:p>
    <w:p>
      <w:pPr>
        <w:pStyle w:val="ListParagraph"/>
        <w:numPr>
          <w:ilvl w:val="0"/>
          <w:numId w:val="1"/>
        </w:numPr>
        <w:spacing w:after="60"/>
      </w:pPr>
      <w:r>
        <w:t xml:space="preserve">Walk me through a return request that falls into a gray area — how much of that judgment lives in your reps' heads versus written policy?</w:t>
      </w:r>
    </w:p>
    <w:p>
      <w:pPr>
        <w:pStyle w:val="ListParagraph"/>
        <w:numPr>
          <w:ilvl w:val="0"/>
          <w:numId w:val="1"/>
        </w:numPr>
        <w:spacing w:after="60"/>
      </w:pPr>
      <w:r>
        <w:t xml:space="preserve">How do you currently measure the cost of a one-star review triggered by a support experience, against the value of a customer a human rep won over?</w:t>
      </w:r>
    </w:p>
    <w:p>
      <w:pPr>
        <w:pStyle w:val="ListParagraph"/>
        <w:numPr>
          <w:ilvl w:val="0"/>
          <w:numId w:val="1"/>
        </w:numPr>
        <w:spacing w:after="60"/>
      </w:pPr>
      <w:r>
        <w:t xml:space="preserve">If your CX team could change how the agent responds to a new policy today, without filing a ticket with engineering, what would that unlock?</w:t>
      </w:r>
    </w:p>
    <w:p>
      <w:pPr>
        <w:pStyle w:val="ListParagraph"/>
        <w:numPr>
          <w:ilvl w:val="0"/>
          <w:numId w:val="1"/>
        </w:numPr>
        <w:spacing w:after="60"/>
      </w:pPr>
      <w:r>
        <w:t xml:space="preserve">Which channels are your highest-loyalty, highest-LTV customers using to reach support — chat, phone, email — and are you resourced evenly across them?</w:t>
      </w:r>
    </w:p>
    <w:p>
      <w:pPr>
        <w:pStyle w:val="Heading1"/>
        <w:spacing w:after="120" w:before="320"/>
      </w:pPr>
      <w:r>
        <w:t xml:space="preserve">8. Elevator Pitch</w:t>
      </w:r>
    </w:p>
    <w:p>
      <w:pPr>
        <w:spacing w:after="200" w:before="80"/>
      </w:pPr>
      <w:r>
        <w:rPr>
          <w:i/>
          <w:iCs/>
          <w:color w:val="1E2761"/>
          <w:sz w:val="21"/>
          <w:szCs w:val="21"/>
        </w:rPr>
        <w:t xml:space="preserve">“Bookly's biggest growth risk isn't finding readers — it's what happens the moment a book goes viral and support volume spikes past what your team can handle by hand. Decagon gives Bookly's own CX team the ability to let AI handle the 'where's my order' and 'can I return this' questions instantly, day or night, while keeping every complex or judgment-call case in human hands — so a BookTok spike becomes a growth moment instead of a Barnes &amp; Noble-style review meltdown.”</w:t>
      </w:r>
    </w:p>
    <w:p>
      <w:pPr>
        <w:spacing w:before="160"/>
      </w:pPr>
      <w:r>
        <w:rPr>
          <w:i/>
          <w:iCs/>
          <w:color w:val="5C7A80"/>
          <w:sz w:val="15"/>
          <w:szCs w:val="15"/>
        </w:rPr>
        <w:t xml:space="preserve">Sources: Decagon product positioning and traction from decagon.ai and third-party coverage (Microsoft for Startups, ZenML, Fin/Quiq/SuperDupr competitive analyses); bookstore context from Strand Bookstore, Bookshop.org, and Barnes &amp; Noble public customer-service data (BBB, Trustpilot).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2026-07-23T15:10:01.951Z</dcterms:created>
  <dcterms:modified xsi:type="dcterms:W3CDTF">2026-07-23T15:10:01.952Z</dcterms:modified>
</cp:coreProperties>
</file>

<file path=docProps/custom.xml><?xml version="1.0" encoding="utf-8"?>
<Properties xmlns="http://schemas.openxmlformats.org/officeDocument/2006/custom-properties" xmlns:vt="http://schemas.openxmlformats.org/officeDocument/2006/docPropsVTypes"/>
</file>