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color w:val="1A1A1A"/>
          <w:sz w:val="24"/>
        </w:rPr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color w:val="1A1A1A"/>
          <w:sz w:val="24"/>
        </w:rPr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color w:val="1A1A1A"/>
          <w:sz w:val="24"/>
        </w:rPr>
      </w:r>
    </w:p>
    <w:p>
      <w:pPr>
        <w:spacing w:before="0" w:after="120" w:line="360" w:lineRule="auto"/>
        <w:jc w:val="center"/>
      </w:pPr>
      <w:r>
        <w:rPr>
          <w:rFonts w:ascii="宋体" w:hAnsi="宋体" w:eastAsia="黑体"/>
          <w:b w:val="0"/>
          <w:color w:val="1A1A1A"/>
          <w:sz w:val="32"/>
        </w:rPr>
        <w:t>华润三九医药股份有限公司</w:t>
      </w:r>
    </w:p>
    <w:p>
      <w:pPr>
        <w:spacing w:before="0" w:after="560" w:line="360" w:lineRule="auto"/>
        <w:jc w:val="center"/>
      </w:pPr>
      <w:r>
        <w:rPr>
          <w:rFonts w:ascii="宋体" w:hAnsi="宋体" w:eastAsia="宋体"/>
          <w:b w:val="0"/>
          <w:color w:val="1A1A1A"/>
          <w:sz w:val="24"/>
        </w:rPr>
        <w:t>（招标人）</w:t>
      </w:r>
    </w:p>
    <w:p>
      <w:pPr>
        <w:spacing w:before="0" w:after="160" w:line="360" w:lineRule="auto"/>
        <w:jc w:val="center"/>
      </w:pPr>
      <w:r>
        <w:rPr>
          <w:rFonts w:ascii="宋体" w:hAnsi="宋体" w:eastAsia="黑体"/>
          <w:b/>
          <w:color w:val="1A1A1A"/>
          <w:sz w:val="52"/>
        </w:rPr>
        <w:t>三九养胃舒颗粒</w:t>
      </w:r>
    </w:p>
    <w:p>
      <w:pPr>
        <w:spacing w:before="0" w:after="160" w:line="360" w:lineRule="auto"/>
        <w:jc w:val="center"/>
      </w:pPr>
      <w:r>
        <w:rPr>
          <w:rFonts w:ascii="宋体" w:hAnsi="宋体" w:eastAsia="黑体"/>
          <w:b/>
          <w:color w:val="1A1A1A"/>
          <w:sz w:val="44"/>
        </w:rPr>
        <w:t>GEO（生成式引擎优化）项目</w:t>
      </w:r>
    </w:p>
    <w:p>
      <w:pPr>
        <w:spacing w:before="0" w:after="560" w:line="360" w:lineRule="auto"/>
        <w:jc w:val="center"/>
      </w:pPr>
      <w:r>
        <w:rPr>
          <w:rFonts w:ascii="宋体" w:hAnsi="宋体" w:eastAsia="黑体"/>
          <w:b/>
          <w:color w:val="1A1A1A"/>
          <w:sz w:val="52"/>
        </w:rPr>
        <w:t>招  标  文  件</w:t>
      </w:r>
    </w:p>
    <w:p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color w:val="1A1A1A"/>
          <w:sz w:val="28"/>
        </w:rPr>
        <w:t>项目周期：12 个月</w:t>
      </w:r>
    </w:p>
    <w:p>
      <w:pPr>
        <w:spacing w:before="0" w:after="80" w:line="360" w:lineRule="auto"/>
        <w:jc w:val="center"/>
      </w:pPr>
      <w:r>
        <w:rPr>
          <w:rFonts w:ascii="宋体" w:hAnsi="宋体" w:eastAsia="宋体"/>
          <w:b w:val="0"/>
          <w:color w:val="1A1A1A"/>
          <w:sz w:val="28"/>
        </w:rPr>
        <w:t>费用上限：人民币叁佰万元整（￥3,000,000.00）</w:t>
      </w:r>
    </w:p>
    <w:p>
      <w:pPr>
        <w:spacing w:before="0" w:after="720" w:line="360" w:lineRule="auto"/>
        <w:jc w:val="center"/>
      </w:pPr>
      <w:r>
        <w:rPr>
          <w:rFonts w:ascii="宋体" w:hAnsi="宋体" w:eastAsia="宋体"/>
          <w:b w:val="0"/>
          <w:color w:val="1A1A1A"/>
          <w:sz w:val="28"/>
        </w:rPr>
        <w:t>编制日期：2026 年 8 月</w:t>
      </w:r>
    </w:p>
    <w:p>
      <w:pPr>
        <w:spacing w:before="0" w:after="80" w:line="360" w:lineRule="auto"/>
        <w:jc w:val="center"/>
      </w:pPr>
      <w:r>
        <w:rPr>
          <w:rFonts w:ascii="宋体" w:hAnsi="宋体" w:eastAsia="黑体"/>
          <w:b/>
          <w:color w:val="C8202A"/>
          <w:sz w:val="24"/>
        </w:rPr>
        <w:t>【请以此为准】</w:t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color w:val="1A1A1A"/>
          <w:sz w:val="21"/>
        </w:rPr>
        <w:t>本文件为示意稿，条款以招标人最终盖章版为准。</w:t>
      </w:r>
    </w:p>
    <w:p>
      <w:r>
        <w:br w:type="page"/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编  制  说  明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本文件以《创维品牌 GEO（生成式引擎优化）项目招标文件》为骨架，替换为医药行业与三九养胃舒颗粒的产品参数，并在 KPI 设定、招标门槛、评标与报价、验收与罚则四处按新规则重写。文中基线数据取自 GEO ONE 监测系统 2026 年 8 月实测。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本项目的核心立场：不设定超出行业物理上限的指标；门槛不设在「承诺了什么」，而设在「当场做得出什么」；验收按词条类型分类分阶段执行，数据须经第三方系统与专业团队真机双重验真。</w:t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目　　录</w:t>
      </w:r>
    </w:p>
    <w:p>
      <w:pPr>
        <w:spacing w:before="40" w:after="40" w:line="384" w:lineRule="auto"/>
      </w:pPr>
      <w:r>
        <w:rPr>
          <w:rFonts w:ascii="黑体" w:hAnsi="黑体" w:eastAsia="黑体"/>
          <w:b/>
          <w:color w:val="1A1A1A"/>
          <w:sz w:val="24"/>
        </w:rPr>
        <w:t>第一部分　投标须知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一、项目概况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二、比稿流程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三、投标文件的递交与效力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四、无效标情形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五、中标与合同</w:t>
      </w:r>
    </w:p>
    <w:p>
      <w:pPr>
        <w:spacing w:before="40" w:after="40" w:line="384" w:lineRule="auto"/>
      </w:pPr>
      <w:r>
        <w:rPr>
          <w:rFonts w:ascii="黑体" w:hAnsi="黑体" w:eastAsia="黑体"/>
          <w:b/>
          <w:color w:val="1A1A1A"/>
          <w:sz w:val="24"/>
        </w:rPr>
        <w:t>第二部分　项目要求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一、服务范围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二、核心服务内容——六大执行模块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三、交付物清单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四、KPI 设定原则（重要）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五、验收标准：分类分阶段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六、数据验真办法（重要）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七、合规要求与违约红线</w:t>
      </w:r>
    </w:p>
    <w:p>
      <w:pPr>
        <w:spacing w:before="40" w:after="40" w:line="384" w:lineRule="auto"/>
      </w:pPr>
      <w:r>
        <w:rPr>
          <w:rFonts w:ascii="黑体" w:hAnsi="黑体" w:eastAsia="黑体"/>
          <w:b/>
          <w:color w:val="1A1A1A"/>
          <w:sz w:val="24"/>
        </w:rPr>
        <w:t>第三部分　招标门槛与评标办法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门槛一　数据查询能力（现场闭卷）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门槛二　投放资源与投放逻辑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门槛三　方案专业度（第一权重）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门槛四　异常低价约束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评标权重</w:t>
      </w:r>
    </w:p>
    <w:p>
      <w:pPr>
        <w:spacing w:before="40" w:after="40" w:line="384" w:lineRule="auto"/>
      </w:pPr>
      <w:r>
        <w:rPr>
          <w:rFonts w:ascii="宋体" w:hAnsi="宋体" w:eastAsia="宋体"/>
          <w:b w:val="0"/>
          <w:color w:val="1A1A1A"/>
          <w:sz w:val="24"/>
        </w:rPr>
        <w:t xml:space="preserve">　　报价规则与低价惩罚</w:t>
      </w:r>
    </w:p>
    <w:p>
      <w:pPr>
        <w:spacing w:before="40" w:after="40" w:line="384" w:lineRule="auto"/>
      </w:pPr>
      <w:r>
        <w:rPr>
          <w:rFonts w:ascii="黑体" w:hAnsi="黑体" w:eastAsia="黑体"/>
          <w:b/>
          <w:color w:val="1A1A1A"/>
          <w:sz w:val="24"/>
        </w:rPr>
        <w:t>第四部分　资质条件与讲解要求</w:t>
      </w:r>
    </w:p>
    <w:p>
      <w:pPr>
        <w:spacing w:before="40" w:after="40" w:line="384" w:lineRule="auto"/>
      </w:pPr>
      <w:r>
        <w:rPr>
          <w:rFonts w:ascii="黑体" w:hAnsi="黑体" w:eastAsia="黑体"/>
          <w:b/>
          <w:color w:val="1A1A1A"/>
          <w:sz w:val="24"/>
        </w:rPr>
        <w:t>第五部分　投标文件格式</w:t>
      </w:r>
    </w:p>
    <w:p>
      <w:r>
        <w:br w:type="page"/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第一部分　投标须知</w:t>
      </w:r>
    </w:p>
    <w:p>
      <w:pPr>
        <w:spacing w:before="0" w:after="120" w:line="360" w:lineRule="auto"/>
        <w:jc w:val="both"/>
      </w:pPr>
      <w:r>
        <w:rPr>
          <w:rFonts w:ascii="宋体" w:hAnsi="宋体" w:eastAsia="宋体"/>
          <w:b w:val="0"/>
          <w:color w:val="1A1A1A"/>
          <w:sz w:val="24"/>
        </w:rPr>
        <w:t>尊敬的投标单位：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华润三九医药股份有限公司就「三九养胃舒颗粒 GEO（生成式引擎优化）项目」展开招标工作，现正式邀请贵单位参加投标。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一、项目概况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项</w:t>
            </w:r>
          </w:p>
        </w:tc>
        <w:tc>
          <w:tcPr>
            <w:tcW w:type="dxa" w:w="669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内容</w:t>
            </w:r>
          </w:p>
        </w:tc>
      </w:tr>
      <w:t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招标名称</w:t>
            </w:r>
          </w:p>
        </w:tc>
        <w:tc>
          <w:tcPr>
            <w:tcW w:type="dxa" w:w="669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三九养胃舒颗粒 GEO（生成式引擎优化）项目</w:t>
            </w:r>
          </w:p>
        </w:tc>
      </w:tr>
      <w:t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招标人</w:t>
            </w:r>
          </w:p>
        </w:tc>
        <w:tc>
          <w:tcPr>
            <w:tcW w:type="dxa" w:w="669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华润三九医药股份有限公司</w:t>
            </w:r>
          </w:p>
        </w:tc>
      </w:tr>
      <w:t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项目周期</w:t>
            </w:r>
          </w:p>
        </w:tc>
        <w:tc>
          <w:tcPr>
            <w:tcW w:type="dxa" w:w="669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自合同签订之日起 12 个月</w:t>
            </w:r>
          </w:p>
        </w:tc>
      </w:tr>
      <w:t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费用上限</w:t>
            </w:r>
          </w:p>
        </w:tc>
        <w:tc>
          <w:tcPr>
            <w:tcW w:type="dxa" w:w="669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人民币叁佰万元整（￥3,000,000.00），含增值税专用发票税点</w:t>
            </w:r>
          </w:p>
        </w:tc>
      </w:tr>
      <w:tr>
        <w:tc>
          <w:tcPr>
            <w:tcW w:type="dxa" w:w="238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项目性质</w:t>
            </w:r>
          </w:p>
        </w:tc>
        <w:tc>
          <w:tcPr>
            <w:tcW w:type="dxa" w:w="669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OTC 中成药品牌在生成式 AI 搜索平台的可见性与推荐质量优化</w:t>
            </w:r>
          </w:p>
        </w:tc>
      </w:tr>
    </w:tbl>
    <w:p>
      <w:pPr>
        <w:spacing w:after="160" w:before="0"/>
      </w:pP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项目内容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围绕 999 主品牌与三九养胃舒颗粒，在豆包、DeepSeek、元宝、千问、Kimi 等主流生成式 AI 平台开展品牌与产品的可见性优化运营。项目分 C 端（消费者选药场景）与 B 端（药店进货、医院配备渠道）两侧独立建组、独立验收。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本项目严格遵循真实内容、合规运营、科学监测、可复现验收四项原则，提升品牌与产品在 AI 搜索中的有效推荐率，纠正错误与负面信息，实现品牌在 AI 生态内的长效健康曝光。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/>
          <w:color w:val="1A1A1A"/>
          <w:sz w:val="24"/>
        </w:rPr>
        <w:t>本项目不接受联合体投标，不接受任何形式的分包或转包。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二、比稿流程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环节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时间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签署保密协议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报名后 3 个工作日内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未签署者不发放正式招标文件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线上集中答疑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开标前 14 日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统一答复，形成书面澄清文件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资格预审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开标前 7 日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核验第五章资质条件，不通过者不进入下一环节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现场闭卷数据考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开标当日上午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详见第三部分「门槛一」，未通过者不进入述标环节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方案述标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开标当日下午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每家不超过 30 分钟，技术标中不得涉及商务报价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商务标开标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述标结束后</w:t>
            </w:r>
          </w:p>
        </w:tc>
        <w:tc>
          <w:tcPr>
            <w:tcW w:type="dxa" w:w="430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按第三部分评标办法计分</w:t>
            </w:r>
          </w:p>
        </w:tc>
      </w:tr>
    </w:tbl>
    <w:p>
      <w:pPr>
        <w:spacing w:after="160" w:before="0"/>
      </w:pP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三、投标文件的递交与效力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投标文件应采用中文编定，A4 规格打印装订，全部文件须加盖投标公司公章。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技术标正本一份、副本一份、电子版（U 盘）一份，一同装入不透明文件袋密封；商务标正、副本装入另一不透明文件袋密封。封口处骑缝盖章，外包装注明投标公司名称与「技术标／商务标」。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投标人须在投标截止时间前将纸质版送达开标地址，逾期不收（以签收时间为准）。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截止日之前，投标人可以书面形式补充、修改或撤回已提交的投标文件，补充与修改内容为投标文件的组成部分。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四、无效标情形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发生下列情况之一，投标文件视为无效：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未在规定截止时间前送达；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投标文件未加盖公章，或未按要求密封；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未按招标文件规定的格式与顺序编制；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现场闭卷数据考未通过；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报价触及第三部分规定的低价废标线；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6. 经核实存在资质借用、案例造假、数据造假情形。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五、中标与合同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中标人应于收到中标通知书后 10 日内与招标人签订项目合同。拒签或逾期未签的，应赔偿因此导致招标人遭受的一切损失。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报价最低并非评标唯一标准，招标人无须解释确定中标人之理据。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本招标文件所有信息资料均属招标人商业机密，无论是否中标，投标人不得向任何第三方透露。</w:t>
      </w:r>
    </w:p>
    <w:p>
      <w:r>
        <w:br w:type="page"/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第二部分　项目要求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一、服务范围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1. 品牌与产品方向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对象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定位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优化重点</w:t>
            </w:r>
          </w:p>
        </w:tc>
      </w:tr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999 主品牌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集团品牌资产，源自 1985 年三九胃泰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品牌信任度、品牌与产品的正确关联</w:t>
            </w:r>
          </w:p>
        </w:tc>
      </w:tr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三九养胃舒颗粒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核心单品，2025 年零售药店终端中成药胃药 TOP3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消费者选药场景的推荐位与卖点露出</w:t>
            </w:r>
          </w:p>
        </w:tc>
      </w:tr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温胃舒颗粒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姊妹产品，主治胃寒</w:t>
            </w:r>
          </w:p>
        </w:tc>
        <w:tc>
          <w:tcPr>
            <w:tcW w:type="dxa" w:w="32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与养胃舒的适应症区分，避免混淆</w:t>
            </w:r>
          </w:p>
        </w:tc>
      </w:tr>
    </w:tbl>
    <w:p>
      <w:pPr>
        <w:spacing w:after="160" w:before="0"/>
      </w:pP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/>
          <w:color w:val="1A1A1A"/>
          <w:sz w:val="24"/>
        </w:rPr>
        <w:t>特别要求：必须在 AI 回答中把「养胃舒颗粒」与「三九胃泰颗粒」的适应症、人群、剂型明确区分。当前 AI 平台大量将两者混为一谈，属于优先纠偏项。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2. 双侧独立建组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C 端 · 消费者选药场景：品牌推荐、排行榜、性价比、口碑、症状与人群场景（慢性胃炎调理、熬夜加班、中老年、家庭常备等）。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B 端 · 渠道场景：药店进货、医院配备、医保报销、货源与供应链的品类问法。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C 端与 B 端分开建词库、分开投放、分开验收，任何一侧超额完成不得抵扣另一侧的缺口。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3. 重点平台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豆包 · DeepSeek · 元宝 · 千问 · Kimi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以上五个平台为核心阵地，服务方须确保每日监测全覆盖。项目期内如出现月活环比增长超过 50% 的新兴生成式 AI 平台，服务方须在 3 个工作日内提交平台扩展建议方案，经招标人确认后纳入服务范围，不另行增加服务费用。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二、核心服务内容——六大执行模块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模块一：词库体系搭建与迭代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分别搭建 C 端与 B 端词库，词条按「通用层／场景层」两级组织，其中购买意图明确的问法应占 80% 以上。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词条来源须穷举：固定问法、行业与产品的购买动机／场景画像／核心卖点／核心痛点、搜索下拉、社媒热议。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词条须经清洗打标，剔除非购买意图、与产品定位不符、品类共性、涉及产品痛点、搜索意图过低、重复六类无效词。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合同签订后 10 个工作日内提交初版词库矩阵（C 端不少于 35 条监测词、B 端不少于 25 条），经招标人审批后启动执行。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每月根据平台反馈与监测数据动态更新，及时增补或替换低效词。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模块二：合规内容创作与分发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围绕词库体系持续产出：产品评测、用药科普、症状与场景解读、用户口碑、医生问答、FAQ 结构化内容等多种体裁。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内容须先过医学审核再发布：由具备医学背景的撰稿团队产出，经执业医师或药师复核，招标人终审。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内容须符合 EEAT 原则（经验、专业、权威、信任），并符合《广告法》《药品广告审查办法》《互联网广告管理办法》：不得暗示或宣称治愈率、有效率；不得使用「根治」「无副作用」「最好的胃药」等绝对化表述；不得利用患者形象或名义作证明；OTC 产品科普须标注「请仔细阅读说明书或在药师指导下购买和使用」。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每条内容须登记发布平台、发布链接、发布时间、审核记录，实现全链路可溯源。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方案中须明确月度内容产出规划与操作手段。原则上月度不低于 100 篇，其中图文科普类不少于 800 字，FAQ 结构化内容不少于 300 字。轻量级补充内容可额外发布，不计入考核。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模块三：专业信源建设与投放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药品数据库类：完成国家药监局数据库信息核对，以及用药助手、大易医学、药智网等专业药品库的产品条目收录与信息准确性校正。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医生问答类：在小荷健康、丁香医生、有问必答等医生问答平台建设合规问答内容，须为真实执业医师作答。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健康门户类：在专业健康门户与权威媒体健康频道建设产品与品类内容。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公域高权重账号：知乎、小红书、百家号、头条、B 站等平台的高权重账号投放。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建立信源溯源追踪机制：当 AI 回答提及养胃舒的卖点或适应症时，须识别并备案底层引用来源，清晰呈现哪一篇内容真正影响了 AI 输出。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6. 每月输出「平台算法变化观察」，说明规则变动与相应调整策略。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模块四：药品库与官网基础建设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完成官网产品页、说明书页、FAQ 页的结构化数据（Schema.org / Drug、FAQPage）部署。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修复 robots.txt 抓取权限、sitemap 缺失、标题层级不规范、页面结构不清晰等基础问题。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补齐官网缺失的产品信息、使用场景、售后与购买渠道信息。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完成线上线下渠道（电商旗舰店、连锁药房页面）的品牌与产品信息一致性校正。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模块五：负面与错误信息纠偏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建立品牌在 AI 平台的「健康度基线」，实时监测负面与不实信息。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优先纠偏项：与三九胃泰颗粒混淆、功效被夸大为「根治」、禁忌与不良反应表述错误、对比场景中只推荐竞品。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发现负面或错误内容后即刻启动合规稀释与信源置换策略，并在周报中同步进展。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不得采用删帖、水军、技术手段干预平台排序等违规方式处理负面。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模块六：数据监测与运营复盘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部署 GEO 专属监测系统，招标人可随时登录查看实时数据看板。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采集须为真实 AI 平台抓取，非模拟数据；全流程截图归档，截图覆盖率 100%。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按工作日／周／月／季度／项目末节奏提交运营报告。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三、交付物清单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周期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交付物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格式要求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合同签订后 10 个工作日内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初版词库矩阵 ＋ 执行方案明细 ＋ 医学审核流程说明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可编辑文档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每工作日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监测数据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实时数据看板（招标人账号可登录查看）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每周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周报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含提及率趋势、本周内容发布明细、收录情况、下周计划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每月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月报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含 KPI 达成率、发布与收录核销表、各平台引用率对比、信源溯源台账、负面纠偏进展、风险预警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每季度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季报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含阶段策略评估、竞品动态观察、下阶段优化建议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每阶段末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阶段验收报告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含第三方系统报告 ＋ 人工验真报告，作为结算依据</w:t>
            </w:r>
          </w:p>
        </w:tc>
      </w:tr>
      <w:tr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项目末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年度总结报告</w:t>
            </w:r>
          </w:p>
        </w:tc>
        <w:tc>
          <w:tcPr>
            <w:tcW w:type="dxa" w:w="28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完整数据复盘 ＋ 品牌 AI 生态资产盘点 ＋ 长效运营建议 ＋ 信源溯源全链路台账</w:t>
            </w:r>
          </w:p>
        </w:tc>
      </w:tr>
    </w:tbl>
    <w:p>
      <w:pPr>
        <w:spacing w:after="160" w:before="0"/>
      </w:pP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报告质量要求：月报及以上级别须包含数据可视化图表；引用数据须附截图证明；信源溯源须逐条列明 AI 回答参考来源与服务方发布内容的对应关系，并支持导出原始引用清单。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四、KPI 设定原则（重要）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本项目不设定超出行业物理上限的指标。招标人认为，做不到的 KPI 只会买到假数据：指标超出物理上限时，有交付能力的公司算完成本便会退场，留下的公司只能用预设提示词、老会话与修图凑出「达标」报告。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因此本项目 KPI 遵循以下三条设定原则：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先测基线，再定增量。所有目标值以进场体检的实测基线为起点分阶段约定，不使用绝对值空口承诺。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平台决定的事不写成服务方承诺。收录率与引用占比按信源分档考核（专业信源收录率 ≥ 60%、公域平台 ≥ 30%），并要求提交可导出的原始引用清单，不设「全平台收录率 ≥ 80%」一类无法控制的硬承诺。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不要求单调上涨。以「阶段目标 ＋ 每月 4 次采样均值」考核，替代「月月环比提升不得下滑」。平台发生重大改版时，双方启动复测并对目标进行重新校准。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五、验收标准：分类分阶段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基线（GEO ONE 监测系统 2026 年 8 月实测）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对象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提及率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TOP1 提及率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备注</w:t>
            </w:r>
          </w:p>
        </w:tc>
      </w:tr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C 端优化词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1.4%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0%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竞品排名 NO.17 / 296</w:t>
            </w:r>
          </w:p>
        </w:tc>
      </w:tr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B 端优化词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3.4%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0%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竞品排名 NO.22 / 795</w:t>
            </w:r>
          </w:p>
        </w:tc>
      </w:tr>
      <w:tr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监测词 · 舆情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C 端负面 7%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B 端负面 15%</w:t>
            </w:r>
          </w:p>
        </w:tc>
        <w:tc>
          <w:tcPr>
            <w:tcW w:type="dxa" w:w="317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60 条监测词</w:t>
            </w:r>
          </w:p>
        </w:tc>
      </w:tr>
    </w:tbl>
    <w:p>
      <w:pPr>
        <w:spacing w:after="160" w:before="0"/>
      </w:pP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分类分阶段目标与罚则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8"/>
              </w:rPr>
              <w:t>验收对象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8"/>
              </w:rPr>
              <w:t>阶段一（1–3 月）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8"/>
              </w:rPr>
              <w:t>阶段二（4–9 月）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8"/>
              </w:rPr>
              <w:t>阶段三（10–12 月）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8"/>
              </w:rPr>
              <w:t>未达标处理</w:t>
            </w:r>
          </w:p>
        </w:tc>
      </w:tr>
      <w:t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C 端优化词</w:t>
              <w:br/>
              <w:t>（12 条核心，自 35 条监测池圈定）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提及率 8%</w:t>
              <w:br/>
              <w:t>TOP1 0.5%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提及率 12%</w:t>
              <w:br/>
              <w:t>TOP1 5%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提及率 25%</w:t>
              <w:br/>
              <w:t>TOP1 10%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达标不足 4 条：当阶段服务费按缺口比例暂缓支付，进入 1 个月观察期；观察期仍未达标，该部分不予支付</w:t>
            </w:r>
          </w:p>
        </w:tc>
      </w:tr>
      <w:t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B 端优化词</w:t>
              <w:br/>
              <w:t>（8 条核心，自 25 条监测池圈定）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提及率 15%</w:t>
              <w:br/>
              <w:t>TOP1 1%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提及率 20%</w:t>
              <w:br/>
              <w:t>TOP1 5%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提及率 35%</w:t>
              <w:br/>
              <w:t>TOP1 12%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达标不足 3 条：同上按缺口比例暂缓与核减；不允许用 C 端超额抵扣 B 端缺口</w:t>
            </w:r>
          </w:p>
        </w:tc>
      </w:tr>
      <w:t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监测词 · 舆情</w:t>
              <w:br/>
              <w:t>（60 条）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建立基线</w:t>
              <w:br/>
              <w:t>负面不上升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负面压降至</w:t>
              <w:br/>
              <w:t>5% 以内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正面占比</w:t>
              <w:br/>
              <w:t>≥ 80%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单条错误信息超 30 天未纠偏：按条扣款，单月扣款上限为当月服务费的 20%</w:t>
            </w:r>
          </w:p>
        </w:tc>
      </w:tr>
      <w:t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基础档案</w:t>
              <w:br/>
              <w:t>（药品库与官网）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药品库收录完成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官网问题整改率 100%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结构化数据与 FAQ 全量上线</w:t>
            </w:r>
          </w:p>
        </w:tc>
        <w:tc>
          <w:tcPr>
            <w:tcW w:type="dxa" w:w="24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8"/>
              </w:rPr>
              <w:t>逾期未完成：按合同总额万分之三／日计违约金，直至完成或从尾款中核减</w:t>
            </w:r>
          </w:p>
        </w:tc>
      </w:tr>
    </w:tbl>
    <w:p>
      <w:pPr>
        <w:spacing w:after="160" w:before="0"/>
      </w:pP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/>
          <w:color w:val="1A1A1A"/>
          <w:sz w:val="24"/>
        </w:rPr>
        <w:t>付款节奏：预付 20% ／ 阶段一验收后 25% ／ 阶段二验收后 30% ／ 阶段三验收后 25%。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六、数据验真办法（重要）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任何一方的数据都不能自己说了算。每个阶段验收须同时通过以下两道关：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第一道 · 第三方数据系统报告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谁出报告：由招标人指定或双方共同认可的第三方监测系统出具，服务方只有查看权，没有修改权与导出编辑权。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报告必须含：原始查询日志、AI 答案原文、引用来源链接、答案分享链接、截图、IP 与时间戳，逐条可回溯。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采样规则由招标人确定：每词条 × 每平台 × 每天不少于 100 次；统一新建会话、深度思考 ＋ 联网检索模式；手机端与电脑端同时覆盖。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明确不接受：服务方自己查自己截的图、服务方后台导出的汇总表、只给百分比不给原始清单的报告。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第二道 · 专业团队人工验真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谁来验：招标人付费邀请独立第三方专业团队，既不是服务方，也不是招标人的项目执行部门。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怎么验：甲乙双方各 20 台真机，随机抽取 20% 词条，全部在新对话下现场复现，逐条生成可分享的答案链接。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核对什么：品牌是否被提及、提及位次、引用来源是否真为服务方发布的内容、答案表述是否合规。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结果怎么用：系统数据与人工复核偏差超过 20% 时，当期一律以人工复核数据为准，并以人工验真报告作为结算依据。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七、合规要求与违约红线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合规要求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内容真实、准确、原创，符合各平台内容政策、国家法律法规与 EEAT 标准。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严格遵守《广告法》《药品管理法》《药品广告审查办法》《互联网广告管理办法》。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全程由投标方自有专职团队操盘，医学审核不得外包。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使用的内容素材须拥有合法版权或授权，由此产生的版权纠纷由服务方承担。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投放链接可追踪、可核销，实现内容发布 → 平台收录 → AI 引用全链路可溯源。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违约红线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以下情形招标人有权终止合作并追究责任：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情形</w:t>
            </w:r>
          </w:p>
        </w:tc>
        <w:tc>
          <w:tcPr>
            <w:tcW w:type="dxa" w:w="54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处理</w:t>
            </w:r>
          </w:p>
        </w:tc>
      </w:tr>
      <w:tr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连续两个阶段未达标</w:t>
            </w:r>
          </w:p>
        </w:tc>
        <w:tc>
          <w:tcPr>
            <w:tcW w:type="dxa" w:w="54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招标人可单方终止合同，已付未消耗费用全额退回</w:t>
            </w:r>
          </w:p>
        </w:tc>
      </w:tr>
      <w:tr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数据造假（预设提示词截图、复用老会话、修改截图或汇总表等）</w:t>
            </w:r>
          </w:p>
        </w:tc>
        <w:tc>
          <w:tcPr>
            <w:tcW w:type="dxa" w:w="54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全额退款 ＋ 合同总额 20% 违约金，终止合作并列入供应商黑名单</w:t>
            </w:r>
          </w:p>
        </w:tc>
      </w:tr>
      <w:tr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分包或转包</w:t>
            </w:r>
          </w:p>
        </w:tc>
        <w:tc>
          <w:tcPr>
            <w:tcW w:type="dxa" w:w="54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视同根本违约，按上一条同等处理</w:t>
            </w:r>
          </w:p>
        </w:tc>
      </w:tr>
      <w:tr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虚假或夸大内容、刷量操控、技术劫持算法</w:t>
            </w:r>
          </w:p>
        </w:tc>
        <w:tc>
          <w:tcPr>
            <w:tcW w:type="dxa" w:w="54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同上，并由服务方承担全部行政与法律责任</w:t>
            </w:r>
          </w:p>
        </w:tc>
      </w:tr>
      <w:tr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借用无关资质、案例造假</w:t>
            </w:r>
          </w:p>
        </w:tc>
        <w:tc>
          <w:tcPr>
            <w:tcW w:type="dxa" w:w="54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投标阶段发现即废标；履约阶段发现按根本违约处理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第三部分　招标门槛与评标办法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本项目的门槛不设在「承诺了什么」，而设在「当场做得出什么」。四道门槛全部为可当场验证的硬指标。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门槛一：数据查询能力（现场闭卷）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怎么考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开标当天现场发放词条包：200 条词条 × 5 个平台 × 10 次采样，约 1 万条查询任务。投标方须在 2 小时内一次性提交全量结果，结果须含答案原文、品牌提及情况、引用链接与时间戳。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淘汰线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逾期提交、分批提交、事后补交，一律作废；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现场从提交结果中随机抽取 20 条要求复现，偏差超过 20% 判定不通过；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未通过者不进入方案述标环节。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说明：手工逐条提问的公司，2 小时最多完成几百条；具备自建调度采集系统的公司，1 万条属于常规日产能。此门槛用于区分是否真的拥有可用的监测系统。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门槛二：投放资源与投放逻辑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怎么考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逐条列清投放资源：平台名称、账号量级、合作形式（自有／直签／代理）、单篇成本区间，并附被 AI 引用的实证截图。同时须讲清投放逻辑——各平台在目标 AI 上的引用权重排序、医药类内容的合规准入要求、为什么投这些平台。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淘汰线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说不清账号归属与成本结构的，按转包处理；</w:t>
      </w:r>
    </w:p>
    <w:p>
      <w:pPr>
        <w:spacing w:before="20" w:after="60" w:line="360" w:lineRule="auto"/>
        <w:ind w:left="420" w:hanging="210"/>
        <w:jc w:val="both"/>
      </w:pPr>
      <w:r>
        <w:rPr>
          <w:rFonts w:ascii="宋体" w:hAnsi="宋体" w:eastAsia="宋体"/>
          <w:b w:val="0"/>
          <w:color w:val="1A1A1A"/>
          <w:sz w:val="24"/>
        </w:rPr>
        <w:t>·  资源清单接受当场抽查核验，抽查不到即视为虚报，按案例造假处理。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门槛三：方案专业度（第一权重）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怎么考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提交完整、可执行的方案：词库体系、内容与投放排期、医学审核流程、人员配置、阶段里程碑。方案须能落到「谁在哪一天做什么」，不得停留在方法论层面。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淘汰线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方案分为第一权重，价格次之。方案分低于满分 60%（即低于 33 分）的，不进入商务标环节。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门槛四：异常低价约束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见下文「报价规则与低价惩罚」。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评标权重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项目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权重</w:t>
            </w:r>
          </w:p>
        </w:tc>
      </w:tr>
      <w:tr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方案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55 分</w:t>
            </w:r>
          </w:p>
        </w:tc>
      </w:tr>
      <w:tr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资源与团队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25 分</w:t>
            </w:r>
          </w:p>
        </w:tc>
      </w:tr>
      <w:tr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价格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20 分</w:t>
            </w:r>
          </w:p>
        </w:tc>
      </w:tr>
      <w:tr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合计</w:t>
            </w:r>
          </w:p>
        </w:tc>
        <w:tc>
          <w:tcPr>
            <w:tcW w:type="dxa" w:w="453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100 分</w:t>
            </w:r>
          </w:p>
        </w:tc>
      </w:tr>
    </w:tbl>
    <w:p>
      <w:pPr>
        <w:spacing w:after="160" w:before="0"/>
      </w:pP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说明：价格分满分只有 20 分，方案分满分 55 分。杀价到底最多多拿 20 分，方案差一个档就掉 15 分——低价买不到中标。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报价规则与低价惩罚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不依赖评委主观判断「多低算太低」，改用统计规则。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第一步：计算基准价 P</w:t>
      </w:r>
    </w:p>
    <w:p>
      <w:pPr>
        <w:spacing w:before="120" w:after="160" w:line="360" w:lineRule="auto"/>
        <w:jc w:val="center"/>
      </w:pPr>
      <w:r>
        <w:rPr>
          <w:rFonts w:ascii="楷体" w:hAnsi="楷体" w:eastAsia="楷体"/>
          <w:b/>
          <w:color w:val="004CE5"/>
          <w:sz w:val="24"/>
        </w:rPr>
        <w:t>P = 剔除最高价与最低价各 1 家后，其余有效报价的算术平均值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投标不足 5 家时不剔除极值，直接取全部有效报价的算术平均值。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第二步：计算价格分</w:t>
      </w:r>
    </w:p>
    <w:p>
      <w:pPr>
        <w:spacing w:before="120" w:after="160" w:line="360" w:lineRule="auto"/>
        <w:jc w:val="center"/>
      </w:pPr>
      <w:r>
        <w:rPr>
          <w:rFonts w:ascii="楷体" w:hAnsi="楷体" w:eastAsia="楷体"/>
          <w:b/>
          <w:color w:val="004CE5"/>
          <w:sz w:val="24"/>
        </w:rPr>
        <w:t>价格分 = 20 − 0.6 × D　　其中　D = |报价 − P| ÷ P × 100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D 为偏离百分点。公式双向对称，报高价同样扣分；价格分最低触底 0 分，不出现负分。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第三步：低价三条附加线（仅适用于低于基准价一侧）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9"/>
              </w:rPr>
              <w:t>区间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9"/>
              </w:rPr>
              <w:t>名称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9"/>
              </w:rPr>
              <w:t>价格分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19"/>
              </w:rPr>
              <w:t>附加措施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偏离 ≤ 10 个百分点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正常竞争区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14 ~ 20 分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按公式计分，无附加要求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偏离 10 ~ 25 个百分点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警示区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5 ~ 14 分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须随标提交《成本构成说明》与人力投入清单，缺项价格分归零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低于基准价 25% 以上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重罚区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0 分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价格分直接归零；《成本构成说明》无法自证的，在评标总分上再倒扣 10 分</w:t>
            </w:r>
          </w:p>
        </w:tc>
      </w:tr>
      <w:tr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低于基准价 40% 以上</w:t>
            </w:r>
          </w:p>
        </w:tc>
        <w:tc>
          <w:tcPr>
            <w:tcW w:type="dxa" w:w="158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废标区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不计分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认定为低于成本的恶意报价，作无效标处理，不进入评审</w:t>
            </w:r>
          </w:p>
        </w:tc>
      </w:tr>
    </w:tbl>
    <w:p>
      <w:pPr>
        <w:spacing w:after="160" w:before="0"/>
      </w:pP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实算示例（预算上限 300 万，6 家投标）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剔除最高价 300 万与最低价 150 万后，其余四家（290、275、255、180）均值为 250 万，即基准价 P = 250 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投标方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报价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相对基准价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价格分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F1F3F7" w:val="clear"/>
          </w:tcPr>
          <w:p>
            <w:pPr>
              <w:spacing w:before="40" w:after="40" w:line="300" w:lineRule="auto"/>
              <w:ind w:left="45" w:right="45"/>
              <w:jc w:val="center"/>
            </w:pPr>
            <w:r/>
            <w:r>
              <w:rPr>
                <w:rFonts w:ascii="宋体" w:hAnsi="宋体" w:eastAsia="黑体"/>
                <w:b/>
                <w:color w:val="1A1A1A"/>
                <w:sz w:val="20"/>
              </w:rPr>
              <w:t>处理</w:t>
            </w:r>
          </w:p>
        </w:tc>
      </w:tr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甲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300 万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+20.0%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8.0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正常计分</w:t>
            </w:r>
          </w:p>
        </w:tc>
      </w:tr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乙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290 万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+16.0%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10.4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正常计分</w:t>
            </w:r>
          </w:p>
        </w:tc>
      </w:tr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丙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275 万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+10.0%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14.0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正常计分</w:t>
            </w:r>
          </w:p>
        </w:tc>
      </w:tr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丁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255 万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+2.0%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18.8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正常计分 · 价格分最高</w:t>
            </w:r>
          </w:p>
        </w:tc>
      </w:tr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戊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180 万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−28.0%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0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重罚：价格分归零 ＋ 倒扣 10 分</w:t>
            </w:r>
          </w:p>
        </w:tc>
      </w:tr>
      <w:tr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己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150 万</w:t>
            </w:r>
          </w:p>
        </w:tc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−40.0%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294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 w:line="300" w:lineRule="auto"/>
              <w:ind w:left="45" w:right="45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废标：不进入评审</w:t>
            </w:r>
          </w:p>
        </w:tc>
      </w:tr>
    </w:tbl>
    <w:p>
      <w:pPr>
        <w:spacing w:after="160" w:before="0"/>
      </w:pP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color w:val="1A1A1A"/>
          <w:sz w:val="24"/>
        </w:rPr>
        <w:t>规则要点：基准价由所有投标方共同决定，评委不需要判断「多低算太低」。报价越贴近同行共识越占优，越想靠杀价搅局，扣得越狠——最靠近基准价的丁拿到最高价格分 18.8，报 180 万的戊反而净输 10 分。</w:t>
      </w:r>
    </w:p>
    <w:p>
      <w:pPr>
        <w:spacing w:before="200" w:after="120" w:line="360" w:lineRule="auto"/>
        <w:jc w:val="left"/>
      </w:pPr>
      <w:r>
        <w:rPr>
          <w:rFonts w:ascii="黑体" w:hAnsi="黑体" w:eastAsia="黑体"/>
          <w:b/>
          <w:color w:val="1A1A1A"/>
          <w:sz w:val="24"/>
        </w:rPr>
        <w:t>报价其他要求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报价须包括完成本项目有关的一切事务、费用，以及由税务部门规定由投标人缴纳的各种税项。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投标人必须按招标文件要求填写报价表，不得更改清单内容，否则视为废标。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中止条款：服务质量需符合招标人要求，招标人可随时中止后续合作，费用按已发生并验收合格部分结算。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投标人应主动获取影响报价的所有信息资料。中标后以任何理由提出的额外索赔不予考虑。</w:t>
      </w:r>
    </w:p>
    <w:p>
      <w:r>
        <w:br w:type="page"/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第四部分　资质条件与讲解要求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一、资质条件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主营业务为 GEO / AI 品牌优化，独立法人，成立满 3 年及以上。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拥有自有专职技术研发团队、自有医学内容审核团队及自有 GEO 专属监测系统，全程自主运营。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近 2 年拥有医药（OTC 优先）、大健康品类 GEO 真实落地案例，可提供完整监测数据与客户可核实的联系方式。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医学审核团队须有执业医师或执业药师在册，可提供资格证明。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本项目不接受联合体投标，亦不得分包或转包。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二、讲解要求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方案 PPT ＋ 纸质版装订成册 ＋ 执行案例完整数据 ＋ 服务团队介绍。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须现场演示 GEO 监测系统：展示多设备多 IP 监测、信源溯源、原始日志导出、数据看板等功能。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须现场说明医学审核流程，并出示内容样本与被 AI 引用的收录证明。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须现场讲解 C 端与 B 端词库的构建逻辑与清洗打标规则。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述标不超过 30 分钟，技术标中不得涉及商务报价。</w:t>
      </w:r>
    </w:p>
    <w:p>
      <w:r>
        <w:br w:type="page"/>
      </w:r>
    </w:p>
    <w:p>
      <w:pPr>
        <w:spacing w:before="360" w:after="280" w:line="360" w:lineRule="auto"/>
        <w:jc w:val="center"/>
      </w:pPr>
      <w:r>
        <w:rPr>
          <w:rFonts w:ascii="黑体" w:hAnsi="黑体" w:eastAsia="黑体"/>
          <w:b/>
          <w:color w:val="1A1A1A"/>
          <w:sz w:val="36"/>
        </w:rPr>
        <w:t>第五部分　投标文件格式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一、技术标目录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技术标目录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投标书（按招标文件要求填写并加盖公章）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授权委托书（按招标文件要求填写并加盖公章）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法人代表证明书（按招标文件要求填写并加盖公章）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5. 营业执照（复印件加盖公章）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6. 公司资料（公司简介、服务团队介绍、医学审核团队资格证明）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7. 项目负责人与服务团队清单（含接口人履历）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8. 投标方案（电子文件 PPT、打印版 A4 画册、方案存储 U 盘，需讲解）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9. 同类标杆案例 2 ~ 3 个，含完整监测数据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10. 保密协议（按附件要求填写并加盖公章）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11. 投标人认为有必要补充的其他资料</w:t>
      </w:r>
    </w:p>
    <w:p>
      <w:pPr>
        <w:spacing w:before="280" w:after="160" w:line="360" w:lineRule="auto"/>
        <w:jc w:val="left"/>
      </w:pPr>
      <w:r>
        <w:rPr>
          <w:rFonts w:ascii="黑体" w:hAnsi="黑体" w:eastAsia="黑体"/>
          <w:b/>
          <w:color w:val="1A1A1A"/>
          <w:sz w:val="28"/>
        </w:rPr>
        <w:t>二、商务标目录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1. 商务标目录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2. 报价一览表（按招标文件要求填写并加盖公章）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3. 《成本构成说明》与人力投入清单（报价低于基准价 10% 以上者必交）</w:t>
      </w:r>
    </w:p>
    <w:p>
      <w:pPr>
        <w:spacing w:before="20" w:after="80" w:line="360" w:lineRule="auto"/>
        <w:ind w:left="420" w:hanging="420"/>
        <w:jc w:val="both"/>
      </w:pPr>
      <w:r>
        <w:rPr>
          <w:rFonts w:ascii="宋体" w:hAnsi="宋体" w:eastAsia="宋体"/>
          <w:b w:val="0"/>
          <w:color w:val="1A1A1A"/>
          <w:sz w:val="24"/>
        </w:rPr>
        <w:t>4. 投标人认为有必要补充的其他资料</w:t>
      </w:r>
    </w:p>
    <w:p>
      <w:pPr>
        <w:spacing w:before="0" w:after="360" w:line="360" w:lineRule="auto"/>
        <w:jc w:val="both"/>
      </w:pPr>
      <w:r>
        <w:rPr>
          <w:rFonts w:ascii="宋体" w:hAnsi="宋体" w:eastAsia="宋体"/>
          <w:b w:val="0"/>
          <w:color w:val="1A1A1A"/>
          <w:sz w:val="24"/>
        </w:rPr>
      </w:r>
    </w:p>
    <w:p>
      <w:pPr>
        <w:spacing w:before="480" w:after="120" w:line="360" w:lineRule="auto"/>
        <w:jc w:val="center"/>
      </w:pPr>
      <w:r>
        <w:rPr>
          <w:rFonts w:ascii="宋体" w:hAnsi="宋体" w:eastAsia="宋体"/>
          <w:b w:val="0"/>
          <w:color w:val="1A1A1A"/>
          <w:sz w:val="24"/>
        </w:rPr>
        <w:t>〈以下无正文〉</w:t>
      </w:r>
    </w:p>
    <w:p>
      <w:pPr>
        <w:spacing w:before="0" w:after="0" w:line="360" w:lineRule="auto"/>
        <w:jc w:val="center"/>
      </w:pPr>
      <w:r>
        <w:rPr>
          <w:rFonts w:ascii="宋体" w:hAnsi="宋体" w:eastAsia="宋体"/>
          <w:b w:val="0"/>
          <w:color w:val="1A1A1A"/>
          <w:sz w:val="24"/>
        </w:rPr>
        <w:t>— 全文完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40" w:bottom="1361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1A1A1A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1A1A1A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004CE5"/>
      </w:pBdr>
    </w:pPr>
    <w:r>
      <w:rPr>
        <w:rFonts w:ascii="宋体" w:hAnsi="宋体" w:eastAsia="宋体"/>
        <w:b w:val="0"/>
        <w:color w:val="666666"/>
        <w:sz w:val="18"/>
      </w:rPr>
      <w:t>三九养胃舒颗粒 GEO（生成式引擎优化）项目招标文件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