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AbstractSummary</w:t>
      </w:r>
    </w:p>
    <w:p>
      <w:r>
        <w:t>Fintech Plus Sync's CEO, John Doe, reported a successful Q2 2023 with a revenue of $125 million, a 25% increase from the previous year. The company's gross profit margin was 58%, and EBITDA rose to $37.5 million, a 30% margin. Net income increased to $16 million, up from $10 million in Q2 2022. The company diversified its asset-backed securities portfolio and invested $25 million in AAA-rated corporate bonds. Total assets reached $1.5 billion, with total liabilities at $900 million, resulting in a solid equity base of $600 million. The company also saw organic user growth, with customer acquisition costs dropping by 15% and lifetime value growing by 25%. The company expects Q3 revenue to be around $135 million, driven by blockchain solutions and AI-driven predictive analytics. The upcoming IPO of their fintech subsidiary, Pay Plus, is expected to raise $200 million.</w:t>
      </w:r>
    </w:p>
    <w:p/>
    <w:p>
      <w:pPr>
        <w:pStyle w:val="Heading1"/>
      </w:pPr>
      <w:r>
        <w:t>KeyPoints</w:t>
      </w:r>
    </w:p>
    <w:p>
      <w:r>
        <w:t>1. Fintech Plus Sync's 2nd quarter 2023 earnings call was led by CEO John Doe.</w:t>
        <w:br/>
        <w:t>2. The company reported a Q2 revenue of $125 million, a 25% increase year over year.</w:t>
        <w:br/>
        <w:t>3. The gross profit margin was 58%, attributed to cost efficiencies from their scalable business model.</w:t>
        <w:br/>
        <w:t>4. EBITDA surged to $37.5 million, a 30% EBITDA margin.</w:t>
        <w:br/>
        <w:t>5. Net income for the quarter rose to $16 million, up from $10 million in Q2 2022.</w:t>
        <w:br/>
        <w:t>6. The total addressable market grew due to the expansion of the high-yield savings product line and the new RoboAdvisor platform.</w:t>
        <w:br/>
        <w:t>7. The company diversified its asset-backed securities portfolio, investing heavily in collateralized debt obligations and residential mortgage-backed securities.</w:t>
        <w:br/>
        <w:t>8. They invested $25 million in AAA-rated corporate bonds to enhance risk-adjusted returns.</w:t>
        <w:br/>
        <w:t>9. Total assets reached $1.5 billion, with total liabilities at $900 million, leaving an equity base of $600 million.</w:t>
        <w:br/>
        <w:t>10. The debt-to-equity ratio was 1.5.</w:t>
        <w:br/>
        <w:t>11. Customer acquisition costs dropped by 15% and lifetime value grew by 25%, with an LTVCAC ratio of 3.5%.</w:t>
        <w:br/>
        <w:t>12. A value-at-risk model was in place, indicating a maximum loss of $5 million in the next trading day at a 99% confidence level.</w:t>
        <w:br/>
        <w:t>13. The company maintained a tier-one capital ratio of 12.5%.</w:t>
        <w:br/>
        <w:t>14. The forecast for the next quarter is a revenue of $135 million and 8% quarter-over-quarter growth, driven by blockchain solutions and AI-driven predictive analytics.</w:t>
        <w:br/>
        <w:t>15. The upcoming IPO of the fintech subsidiary, Pay Plus, is expected to raise $200 million, bolstering liquidity and supporting aggressive growth strategies.</w:t>
      </w:r>
    </w:p>
    <w:p/>
    <w:p>
      <w:pPr>
        <w:pStyle w:val="Heading1"/>
      </w:pPr>
      <w:r>
        <w:t>ActionItems</w:t>
      </w:r>
    </w:p>
    <w:p>
      <w:r>
        <w:t>1. Continue to diversify the asset-backed securities portfolio.</w:t>
        <w:br/>
        <w:t>2. Invest in collateralized debt obligations and residential mortgage-backed securities.</w:t>
        <w:br/>
        <w:t>3. Invest in AAA-rated corporate bonds.</w:t>
        <w:br/>
        <w:t>4. Manage and monitor the value-at-risk model.</w:t>
        <w:br/>
        <w:t>5. Continue to manage leverage conservatively.</w:t>
        <w:br/>
        <w:t>6. Drive growth through blockchain solutions and AI-driven predictive analytics.</w:t>
        <w:br/>
        <w:t>7. Prepare for the upcoming IPO of the fintech subsidiary, Pay Plus.</w:t>
        <w:br/>
        <w:t>8. Develop aggressive growth strategies following the IPO.</w:t>
      </w:r>
    </w:p>
    <w:p/>
    <w:p>
      <w:pPr>
        <w:pStyle w:val="Heading1"/>
      </w:pPr>
      <w:r>
        <w:t>Sentiment</w:t>
      </w:r>
    </w:p>
    <w:p>
      <w:r>
        <w:t>The sentiment of the text is very positive. The speaker, John Doe, CEO of Fintech Plus, reports on a successful 2nd quarter in 2023 with increased revenue, profit margins, and net income. He also highlights the company's growth, successful investments, and positive forecasts for the future. The tone is optimistic and confident, reflecting the company's strong financial performance and promising outlook.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