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1. </w:t>
      </w:r>
      <w:r>
        <w:rPr>
          <w:rFonts w:ascii="Arial" w:hAnsi="Arial" w:eastAsia="Arial" w:cs="Arial"/>
          <w:i w:val="false"/>
          <w:b w:val="false"/>
          <w:u w:val="none"/>
          <w:strike w:val="false"/>
          <w:sz w:val="20"/>
          <w:szCs w:val="20"/>
          <w:color w:val="000000"/>
        </w:rPr>
        <w:t xml:space="preserve">Characteristics of the two analytic cohorts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960"/>
        <w:gridCol w:w="2520"/>
        <w:gridCol w:w="2520"/>
      </w:tblGrid>
      <w:tr>
        <w:trPr>
          <w:cantSplit/>
          <w:trHeight w:val="634" w:hRule="auto"/>
          <w:tblHeader/>
        </w:trPr>
        header 1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8"/>
                <w:szCs w:val="18"/>
                <w:color w:val="263238"/>
              </w:rPr>
            </w:pPr>
            <w:r>
              <w:rPr>
                <w:rFonts w:ascii="Arial" w:hAnsi="Arial" w:eastAsia="Arial" w:cs="Arial"/>
                <w:i w:val="false"/>
                <w:b w:val="true"/>
                <w:u w:val="none"/>
                <w:strike w:val="false"/>
                <w:sz w:val="18"/>
                <w:szCs w:val="18"/>
                <w:color w:val="263238"/>
              </w:rPr>
              <w:t xml:space="preserve">Characteristic</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8"/>
                <w:szCs w:val="18"/>
                <w:color w:val="263238"/>
              </w:rPr>
            </w:pPr>
            <w:r>
              <w:rPr>
                <w:rFonts w:ascii="Arial" w:hAnsi="Arial" w:eastAsia="Arial" w:cs="Arial"/>
                <w:i w:val="false"/>
                <w:b w:val="true"/>
                <w:u w:val="none"/>
                <w:strike w:val="false"/>
                <w:sz w:val="18"/>
                <w:szCs w:val="18"/>
                <w:color w:val="263238"/>
              </w:rPr>
              <w:t xml:space="preserve">Hospitalisation</w:t>
            </w:r>
            <w:r>
              <w:rPr>
                <w:rFonts w:ascii="Arial" w:hAnsi="Arial" w:eastAsia="Arial" w:cs="Arial"/>
                <w:i w:val="false"/>
                <w:b w:val="true"/>
                <w:u w:val="none"/>
                <w:strike w:val="false"/>
                <w:sz w:val="18"/>
                <w:szCs w:val="18"/>
                <w:color w:val="263238"/>
              </w:rPr>
              <w:br/>
            </w:r>
            <w:r>
              <w:rPr>
                <w:rFonts w:ascii="Arial" w:hAnsi="Arial" w:eastAsia="Arial" w:cs="Arial"/>
                <w:i w:val="false"/>
                <w:b w:val="true"/>
                <w:u w:val="none"/>
                <w:strike w:val="false"/>
                <w:sz w:val="18"/>
                <w:szCs w:val="18"/>
                <w:color w:val="263238"/>
              </w:rPr>
              <w:t xml:space="preserve">cohort</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8"/>
                <w:szCs w:val="18"/>
                <w:color w:val="263238"/>
              </w:rPr>
            </w:pPr>
            <w:r>
              <w:rPr>
                <w:rFonts w:ascii="Arial" w:hAnsi="Arial" w:eastAsia="Arial" w:cs="Arial"/>
                <w:i w:val="false"/>
                <w:b w:val="true"/>
                <w:u w:val="none"/>
                <w:strike w:val="false"/>
                <w:sz w:val="18"/>
                <w:szCs w:val="18"/>
                <w:color w:val="263238"/>
              </w:rPr>
              <w:t xml:space="preserve">Mortality</w:t>
            </w:r>
            <w:r>
              <w:rPr>
                <w:rFonts w:ascii="Arial" w:hAnsi="Arial" w:eastAsia="Arial" w:cs="Arial"/>
                <w:i w:val="false"/>
                <w:b w:val="true"/>
                <w:u w:val="none"/>
                <w:strike w:val="false"/>
                <w:sz w:val="18"/>
                <w:szCs w:val="18"/>
                <w:color w:val="263238"/>
              </w:rPr>
              <w:br/>
            </w:r>
            <w:r>
              <w:rPr>
                <w:rFonts w:ascii="Arial" w:hAnsi="Arial" w:eastAsia="Arial" w:cs="Arial"/>
                <w:i w:val="false"/>
                <w:b w:val="true"/>
                <w:u w:val="none"/>
                <w:strike w:val="false"/>
                <w:sz w:val="18"/>
                <w:szCs w:val="18"/>
                <w:color w:val="263238"/>
              </w:rPr>
              <w:t xml:space="preserve">cohort</w:t>
            </w:r>
          </w:p>
        </w:tc>
      </w:tr>
      <w:tr>
        <w:trPr>
          <w:cantSplit/>
          <w:trHeight w:val="432" w:hRule="auto"/>
        </w:trPr>
        body 1
        <w:tc>
          <w:tcPr>
            <w:tcBorders>
              <w:bottom w:val="single" w:sz="5" w:space="0" w:color="D0D7DB"/>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N</w:t>
            </w:r>
          </w:p>
        </w:tc>
        <w:tc>
          <w:tcPr>
            <w:tcBorders>
              <w:bottom w:val="single" w:sz="5" w:space="0" w:color="D0D7DB"/>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776,072</w:t>
            </w:r>
          </w:p>
        </w:tc>
        <w:tc>
          <w:tcPr>
            <w:tcBorders>
              <w:bottom w:val="single" w:sz="5" w:space="0" w:color="D0D7DB"/>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1,074,796</w:t>
            </w:r>
          </w:p>
        </w:tc>
      </w:tr>
      <w:tr>
        <w:trPr>
          <w:cantSplit/>
          <w:trHeight w:val="432" w:hRule="auto"/>
        </w:trPr>
        body 2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Age, median (IQR), years</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39 (24-54)</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39 (24-54)</w:t>
            </w:r>
          </w:p>
        </w:tc>
      </w:tr>
      <w:tr>
        <w:trPr>
          <w:cantSplit/>
          <w:trHeight w:val="432" w:hRule="auto"/>
        </w:trPr>
        body 3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Female</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472,487 (60.9%)</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655,585 (61.0%)</w:t>
            </w:r>
          </w:p>
        </w:tc>
      </w:tr>
      <w:tr>
        <w:trPr>
          <w:cantSplit/>
          <w:trHeight w:val="432" w:hRule="auto"/>
        </w:trPr>
        body 4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Male</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303,585 (39.1%)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419,211 (39.0%)</w:t>
            </w:r>
          </w:p>
        </w:tc>
      </w:tr>
      <w:tr>
        <w:trPr>
          <w:cantSplit/>
          <w:trHeight w:val="432" w:hRule="auto"/>
        </w:trPr>
        body 5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Hospitalised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25,363 (3.3%)</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w:t>
            </w:r>
          </w:p>
        </w:tc>
      </w:tr>
      <w:tr>
        <w:trPr>
          <w:cantSplit/>
          <w:trHeight w:val="432" w:hRule="auto"/>
        </w:trPr>
        body 6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Died from chikungunya</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1,050 (0.1%)</w:t>
            </w:r>
          </w:p>
        </w:tc>
      </w:tr>
      <w:tr>
        <w:trPr>
          <w:cantSplit/>
          <w:trHeight w:val="389" w:hRule="auto"/>
        </w:trPr>
        body 7
        <w:tc>
          <w:tcPr>
            <w:gridSpan w:val="3"/>
            <w:tcBorders>
              <w:bottom w:val="single" w:sz="5" w:space="0" w:color="D0D7DB"/>
              <w:top w:val="single" w:sz="6" w:space="0" w:color="AEB9BE"/>
              <w:left w:val="none" w:sz="0" w:space="0" w:color="000000"/>
              <w:right w:val="none" w:sz="0" w:space="0" w:color="000000"/>
            </w:tcBorders>
            <w:shd w:val="clear" w:color="auto" w:fill="F5F7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Core conditions</w:t>
            </w:r>
          </w:p>
        </w:tc>
      </w:tr>
      <w:tr>
        <w:trPr>
          <w:cantSplit/>
          <w:trHeight w:val="432" w:hRule="auto"/>
        </w:trPr>
        body 8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Diabetes</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38,661 (5.0%)</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49,767 (4.6%)</w:t>
            </w:r>
          </w:p>
        </w:tc>
      </w:tr>
      <w:tr>
        <w:trPr>
          <w:cantSplit/>
          <w:trHeight w:val="432" w:hRule="auto"/>
        </w:trPr>
        body 9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Hypertension</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93,530 (12.1%)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120,904 (11.2%)</w:t>
            </w:r>
          </w:p>
        </w:tc>
      </w:tr>
      <w:tr>
        <w:trPr>
          <w:cantSplit/>
          <w:trHeight w:val="432" w:hRule="auto"/>
        </w:trPr>
        body10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CKD</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3,739 (0.5%)</w:t>
            </w:r>
          </w:p>
        </w:tc>
        <w:tc>
          <w:tcPr>
            <w:tcBorders>
              <w:bottom w:val="single" w:sz="6" w:space="0" w:color="AEB9BE"/>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4,899 (0.5%)</w:t>
            </w:r>
          </w:p>
        </w:tc>
      </w:tr>
      <w:tr>
        <w:trPr>
          <w:cantSplit/>
          <w:trHeight w:val="389" w:hRule="auto"/>
        </w:trPr>
        body11
        <w:tc>
          <w:tcPr>
            <w:gridSpan w:val="3"/>
            <w:tcBorders>
              <w:bottom w:val="single" w:sz="5" w:space="0" w:color="D0D7DB"/>
              <w:top w:val="single" w:sz="6" w:space="0" w:color="AEB9BE"/>
              <w:left w:val="none" w:sz="0" w:space="0" w:color="000000"/>
              <w:right w:val="none" w:sz="0" w:space="0" w:color="000000"/>
            </w:tcBorders>
            <w:shd w:val="clear" w:color="auto" w:fill="F5F7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Joint profiles</w:t>
            </w:r>
          </w:p>
        </w:tc>
      </w:tr>
      <w:tr>
        <w:trPr>
          <w:cantSplit/>
          <w:trHeight w:val="432" w:hRule="auto"/>
        </w:trPr>
        body12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None</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668,110 (86.1%)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935,038 (87.0%)</w:t>
            </w:r>
          </w:p>
        </w:tc>
      </w:tr>
      <w:tr>
        <w:trPr>
          <w:cantSplit/>
          <w:trHeight w:val="432" w:hRule="auto"/>
        </w:trPr>
        body13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 only</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12,791 (1.6%)</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16,688 (1.6%)</w:t>
            </w:r>
          </w:p>
        </w:tc>
      </w:tr>
      <w:tr>
        <w:trPr>
          <w:cantSplit/>
          <w:trHeight w:val="432" w:hRule="auto"/>
        </w:trPr>
        body14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HTN only</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67,094 (8.6%)</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87,125 (8.1%)</w:t>
            </w:r>
          </w:p>
        </w:tc>
      </w:tr>
      <w:tr>
        <w:trPr>
          <w:cantSplit/>
          <w:trHeight w:val="432" w:hRule="auto"/>
        </w:trPr>
        body15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CKD only</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1,379 (0.2%)</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1,826 (0.2%)</w:t>
            </w:r>
          </w:p>
        </w:tc>
      </w:tr>
      <w:tr>
        <w:trPr>
          <w:cantSplit/>
          <w:trHeight w:val="432" w:hRule="auto"/>
        </w:trPr>
        body16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DM+HTN</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24,338 (3.1%)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31,046 (2.9%)</w:t>
            </w:r>
          </w:p>
        </w:tc>
      </w:tr>
      <w:tr>
        <w:trPr>
          <w:cantSplit/>
          <w:trHeight w:val="432" w:hRule="auto"/>
        </w:trPr>
        body17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DM+CKD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262 (0.0%)</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340 (0.0%)</w:t>
            </w:r>
          </w:p>
        </w:tc>
      </w:tr>
      <w:tr>
        <w:trPr>
          <w:cantSplit/>
          <w:trHeight w:val="432" w:hRule="auto"/>
        </w:trPr>
        body18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HTN+CKD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828 (0.1%)</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1,040 (0.1%)</w:t>
            </w:r>
          </w:p>
        </w:tc>
      </w:tr>
      <w:tr>
        <w:trPr>
          <w:cantSplit/>
          <w:trHeight w:val="432" w:hRule="auto"/>
        </w:trPr>
        body19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DM+HTN+CKD</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1,270 (0.2%)</w:t>
            </w:r>
          </w:p>
        </w:tc>
        <w:tc>
          <w:tcPr>
            <w:tcBorders>
              <w:bottom w:val="single" w:sz="5" w:space="0" w:color="D0D7DB"/>
              <w:top w:val="single" w:sz="5" w:space="0" w:color="D0D7DB"/>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Arial" w:hAnsi="Arial" w:eastAsia="Arial" w:cs="Arial"/>
                <w:i w:val="false"/>
                <w:b w:val="false"/>
                <w:u w:val="none"/>
                <w:strike w:val="false"/>
                <w:sz w:val="17"/>
                <w:szCs w:val="17"/>
                <w:color w:val="263238"/>
              </w:rPr>
            </w:pPr>
            <w:r>
              <w:rPr>
                <w:rFonts w:ascii="Arial" w:hAnsi="Arial" w:eastAsia="Arial" w:cs="Arial"/>
                <w:i w:val="false"/>
                <w:b w:val="false"/>
                <w:u w:val="none"/>
                <w:strike w:val="false"/>
                <w:sz w:val="17"/>
                <w:szCs w:val="17"/>
                <w:color w:val="263238"/>
              </w:rPr>
              <w:t xml:space="preserve">1,693 (0.2%)</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Note. </w:t>
      </w:r>
      <w:r>
        <w:rPr>
          <w:rFonts w:ascii="Arial" w:hAnsi="Arial" w:eastAsia="Arial" w:cs="Arial"/>
          <w:i w:val="false"/>
          <w:b w:val="false"/>
          <w:u w:val="none"/>
          <w:strike w:val="false"/>
          <w:sz w:val="16"/>
          <w:szCs w:val="16"/>
          <w:color w:val="000000"/>
        </w:rPr>
        <w:t xml:space="preserve">Values are n (%) unless otherwise stated. Core conditions are marginal prevalences and may overlap. Joint profiles are mutually exclusive combinations of diabetes (DM), hypertension (HTN), and chronic kidney disease (CKD). Hospitalisation and mortality cohorts were constructed independently according to outcome-status availability.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2026-09-28T14:56:32Z</dcterms:modified>
  <cp:category/>
</cp:coreProperties>
</file>