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X.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Standardised risk differences and relative risks by core underlying condition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016"/>
        <w:gridCol w:w="3960"/>
        <w:gridCol w:w="2376"/>
      </w:tblGrid>
      <w:tr>
        <w:trPr>
          <w:cantSplit/>
          <w:trHeight w:val="749" w:hRule="auto"/>
          <w:tblHeader/>
        </w:trPr>
        header1
        <w:tc>
          <w:tcPr>
            <w:tcBorders>
              <w:bottom w:val="single" w:sz="8" w:space="0" w:color="7E8A90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EEF1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t xml:space="preserve">Outcome</w:t>
            </w:r>
          </w:p>
        </w:tc>
        <w:tc>
          <w:tcPr>
            <w:tcBorders>
              <w:bottom w:val="single" w:sz="8" w:space="0" w:color="7E8A90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EEF1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t xml:space="preserve">Condition</w:t>
            </w:r>
          </w:p>
        </w:tc>
        <w:tc>
          <w:tcPr>
            <w:tcBorders>
              <w:bottom w:val="single" w:sz="8" w:space="0" w:color="7E8A90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EEF1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t xml:space="preserve">Standardised risk difference,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t xml:space="preserve">percentage points (95% CI)</w:t>
            </w:r>
          </w:p>
        </w:tc>
        <w:tc>
          <w:tcPr>
            <w:tcBorders>
              <w:bottom w:val="single" w:sz="8" w:space="0" w:color="7E8A90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EEF1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t xml:space="preserve">Standardised RR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263238"/>
              </w:rPr>
              <w:t xml:space="preserve">(95% CI)</w:t>
            </w:r>
          </w:p>
        </w:tc>
      </w:tr>
      <w:tr>
        <w:trPr>
          <w:cantSplit/>
          <w:trHeight w:val="490" w:hRule="auto"/>
        </w:trPr>
        body1
        <w:tc>
          <w:tcPr>
            <w:vMerge w:val="restart"/>
            <w:tcBorders>
              <w:bottom w:val="single" w:sz="5" w:space="0" w:color="C9D1D5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Hospitalisation</w:t>
            </w:r>
          </w:p>
        </w:tc>
        <w:tc>
          <w:tcPr>
            <w:tcBorders>
              <w:bottom w:val="single" w:sz="5" w:space="0" w:color="C9D1D5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Diabetes</w:t>
            </w:r>
          </w:p>
        </w:tc>
        <w:tc>
          <w:tcPr>
            <w:tcBorders>
              <w:bottom w:val="single" w:sz="5" w:space="0" w:color="C9D1D5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+1.42 (+1.22 to +1.63)</w:t>
            </w:r>
          </w:p>
        </w:tc>
        <w:tc>
          <w:tcPr>
            <w:tcBorders>
              <w:bottom w:val="single" w:sz="5" w:space="0" w:color="C9D1D5"/>
              <w:top w:val="single" w:sz="8" w:space="0" w:color="7E8A9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1.45 (1.38-1.51)</w:t>
            </w:r>
          </w:p>
        </w:tc>
      </w:tr>
      <w:tr>
        <w:trPr>
          <w:cantSplit/>
          <w:trHeight w:val="490" w:hRule="auto"/>
        </w:trPr>
        body2
        <w:tc>
          <w:tcPr>
            <w:vMerge/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Hypertension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+1.44 (+1.28 to +1.61)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1.47 (1.41-1.52)</w:t>
            </w:r>
          </w:p>
        </w:tc>
      </w:tr>
      <w:tr>
        <w:trPr>
          <w:cantSplit/>
          <w:trHeight w:val="490" w:hRule="auto"/>
        </w:trPr>
        body3
        <w:tc>
          <w:tcPr>
            <w:vMerge/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Chronic kidney disease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+4.59 (+3.90 to +5.39)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2.42 (2.20-2.67)</w:t>
            </w:r>
          </w:p>
        </w:tc>
      </w:tr>
      <w:tr>
        <w:trPr>
          <w:cantSplit/>
          <w:trHeight w:val="490" w:hRule="auto"/>
        </w:trPr>
        body4
        <w:tc>
          <w:tcPr>
            <w:vMerge w:val="restart"/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Death from chikungunya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Diabetes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+0.11 (+0.08 to +0.14)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2.25 (1.90-2.64)</w:t>
            </w:r>
          </w:p>
        </w:tc>
      </w:tr>
      <w:tr>
        <w:trPr>
          <w:cantSplit/>
          <w:trHeight w:val="490" w:hRule="auto"/>
        </w:trPr>
        body5
        <w:tc>
          <w:tcPr>
            <w:vMerge/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Hypertension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+0.09 (+0.07 to +0.11)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2.20 (1.91-2.58)</w:t>
            </w:r>
          </w:p>
        </w:tc>
      </w:tr>
      <w:tr>
        <w:trPr>
          <w:cantSplit/>
          <w:trHeight w:val="490" w:hRule="auto"/>
        </w:trPr>
        body6
        <w:tc>
          <w:tcPr>
            <w:vMerge/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263238"/>
              </w:rPr>
              <w:t xml:space="preserve">Chronic kidney disease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+0.29 (+0.20 to +0.40)</w:t>
            </w:r>
          </w:p>
        </w:tc>
        <w:tc>
          <w:tcPr>
            <w:tcBorders>
              <w:bottom w:val="single" w:sz="5" w:space="0" w:color="C9D1D5"/>
              <w:top w:val="single" w:sz="5" w:space="0" w:color="C9D1D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263238"/>
              </w:rPr>
              <w:t xml:space="preserve">4.10 (3.12-5.24)</w:t>
            </w:r>
          </w:p>
        </w:tc>
      </w:tr>
    </w:tbl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000000"/>
        </w:rPr>
        <w:t xml:space="preserve">Note.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Risk difference is the standardised predicted risk with the focal condition present minus that with the condition absent; positive values indicate higher risk with the condition present. Models include diabetes, hypertension, and chronic kidney disease simultaneously and adjust for age, sex, year, and state of residence. Risk-difference and RR 95% CIs use the same paired 2,000-draw parametric bootstrap.</w:t>
      </w:r>
    </w:p>
    <w:sectPr>
      <w:pgMar w:header="708" w:bottom="936" w:top="936" w:right="792" w:left="79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2026-09-28T14:56:33Z</dcterms:modified>
  <cp:category/>
</cp:coreProperties>
</file>