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doc_index="1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1"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 w:run_content_index="1">Figure 1. Overall population-standardised risk ratios of hospitalisation and chikungunya-attributed death by multimorbidity profile</w:t>
      </w:r>
    </w:p>
    <w:p w:doc_index="2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2"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 w:run_content_index="2">Points show population-standardised risk ratios (RR) for each profile relative to cases with none of the three conditions (None), among confirmed chikungunya cases notified in Brazil in 2017–2025: (A) hospitalisation (n = 776,072; 25,363 hospitalisations); (B) chikungunya-attributed death (n = 983,947; 1,050 deaths). Profiles are mutually exclusive combinations of diabetes mellitus (DM), hypertension (HTN) and chronic kidney disease (CKD), grouped by number of conditions. Risks were estimated from outcome-specific penalised logistic generalised additive models including the eight mutually exclusive profiles, sex, notification year and state of residence (random effect). The hospitalisation model included a common smooth function of age plus penalised profile-specific age deviations; the mortality model included a common smooth function of age without profile-by-age interaction. For each profile, every case in the outcome cohort was assigned that profile with their observed age, sex, year and state, and predicted risks were averaged (g-computation); RRs are ratios of these standardised risks. Horizontal bars are 95% confidence intervals from 4,000 parametric draws of the model coefficients, with all profiles evaluated on the same draws. Columns give RR (95% CI) and observed events / cases. Open markers denote profiles with fewer than 10 outcome events (DM + CKD, 4 deaths). Horizontal axes are logarithmic and differ between panels.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2026-10-26T17:12:26Z</dcterms:modified>
  <cp:category/>
</cp:coreProperties>
</file>