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doc_index="1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1"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 w:run_content_index="1">Figure 2. Age-specific population-standardised absolute risks of hospitalisation and chikungunya-attributed death by multimorbidity profile</w:t>
      </w:r>
    </w:p>
    <w:p w:doc_index="2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2"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 w:run_content_index="2">(A) Standardised risk of hospitalisation by age group among 776,072 cases with recorded hospitalisation status (25,363 hospitalisations). (B) Standardised risk of chikungunya-attributed death by age group among 983,947 cases with recorded outcome (1,050 deaths). Profiles are the mutually exclusive combinations of diabetes (DM), hypertension (HTN) and chronic kidney disease (CKD); None denotes cases with none of these conditions and is shown in every age group as the reference trajectory. Risks were estimated from outcome-specific penalised logistic generalised additive models including the eight mutually exclusive profiles, sex, notification year and state of residence (random effect). The hospitalisation model included a common smooth function of age plus penalised profile-specific age deviations; the mortality model included a common smooth function of age without profile-by-age interaction. Estimates come from the same fitted models as Figure 1 and Table 2. Risks were standardised by g-computation within each age group: every profile was assigned the observed joint distribution of exact age, sex, notification year and state of residence of all cases in that age group. Only age × profile cells with at least 10 outcome events and at least 10 non-events are displayed; DM + CKD did not meet this threshold in any age group and is not shown. Lines connect estimates in adjacent displayed age groups only. Case and event counts for all age × profile cells, with estimates for sparse cells not displayed here, are provided in Supplementary Table S[X]. Error bars denote 95% confidence intervals from 4,000 parametric draws of the model coefficients. Vertical axes are logarithmic and differ in scale between panels.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2026-10-26T17:12:27Z</dcterms:modified>
  <cp:category/>
</cp:coreProperties>
</file>