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doc_index="1"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 w:run_index="1"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 w:run_content_index="1">Figure 3. Within-count differences in population-standardised risks of hospitalisation and chikungunya-attributed death</w:t>
      </w:r>
    </w:p>
    <w:p w:doc_index="2"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0" w:before="0" w:line="360"/>
        <w:ind w:left="0" w:right="0" w:firstLine="0" w:firstLineChars="0"/>
      </w:pPr>
      <w:r w:run_index="2"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 w:run_content_index="2">Points show standardised risk differences (RD) between pairs of profiles with the same number of conditions, among confirmed chikungunya cases notified in Brazil in 2017–2025, for hospitalisation (n = 776,072; 25,363 hospitalisations) and chikungunya-attributed death (n = 983,947; 1,050 deaths). Six contrasts were pre-specified: among single-condition profiles, DM vs HTN, CKD vs HTN and CKD vs DM; among two-condition profiles, DM+CKD vs DM+HTN, HTN+CKD vs DM+HTN and HTN+CKD vs DM+CKD. RD is the standardised risk of the first-listed profile minus that of the second-listed profile, in percentage points; positive values indicate higher risk in the first-listed profile. RDs are differences between the overall standardised risks reported in Table 2, from the same fitted models. Risks were estimated from outcome-specific penalised logistic generalised additive models including the eight mutually exclusive profiles, sex, notification year and state of residence (random effect). The hospitalisation model included a common smooth function of age plus penalised profile-specific age deviations; the mortality model included a common smooth function of age without profile-by-age interaction. Horizontal bars are pointwise 95% confidence intervals from 4,000 draws of the model coefficients, with both risks in each contrast computed from the same draw; they are not adjusted for multiple comparisons (Bonferroni-simultaneous intervals are given in Supplementary Table S[X]). Open grey circles mark contrasts involving a profile with fewer than 10 outcome events (2 contrasts involving DM+CKD in the mortality analysis), which are imprecise. DM, diabetes mellitus; HTN, hypertension; CKD, chronic kidney disease.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2026-10-26T17:12:27Z</dcterms:modified>
  <cp:category/>
</cp:coreProperties>
</file>