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Supplementary Table Sx.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Evidence-informed prioritisation of SINAN-recorded underlying conditions for chikungunya severity analyses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6"/>
        <w:gridCol w:w="3672"/>
        <w:gridCol w:w="3960"/>
        <w:gridCol w:w="1368"/>
        <w:gridCol w:w="2952"/>
        <w:gridCol w:w="1368"/>
      </w:tblGrid>
      <w:tr>
        <w:trPr>
          <w:cantSplit/>
          <w:trHeight w:val="360" w:hRule="auto"/>
          <w:tblHeader/>
        </w:trPr>
        header1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Underlying condition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Hospitalisation evidence*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Mortality evidence*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Evidence families, n§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Main limitations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Prioritisation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Diabetes mellitus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Supported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. Adjusted positive associations in national (BRA-A) and Ceará (BRA-B) SINAN data; age-adjusted RR 1.39 (1.06–1.84) in an external cohort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Supported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. Adjusted positive associations in BRA-A and BRA-B; crude, imprecise in BRA-C; pooled OR 2.86; no association in Réunion and imprecise in an ICU cohort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H: 3 (1 ext.)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M: 5 (2 ext.)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Positive mortality evidence rests on SINAN-overlapping data; external studies null or imprecise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Core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Hypertension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Supported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. Adjusted positive associations in BRA-A and BRA-B; null in the external cohort (age-adjusted RR 1.00, 0.63–1.57)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Limited‡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. Adjusted positive associations in BRA-A and BRA-B, crude in BRA-C; pooled OR 3.10; not among death factors in two studies; imprecise in an ICU cohort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H: 3 (1 ext.)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M: 4 (1 ext.)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Single external hospitalisation study null; mortality evidence inconsistent; Réunion signal is severe disease, not death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Core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Chronic kidney disease</w:t>
            </w: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Supported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. Adjusted positive associations in BRA-A and BRA-B (Ceará aOR 4.56); age-adjusted RR 1.52 (1.19–1.94) in an external cohort</w:t>
            </w: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Supported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. Adjusted positive associations in BRA-A, BRA-B and BRA-C (aOR 12.77, 2.75–59.4); pooled OR 5.81 (1.30–25.99); no external mortality estimate</w:t>
            </w: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H: 3 (1 ext.)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M: 3 (0 ext.)</w:t>
            </w: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Mortality evidence entirely from Brazilian SINAN-overlapping families; wide CIs; 'kidney disease' labels vary</w:t>
            </w: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Core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Hepatopathy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Insufficient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. Assessed in BRA-A and BRA-B; no condition-specific association extracted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Limited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. Adjusted positive association in BRA-A only (aOR 1.78, 1.06–2.99; in-hospital death)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H: 0 (0 ext.)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M: 1 (0 ext.)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Single overlapping family; outcome-specific; broad SINAN category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Secondary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Autoimmune disease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Limited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. Adjusted positive association in BRA-A only (aOR 1.54, 1.30–1.82)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Insufficient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. Adjusted aOR 2.77 (1.68–4.56) in one BRA-A study; not reported in the other†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H: 1 (0 ext.)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M: 1 (0 ext.)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Single overlapping family; heterogeneous category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Secondary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Haematological disease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Insufficient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. Assessed in BRA-A and BRA-B; no condition-specific association extracted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Insufficient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. Assessed in BRA-A; no condition-specific association extracted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H: 0 (0 ext.)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M: 0 (0 ext.)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No extractable estimates; heterogeneous category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Not prioritised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Peptic ulcer disease</w:t>
            </w: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Insufficient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. Assessed in BRA-A and BRA-B; no condition-specific association extracted</w:t>
            </w: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Insufficient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. Assessed in BRA-A; no condition-specific association extracted</w:t>
            </w: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H: 0 (0 ext.)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M: 0 (0 ext.)</w:t>
            </w: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No extractable estimates</w:t>
            </w: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Not prioritised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000000"/>
        </w:rPr>
        <w:t xml:space="preserve">Note.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Classifications summarise a focused, qualitative evidence assessment that informed variable selection. They are not a GRADE, ROBINS-I or numerical scoring assessment, and "Insufficient" does not mean evidence of no association. Estimates are as extracted (OR or RR, 95% CI); this study's own estimates were not used.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* Supported: direct condition-specific evidence for the outcome, with a recurrent direction of association across analytically informative evidence and/or corroboration from an independent source. Limited: a plausible signal restricted by a single or overlapping population, crude-only analysis, sparse events or wide CIs, or limited replication. Insufficient: no informative direct comparative evidence. Mortality evidence is death only; severe or composite outcomes, ICU-selected cohorts and fatal-case-only series were not counted as mortality evidence. Categories are those assigned before the main analysis (originally labelled hospitalisation and severe/fatal) and are reproduced unchanged.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§ Distinct evidence families contributing condition-specific comparative evidence (adjusted or crude) for hospitalisation (H) or mortality (M). Publications from the same population form one family: BRA-A, national SINAN (Furtado 2026; Cerqueira-Silva 2025); BRA-B, Ceará 2016–2017 surveillance (Pinto 2019; Silva Junior 2018, 2019); BRA-C, Fortaleza 2017 case-control (Oliveira 2022). All BRA families overlap with the SINAN data analysed here and are not independent replication. ext. = external families not overlapping with the target data (US veterans/Puerto Rico, Perti 2016; Réunion, Economopoulou 2009; Paraguay ICU, Añazco 2026). Evidence syntheses (Micheleto 2025; Badawi 2018; Costa 2023; Cerbino-Neto 2020; de Almeida Barreto 2018) were used for corroboration only and are not counted.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Prioritisation: Core, Supported for at least one outcome and at least Limited for the other (included in the primary condition-specific and joint-profile models); Secondary, signal confined to one outcome and/or Limited overall; Not prioritised, Insufficient for both outcomes.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† A re-check against the decision rules would classify autoimmune mortality evidence as Limited rather than Insufficient; prioritisation is unchanged. ‡ Borderline between Limited and Supported on death-only evidence. Both are documented in the reconciliation report.</w:t>
      </w:r>
    </w:p>
    <w:sectPr>
      <w:pgMar w:header="708" w:bottom="864" w:top="864" w:right="864" w:left="864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2026-10-26T15:04:33Z</dcterms:modified>
  <cp:category/>
</cp:coreProperties>
</file>