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doc_index="1">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un_index="1">
        <w:rPr>
          <w:rFonts w:ascii="Arial" w:hAnsi="Arial" w:eastAsia="Arial" w:cs="Arial"/>
          <w:i w:val="false"/>
          <w:b w:val="true"/>
          <w:u w:val="none"/>
          <w:strike w:val="false"/>
          <w:sz w:val="22"/>
          <w:szCs w:val="22"/>
          <w:color w:val="000000"/>
        </w:rPr>
        <w:t xml:space="preserve" w:run_content_index="1">Figure 3. Age-specific standardised risks of hospitalisation and chikungunya-attributed death by multimorbidity profile among confirmed chikungunya cases, Brazil, 2017–2025</w:t>
      </w:r>
    </w:p>
    <w:p w:doc_index="2">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un_index="2">
        <w:rPr>
          <w:rFonts w:ascii="Arial" w:hAnsi="Arial" w:eastAsia="Arial" w:cs="Arial"/>
          <w:i w:val="false"/>
          <w:b w:val="false"/>
          <w:u w:val="none"/>
          <w:strike w:val="false"/>
          <w:sz w:val="22"/>
          <w:szCs w:val="22"/>
          <w:color w:val="000000"/>
        </w:rPr>
        <w:t xml:space="preserve" w:run_content_index="2">(A) Standardised risk of hospitalisation by age group among 776,072 cases with recorded hospitalisation status (25,363 hospitalisations). (B) Standardised risk of chikungunya-attributed death by age group among 983,947 cases with recorded outcome (1,050 deaths). Profiles are the mutually exclusive combinations of diabetes (DM), hypertension (HTN) and chronic kidney disease (CKD); None denotes cases with none of these conditions and is shown in every age group as the reference trajectory. Risks were estimated from penalised logistic generalised additive models including profile-specific age effects, sex, notification year and state of residence, and were standardised by g-computation: within each age group, every profile was assigned the observed joint distribution of exact age, sex, notification year and state of residence of all cases in that age group in the respective outcome cohort. Only age × profile cells with at least 10 outcome events and at least 10 non-events are displayed, so that the figure shows empirically supported estimates only; DM+CKD did not meet this threshold in any age group and is not shown. Lines connect estimates in adjacent displayed age groups only. Case and event counts for all age × profile cells, together with estimates for sparse cells not displayed here, are provided in Supplementary Table S[X]. Error bars denote 95% confidence intervals from 2,000 parametric draws of the model coefficients. Vertical axes are logarithmic and differ in scale between panels.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2026-10-26T11:17:13Z</dcterms:modified>
  <cp:category/>
</cp:coreProperties>
</file>