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doc_index="1"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0" w:before="0" w:line="360"/>
        <w:ind w:left="0" w:right="0" w:firstLine="0" w:firstLineChars="0"/>
      </w:pPr>
      <w:r w:run_index="1"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 w:run_content_index="1">Figure 4. Within-count differences in standardised risks of hospitalisation and chikungunya-attributed death across comorbidity profiles</w:t>
      </w:r>
    </w:p>
    <w:p w:doc_index="2"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0" w:before="0" w:line="360"/>
        <w:ind w:left="0" w:right="0" w:firstLine="0" w:firstLineChars="0"/>
      </w:pPr>
      <w:r w:run_index="2"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 w:run_content_index="2">Points show standardised risk differences (RD) between pairs of comorbidity profiles with the same number of conditions, among confirmed chikungunya cases notified in Brazil in 2017–2025, for hospitalisation (n = 776,072; 25,363 hospitalisations) and chikungunya-attributed death (n = 983,947; 1,050 deaths). Six contrasts were pre-specified: among single-condition profiles, DM vs HTN, CKD vs HTN and CKD vs DM; among two-condition profiles, DM+CKD vs DM+HTN, HTN+CKD vs DM+HTN and HTN+CKD vs DM+CKD. Profiles with no condition or all three conditions are not compared because each is the only profile with that count. RD is the standardised risk of the first-listed profile minus that of the second-listed profile, in percentage points; positive values indicate higher risk in the first-listed profile. Risks were estimated from penalised logistic generalised additive models for each outcome including the eight mutually exclusive comorbidity profiles, a smooth function of age, sex, notification year and state of residence (random effect), and standardised by g-computation to the observed joint distribution of age, sex, notification year and state of residence in that outcome's cohort. Horizontal bars are pointwise 95% confidence intervals from 4,000 draws of the model coefficients, with both risks in each contrast computed from the same draw; they are not adjusted for multiple comparisons (multiplicity-adjusted intervals are given in Supplementary Table S[X]). Open grey circles mark contrasts involving a profile with fewer than 10 outcome events: both mortality contrasts involving DM+CKD (4 deaths among 313 cases), which are imprecise and should not be interpreted as evidence of a difference or of no difference. DM, diabetes mellitus; HTN, hypertension; CKD, chronic kidney disease.</w:t>
      </w:r>
    </w:p>
    <w:p w:doc_index="3"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0" w:before="0" w:line="360"/>
        <w:ind w:left="0" w:right="0" w:firstLine="0" w:firstLineChars="0"/>
      </w:pPr>
      <w:r w:run_index="3"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 w:run_content_index="3">Figure note (for authors and reviewers; not part of the legend)</w:t>
      </w:r>
    </w:p>
    <w:p w:doc_index="4"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0" w:before="0" w:line="360"/>
        <w:ind w:left="0" w:right="0" w:firstLine="0" w:firstLineChars="0"/>
      </w:pPr>
      <w:r w:run_index="4"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 w:run_content_index="4">Figure 2 compares each profile with cases who have none of the three conditions. Figure 4 instead compares profiles that share the same number of conditions, directly and on the absolute scale, with uncertainty for each difference estimated jointly. These within-count differences cannot be read reliably from Figure 2: comparing two profiles' separate confidence intervals ignores their covariance. Figure 4 therefore tests whether which conditions are present carries information beyond how many are present.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2026-10-26T12:43:56Z</dcterms:modified>
  <cp:category/>
</cp:coreProperties>
</file>