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S1. Prevalence of seven recorded underlying conditions in the core-3 source population and outcome-specific analytic cohorts,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8"/>
        <w:gridCol w:w="3816"/>
        <w:gridCol w:w="3528"/>
        <w:gridCol w:w="3528"/>
        <w:gridCol w:w="3528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Core-3 source population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n/N (%)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Hospitalisation cohort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n/N (%)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Mortality cohort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n/N (%)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120,904/1,074,796 (11.2%)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93,530/776,072 (12.1%)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120,904/1,074,796 (11.2%)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49,767/1,074,796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38,661/776,072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49,767/1,074,796 (4.6%)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Autoimmune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6,599/1,074,785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5,087/776,061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6,599/1,074,785 (0.6%)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Peptic ulcer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5,765/1,074,794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4,208/776,070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5,765/1,074,794 (0.5%)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Hepatopathy / liver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5,307/1,074,795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3,889/776,071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5,307/1,074,795 (0.5%)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Haematological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4,924/1,074,795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3,616/776,071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4,924/1,074,795 (0.5%)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4,899/1,074,796 (0.5%)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3,739/776,072 (0.5%)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4,899/1,074,796 (0.5%)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Conditions are ordered by prevalence in the core-3 complete-case source population (N=1,074,796). Values are n/N (%), where N is the number with the relevant condition recorded as no or yes. The hospitalisation cohort includes records with hospitalisation status known (N=776,072); the mortality cohort includes records with death status known (N=1,074,796).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 Clinical outcomes of confirmed chikungunya cases, stratified by diabetes mellitus,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Diabetes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(N=1,025,029)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Diabetes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(N=49,767)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784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266 (0.5%)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23,145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2,218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287,618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11,106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23,272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2,248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287,618 (28.1%)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11,106 (22.3%)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S3. Clinical outcomes of confirmed chikungunya cases, stratified by hypertension,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Hypertension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(N=953,892)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Hypertension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(N=120,904)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591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459 (0.4%)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20,883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4,480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271,350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27,374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20,969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4,551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271,350 (28.4%)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27,374 (22.6%)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S4. Clinical outcomes of confirmed chikungunya cases, stratified by chronic kidney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CKD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(N=1,069,897)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CKD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(N=4,899)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984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66 (1.3%)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24,935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428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297,564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1,160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25,088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432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297,564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1,160 (23.7%)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S5. Clinical outcomes of confirmed chikungunya cases, stratified by hepatopathy / liver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Hepatopathy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(N=1,069,488)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Hepatopathy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(N=5,307)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1,018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25,056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297,306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1,418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25,211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297,306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1,418 (26.7%)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S6. Clinical outcomes of confirmed chikungunya cases, stratified by autoimmune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(N=1,074,785)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Autoimmune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(N=1,068,186)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Autoimmune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(N=6,599)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1,023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 (0.4%)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24,986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376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297,212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1,512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25,519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25,138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381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297,212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1,512 (22.9%)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S7. Clinical outcomes of confirmed chikungunya cases, stratified by haematological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Haematological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(N=1,069,871)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Haematological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(N=4,924)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1,036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25,089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297,416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1,308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25,245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297,416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1,308 (26.6%)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S8. Clinical outcomes of confirmed chikungunya cases, stratified by peptic ulcer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(N=1,074,794)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Peptic ulcer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(N=1,069,029)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Peptic ulcer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(N=5,765)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1,044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0.876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25,166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196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297,167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1,557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25,519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25,322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297,167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1,557 (27.0%)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sectPr>
      <w:pgMar w:header="708" w:bottom="792" w:top="792" w:right="792" w:left="792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2026-10-05T11:39:16Z</dcterms:modified>
  <cp:category/>
</cp:coreProperties>
</file>