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Table.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Confirmed chikungunya cases, hospitalisations, and chikungunya-attributed deaths by core-three underlying condition, Brazil 2017-2025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12"/>
        <w:gridCol w:w="2160"/>
        <w:gridCol w:w="2880"/>
        <w:gridCol w:w="2880"/>
      </w:tblGrid>
      <w:tr>
        <w:trPr>
          <w:cantSplit/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EF1F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263238"/>
              </w:rPr>
              <w:t xml:space="preserve">Condition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EF1F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263238"/>
              </w:rPr>
              <w:t xml:space="preserve">Confirmed cases, 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EF1F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263238"/>
              </w:rPr>
              <w:t xml:space="preserve">Hospitalised, N (%)*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EF1F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263238"/>
              </w:rPr>
              <w:t xml:space="preserve">Died from chikungunya, N (%)**</w:t>
            </w:r>
          </w:p>
        </w:tc>
      </w:tr>
      <w:tr>
        <w:trPr>
          <w:cantSplit/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263238"/>
              </w:rPr>
              <w:t xml:space="preserve">Diabetes mellitus (DM)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263238"/>
              </w:rPr>
              <w:t xml:space="preserve">   49,767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263238"/>
              </w:rPr>
              <w:t xml:space="preserve"> 2,218 (5.74%)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263238"/>
              </w:rPr>
              <w:t xml:space="preserve">  266 (0.58%)</w:t>
            </w:r>
          </w:p>
        </w:tc>
      </w:tr>
      <w:tr>
        <w:trPr>
          <w:cantSplit/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263238"/>
              </w:rPr>
              <w:t xml:space="preserve">Hypertension (HTN)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263238"/>
              </w:rPr>
              <w:t xml:space="preserve">  120,904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263238"/>
              </w:rPr>
              <w:t xml:space="preserve"> 4,480 (4.79%)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263238"/>
              </w:rPr>
              <w:t xml:space="preserve">  459 (0.42%)</w:t>
            </w:r>
          </w:p>
        </w:tc>
      </w:tr>
      <w:tr>
        <w:trPr>
          <w:cantSplit/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263238"/>
              </w:rPr>
              <w:t xml:space="preserve">Chronic kidney disease (CKD)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263238"/>
              </w:rPr>
              <w:t xml:space="preserve">    4,899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263238"/>
              </w:rPr>
              <w:t xml:space="preserve">   428 (11.45%)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263238"/>
              </w:rPr>
              <w:t xml:space="preserve">   66 (1.50%)</w:t>
            </w:r>
          </w:p>
        </w:tc>
      </w:tr>
      <w:tr>
        <w:trPr>
          <w:cantSplit/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263238"/>
              </w:rPr>
              <w:t xml:space="preserve">None of DM/HTN/CKD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263238"/>
              </w:rPr>
              <w:t xml:space="preserve">  935,038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263238"/>
              </w:rPr>
              <w:t xml:space="preserve">20,134 (3.01%)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263238"/>
              </w:rPr>
              <w:t xml:space="preserve">  522 (0.06%)</w:t>
            </w:r>
          </w:p>
        </w:tc>
      </w:tr>
      <w:tr>
        <w:trPr>
          <w:cantSplit/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263238"/>
              </w:rPr>
              <w:t xml:space="preserve">Overall (core-three eligible cohort)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263238"/>
              </w:rPr>
              <w:t xml:space="preserve">1,074,796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263238"/>
              </w:rPr>
              <w:t xml:space="preserve">25,363 (3.27%)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7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263238"/>
              </w:rPr>
              <w:t xml:space="preserve">1,050 (0.11%)</w:t>
            </w:r>
          </w:p>
        </w:tc>
      </w:tr>
    </w:tbl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7"/>
          <w:szCs w:val="17"/>
          <w:color w:val="000000"/>
        </w:rPr>
        <w:t xml:space="preserve">Note.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7"/>
          <w:szCs w:val="17"/>
          <w:color w:val="000000"/>
        </w:rPr>
        <w:t xml:space="preserve">Core-three eligible cohort (confirmed chikungunya, 2017-2025, valid age/sex, DM/HTN/CKD status all explicit yes/no), N=1,074,796.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7"/>
          <w:szCs w:val="17"/>
          <w:color w:val="000000"/>
        </w:rPr>
        <w:t xml:space="preserve">*Hospitalised % is among the subset with hospitalisation status explicitly known (N=776,072 overall, N=38,661 DM, N=93,530 HTN, N=3,739 CKD; 298,724 unknown/missing overall, excluded from this denominator).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7"/>
          <w:szCs w:val="17"/>
          <w:color w:val="000000"/>
        </w:rPr>
        <w:t xml:space="preserve">**Chikungunya-death % is among the subset with death status known per the Gate 3.1-corrected outcome definition (N=983,947 overall; 90,849 unknown/unresolved overall, excluded from this denominator). Condition categories are not mutually exclusive (a case may have more than one of DM/HTN/CKD, so rows do not sum to the overall row).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2026-10-09T20:35:58Z</dcterms:modified>
  <cp:category/>
</cp:coreProperties>
</file>