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0"/>
          <w:szCs w:val="20"/>
          <w:color w:val="000000"/>
        </w:rPr>
        <w:t xml:space="preserve">Table X. Standardised risks of hospitalisation and death from chikungunya by core underlying condition</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1296"/>
        <w:gridCol w:w="1800"/>
        <w:gridCol w:w="2016"/>
        <w:gridCol w:w="2016"/>
        <w:gridCol w:w="2376"/>
      </w:tblGrid>
      <w:tr>
        <w:trPr>
          <w:cantSplit/>
          <w:trHeight w:val="605" w:hRule="auto"/>
          <w:tblHeader/>
        </w:trPr>
        header1
        <w:tc>
          <w:tcPr>
            <w:tcBorders>
              <w:bottom w:val="single" w:sz="8" w:space="0" w:color="7E8A90"/>
              <w:top w:val="single" w:sz="8" w:space="0" w:color="7E8A90"/>
              <w:left w:val="none" w:sz="0" w:space="0" w:color="000000"/>
              <w:right w:val="none" w:sz="0" w:space="0" w:color="000000"/>
            </w:tcBorders>
            <w:shd w:val="clear" w:color="auto" w:fill="EEF1F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7"/>
                <w:szCs w:val="17"/>
                <w:color w:val="263238"/>
              </w:rPr>
            </w:pPr>
            <w:r>
              <w:rPr>
                <w:rFonts w:ascii="Arial" w:hAnsi="Arial" w:eastAsia="Arial" w:cs="Arial"/>
                <w:i w:val="false"/>
                <w:b w:val="true"/>
                <w:u w:val="none"/>
                <w:strike w:val="false"/>
                <w:sz w:val="17"/>
                <w:szCs w:val="17"/>
                <w:color w:val="263238"/>
              </w:rPr>
              <w:t xml:space="preserve">Outcome</w:t>
            </w:r>
          </w:p>
        </w:tc>
        <w:tc>
          <w:tcPr>
            <w:tcBorders>
              <w:bottom w:val="single" w:sz="8" w:space="0" w:color="7E8A90"/>
              <w:top w:val="single" w:sz="8" w:space="0" w:color="7E8A90"/>
              <w:left w:val="none" w:sz="0" w:space="0" w:color="000000"/>
              <w:right w:val="none" w:sz="0" w:space="0" w:color="000000"/>
            </w:tcBorders>
            <w:shd w:val="clear" w:color="auto" w:fill="EEF1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7"/>
                <w:szCs w:val="17"/>
                <w:color w:val="263238"/>
              </w:rPr>
            </w:pPr>
            <w:r>
              <w:rPr>
                <w:rFonts w:ascii="Arial" w:hAnsi="Arial" w:eastAsia="Arial" w:cs="Arial"/>
                <w:i w:val="false"/>
                <w:b w:val="true"/>
                <w:u w:val="none"/>
                <w:strike w:val="false"/>
                <w:sz w:val="17"/>
                <w:szCs w:val="17"/>
                <w:color w:val="263238"/>
              </w:rPr>
              <w:t xml:space="preserve">Condition</w:t>
            </w:r>
          </w:p>
        </w:tc>
        <w:tc>
          <w:tcPr>
            <w:tcBorders>
              <w:bottom w:val="single" w:sz="8" w:space="0" w:color="7E8A90"/>
              <w:top w:val="single" w:sz="8" w:space="0" w:color="7E8A90"/>
              <w:left w:val="none" w:sz="0" w:space="0" w:color="000000"/>
              <w:right w:val="none" w:sz="0" w:space="0" w:color="000000"/>
            </w:tcBorders>
            <w:shd w:val="clear" w:color="auto" w:fill="EEF1F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7"/>
                <w:szCs w:val="17"/>
                <w:color w:val="263238"/>
              </w:rPr>
            </w:pPr>
            <w:r>
              <w:rPr>
                <w:rFonts w:ascii="Arial" w:hAnsi="Arial" w:eastAsia="Arial" w:cs="Arial"/>
                <w:i w:val="false"/>
                <w:b w:val="true"/>
                <w:u w:val="none"/>
                <w:strike w:val="false"/>
                <w:sz w:val="17"/>
                <w:szCs w:val="17"/>
                <w:color w:val="263238"/>
              </w:rPr>
              <w:t xml:space="preserve">Risk if absent, %</w:t>
            </w:r>
            <w:r>
              <w:rPr>
                <w:rFonts w:ascii="Arial" w:hAnsi="Arial" w:eastAsia="Arial" w:cs="Arial"/>
                <w:i w:val="false"/>
                <w:b w:val="true"/>
                <w:u w:val="none"/>
                <w:strike w:val="false"/>
                <w:sz w:val="17"/>
                <w:szCs w:val="17"/>
                <w:color w:val="263238"/>
              </w:rPr>
              <w:br/>
            </w:r>
            <w:r>
              <w:rPr>
                <w:rFonts w:ascii="Arial" w:hAnsi="Arial" w:eastAsia="Arial" w:cs="Arial"/>
                <w:i w:val="false"/>
                <w:b w:val="true"/>
                <w:u w:val="none"/>
                <w:strike w:val="false"/>
                <w:sz w:val="17"/>
                <w:szCs w:val="17"/>
                <w:color w:val="263238"/>
              </w:rPr>
              <w:t xml:space="preserve">(95% CI)</w:t>
            </w:r>
          </w:p>
        </w:tc>
        <w:tc>
          <w:tcPr>
            <w:tcBorders>
              <w:bottom w:val="single" w:sz="8" w:space="0" w:color="7E8A90"/>
              <w:top w:val="single" w:sz="8" w:space="0" w:color="7E8A90"/>
              <w:left w:val="none" w:sz="0" w:space="0" w:color="000000"/>
              <w:right w:val="none" w:sz="0" w:space="0" w:color="000000"/>
            </w:tcBorders>
            <w:shd w:val="clear" w:color="auto" w:fill="EEF1F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7"/>
                <w:szCs w:val="17"/>
                <w:color w:val="263238"/>
              </w:rPr>
            </w:pPr>
            <w:r>
              <w:rPr>
                <w:rFonts w:ascii="Arial" w:hAnsi="Arial" w:eastAsia="Arial" w:cs="Arial"/>
                <w:i w:val="false"/>
                <w:b w:val="true"/>
                <w:u w:val="none"/>
                <w:strike w:val="false"/>
                <w:sz w:val="17"/>
                <w:szCs w:val="17"/>
                <w:color w:val="263238"/>
              </w:rPr>
              <w:t xml:space="preserve">Risk if present, %</w:t>
            </w:r>
            <w:r>
              <w:rPr>
                <w:rFonts w:ascii="Arial" w:hAnsi="Arial" w:eastAsia="Arial" w:cs="Arial"/>
                <w:i w:val="false"/>
                <w:b w:val="true"/>
                <w:u w:val="none"/>
                <w:strike w:val="false"/>
                <w:sz w:val="17"/>
                <w:szCs w:val="17"/>
                <w:color w:val="263238"/>
              </w:rPr>
              <w:br/>
            </w:r>
            <w:r>
              <w:rPr>
                <w:rFonts w:ascii="Arial" w:hAnsi="Arial" w:eastAsia="Arial" w:cs="Arial"/>
                <w:i w:val="false"/>
                <w:b w:val="true"/>
                <w:u w:val="none"/>
                <w:strike w:val="false"/>
                <w:sz w:val="17"/>
                <w:szCs w:val="17"/>
                <w:color w:val="263238"/>
              </w:rPr>
              <w:t xml:space="preserve">(95% CI)</w:t>
            </w:r>
          </w:p>
        </w:tc>
        <w:tc>
          <w:tcPr>
            <w:tcBorders>
              <w:bottom w:val="single" w:sz="8" w:space="0" w:color="7E8A90"/>
              <w:top w:val="single" w:sz="8" w:space="0" w:color="7E8A90"/>
              <w:left w:val="none" w:sz="0" w:space="0" w:color="000000"/>
              <w:right w:val="none" w:sz="0" w:space="0" w:color="000000"/>
            </w:tcBorders>
            <w:shd w:val="clear" w:color="auto" w:fill="EEF1F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7"/>
                <w:szCs w:val="17"/>
                <w:color w:val="263238"/>
              </w:rPr>
            </w:pPr>
            <w:r>
              <w:rPr>
                <w:rFonts w:ascii="Arial" w:hAnsi="Arial" w:eastAsia="Arial" w:cs="Arial"/>
                <w:i w:val="false"/>
                <w:b w:val="true"/>
                <w:u w:val="none"/>
                <w:strike w:val="false"/>
                <w:sz w:val="17"/>
                <w:szCs w:val="17"/>
                <w:color w:val="263238"/>
              </w:rPr>
              <w:t xml:space="preserve">Standardised RR (95% CI)</w:t>
            </w:r>
          </w:p>
        </w:tc>
      </w:tr>
      <w:tr>
        <w:trPr>
          <w:cantSplit/>
          <w:trHeight w:val="490" w:hRule="auto"/>
        </w:trPr>
        body1
        <w:tc>
          <w:tcPr>
            <w:vMerge w:val="restart"/>
            <w:tcBorders>
              <w:bottom w:val="single" w:sz="5" w:space="0" w:color="C9D1D5"/>
              <w:top w:val="single" w:sz="8" w:space="0" w:color="7E8A9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6"/>
                <w:szCs w:val="16"/>
                <w:color w:val="263238"/>
              </w:rPr>
            </w:pPr>
            <w:r>
              <w:rPr>
                <w:rFonts w:ascii="Arial" w:hAnsi="Arial" w:eastAsia="Arial" w:cs="Arial"/>
                <w:i w:val="false"/>
                <w:b w:val="true"/>
                <w:u w:val="none"/>
                <w:strike w:val="false"/>
                <w:sz w:val="16"/>
                <w:szCs w:val="16"/>
                <w:color w:val="263238"/>
              </w:rPr>
              <w:t xml:space="preserve">Hospitalisation</w:t>
            </w:r>
          </w:p>
        </w:tc>
        <w:tc>
          <w:tcPr>
            <w:tcBorders>
              <w:bottom w:val="single" w:sz="5" w:space="0" w:color="C9D1D5"/>
              <w:top w:val="single" w:sz="8" w:space="0" w:color="7E8A9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6"/>
                <w:szCs w:val="16"/>
                <w:color w:val="263238"/>
              </w:rPr>
            </w:pPr>
            <w:r>
              <w:rPr>
                <w:rFonts w:ascii="Arial" w:hAnsi="Arial" w:eastAsia="Arial" w:cs="Arial"/>
                <w:i w:val="false"/>
                <w:b w:val="true"/>
                <w:u w:val="none"/>
                <w:strike w:val="false"/>
                <w:sz w:val="16"/>
                <w:szCs w:val="16"/>
                <w:color w:val="263238"/>
              </w:rPr>
              <w:t xml:space="preserve">Diabetes</w:t>
            </w:r>
          </w:p>
        </w:tc>
        <w:tc>
          <w:tcPr>
            <w:tcBorders>
              <w:bottom w:val="single" w:sz="5" w:space="0" w:color="C9D1D5"/>
              <w:top w:val="single" w:sz="8" w:space="0" w:color="7E8A9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3.18 (3.14-3.22)</w:t>
            </w:r>
          </w:p>
        </w:tc>
        <w:tc>
          <w:tcPr>
            <w:tcBorders>
              <w:bottom w:val="single" w:sz="5" w:space="0" w:color="C9D1D5"/>
              <w:top w:val="single" w:sz="8" w:space="0" w:color="7E8A9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4.60 (4.40-4.81)</w:t>
            </w:r>
          </w:p>
        </w:tc>
        <w:tc>
          <w:tcPr>
            <w:tcBorders>
              <w:bottom w:val="single" w:sz="5" w:space="0" w:color="C9D1D5"/>
              <w:top w:val="single" w:sz="8" w:space="0" w:color="7E8A9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1.45 (1.38-1.51)</w:t>
            </w:r>
          </w:p>
        </w:tc>
      </w:tr>
      <w:tr>
        <w:trPr>
          <w:cantSplit/>
          <w:trHeight w:val="490" w:hRule="auto"/>
        </w:trPr>
        body2
        <w:tc>
          <w:tcPr>
            <w:vMerge/>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6"/>
                <w:szCs w:val="16"/>
                <w:color w:val="263238"/>
              </w:rPr>
            </w:pP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6"/>
                <w:szCs w:val="16"/>
                <w:color w:val="263238"/>
              </w:rPr>
            </w:pPr>
            <w:r>
              <w:rPr>
                <w:rFonts w:ascii="Arial" w:hAnsi="Arial" w:eastAsia="Arial" w:cs="Arial"/>
                <w:i w:val="false"/>
                <w:b w:val="true"/>
                <w:u w:val="none"/>
                <w:strike w:val="false"/>
                <w:sz w:val="16"/>
                <w:szCs w:val="16"/>
                <w:color w:val="263238"/>
              </w:rPr>
              <w:t xml:space="preserve">Hypertension</w:t>
            </w: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3.08 (3.04-3.13)</w:t>
            </w: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4.52 (4.37-4.68)</w:t>
            </w: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1.47 (1.41-1.52)</w:t>
            </w:r>
          </w:p>
        </w:tc>
      </w:tr>
      <w:tr>
        <w:trPr>
          <w:cantSplit/>
          <w:trHeight w:val="490" w:hRule="auto"/>
        </w:trPr>
        body3
        <w:tc>
          <w:tcPr>
            <w:vMerge/>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6"/>
                <w:szCs w:val="16"/>
                <w:color w:val="263238"/>
              </w:rPr>
            </w:pP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6"/>
                <w:szCs w:val="16"/>
                <w:color w:val="263238"/>
              </w:rPr>
            </w:pPr>
            <w:r>
              <w:rPr>
                <w:rFonts w:ascii="Arial" w:hAnsi="Arial" w:eastAsia="Arial" w:cs="Arial"/>
                <w:i w:val="false"/>
                <w:b w:val="true"/>
                <w:u w:val="none"/>
                <w:strike w:val="false"/>
                <w:sz w:val="16"/>
                <w:szCs w:val="16"/>
                <w:color w:val="263238"/>
              </w:rPr>
              <w:t xml:space="preserve">Chronic kidney disease</w:t>
            </w: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3.24 (3.20-3.28)</w:t>
            </w: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7.82 (7.15-8.62)</w:t>
            </w: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2.42 (2.20-2.67)</w:t>
            </w:r>
          </w:p>
        </w:tc>
      </w:tr>
      <w:tr>
        <w:trPr>
          <w:cantSplit/>
          <w:trHeight w:val="490" w:hRule="auto"/>
        </w:trPr>
        body4
        <w:tc>
          <w:tcPr>
            <w:vMerge w:val="restart"/>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6"/>
                <w:szCs w:val="16"/>
                <w:color w:val="263238"/>
              </w:rPr>
            </w:pPr>
            <w:r>
              <w:rPr>
                <w:rFonts w:ascii="Arial" w:hAnsi="Arial" w:eastAsia="Arial" w:cs="Arial"/>
                <w:i w:val="false"/>
                <w:b w:val="true"/>
                <w:u w:val="none"/>
                <w:strike w:val="false"/>
                <w:sz w:val="16"/>
                <w:szCs w:val="16"/>
                <w:color w:val="263238"/>
              </w:rPr>
              <w:t xml:space="preserve">Death from chikungunya</w:t>
            </w: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6"/>
                <w:szCs w:val="16"/>
                <w:color w:val="263238"/>
              </w:rPr>
            </w:pPr>
            <w:r>
              <w:rPr>
                <w:rFonts w:ascii="Arial" w:hAnsi="Arial" w:eastAsia="Arial" w:cs="Arial"/>
                <w:i w:val="false"/>
                <w:b w:val="true"/>
                <w:u w:val="none"/>
                <w:strike w:val="false"/>
                <w:sz w:val="16"/>
                <w:szCs w:val="16"/>
                <w:color w:val="263238"/>
              </w:rPr>
              <w:t xml:space="preserve">Diabetes</w:t>
            </w: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0.09 (0.09-0.10)</w:t>
            </w: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0.21 (0.18-0.24)</w:t>
            </w: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2.26 (1.92-2.63)</w:t>
            </w:r>
          </w:p>
        </w:tc>
      </w:tr>
      <w:tr>
        <w:trPr>
          <w:cantSplit/>
          <w:trHeight w:val="490" w:hRule="auto"/>
        </w:trPr>
        body5
        <w:tc>
          <w:tcPr>
            <w:vMerge/>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6"/>
                <w:szCs w:val="16"/>
                <w:color w:val="263238"/>
              </w:rPr>
            </w:pP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6"/>
                <w:szCs w:val="16"/>
                <w:color w:val="263238"/>
              </w:rPr>
            </w:pPr>
            <w:r>
              <w:rPr>
                <w:rFonts w:ascii="Arial" w:hAnsi="Arial" w:eastAsia="Arial" w:cs="Arial"/>
                <w:i w:val="false"/>
                <w:b w:val="true"/>
                <w:u w:val="none"/>
                <w:strike w:val="false"/>
                <w:sz w:val="16"/>
                <w:szCs w:val="16"/>
                <w:color w:val="263238"/>
              </w:rPr>
              <w:t xml:space="preserve">Hypertension</w:t>
            </w: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0.08 (0.08-0.09)</w:t>
            </w: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0.18 (0.16-0.20)</w:t>
            </w: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2.19 (1.88-2.57)</w:t>
            </w:r>
          </w:p>
        </w:tc>
      </w:tr>
      <w:tr>
        <w:trPr>
          <w:cantSplit/>
          <w:trHeight w:val="490" w:hRule="auto"/>
        </w:trPr>
        body6
        <w:tc>
          <w:tcPr>
            <w:vMerge/>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6"/>
                <w:szCs w:val="16"/>
                <w:color w:val="263238"/>
              </w:rPr>
            </w:pP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6"/>
                <w:szCs w:val="16"/>
                <w:color w:val="263238"/>
              </w:rPr>
            </w:pPr>
            <w:r>
              <w:rPr>
                <w:rFonts w:ascii="Arial" w:hAnsi="Arial" w:eastAsia="Arial" w:cs="Arial"/>
                <w:i w:val="false"/>
                <w:b w:val="true"/>
                <w:u w:val="none"/>
                <w:strike w:val="false"/>
                <w:sz w:val="16"/>
                <w:szCs w:val="16"/>
                <w:color w:val="263238"/>
              </w:rPr>
              <w:t xml:space="preserve">Chronic kidney disease</w:t>
            </w: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0.10 (0.10-0.11)</w:t>
            </w: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0.43 (0.34-0.55)</w:t>
            </w: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4.20 (3.28-5.30)</w:t>
            </w:r>
          </w:p>
        </w:tc>
      </w:tr>
    </w:tbl>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6"/>
          <w:szCs w:val="16"/>
          <w:color w:val="000000"/>
        </w:rPr>
        <w:t xml:space="preserve">Note. </w:t>
      </w:r>
      <w:r>
        <w:rPr>
          <w:rFonts w:ascii="Arial" w:hAnsi="Arial" w:eastAsia="Arial" w:cs="Arial"/>
          <w:i w:val="false"/>
          <w:b w:val="false"/>
          <w:u w:val="none"/>
          <w:strike w:val="false"/>
          <w:sz w:val="16"/>
          <w:szCs w:val="16"/>
          <w:color w:val="000000"/>
        </w:rPr>
        <w:t xml:space="preserve">Risks are standardised predicted risks from mutually adjusted logistic models, with the focal condition set to absent or present. Models include diabetes, hypertension, and chronic kidney disease simultaneously and adjust for age, sex, year, and state of residence. Standardised RR is the ratio of the present to absent predicted risk. Risk and RR 95% CIs are from the same 2,000 parametric bootstrap draws.</w:t>
      </w:r>
    </w:p>
    <w:sectPr>
      <w:pgMar w:header="708" w:bottom="936" w:top="936" w:right="864" w:left="864" w:footer="708" w:gutter="0"/>
      <w:pgSz w:h="16838" w:w="11906"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2026-10-08T16:35:53Z</dcterms:modified>
  <cp:category/>
</cp:coreProperties>
</file>