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0"/>
          <w:szCs w:val="20"/>
          <w:color w:val="000000"/>
        </w:rPr>
        <w:t xml:space="preserve">Table X. Standardised risks of hospitalisation and death from chikungunya by joint core-3 profile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2736"/>
        <w:gridCol w:w="2952"/>
        <w:gridCol w:w="2952"/>
        <w:gridCol w:w="2232"/>
      </w:tblGrid>
      <w:tr>
        <w:trPr>
          <w:cantSplit/>
          <w:trHeight w:val="605" w:hRule="auto"/>
          <w:tblHeader/>
        </w:trPr>
        header 1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Outcome</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Joint core-3 profile</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Population-standardised risk</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under None profile, % (95%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Population-standardised risk</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under stated profile, % (95%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Standardised RR vs None</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r>
      <w:tr>
        <w:trPr>
          <w:cantSplit/>
          <w:trHeight w:val="403" w:hRule="auto"/>
        </w:trPr>
        body 1
        <w:tc>
          <w:tcPr>
            <w:vMerge w:val="restart"/>
            <w:tcBorders>
              <w:bottom w:val="single" w:sz="8" w:space="0" w:color="7E8A90"/>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Hospitalisation</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None (no DM, HTN, or CKD)</w:t>
            </w:r>
          </w:p>
        </w:tc>
        <w:tc>
          <w:tcPr>
            <w:vMerge w:val="restart"/>
            <w:tcBorders>
              <w:bottom w:val="single" w:sz="8" w:space="0" w:color="7E8A90"/>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2.97 (2.94-3.01)</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1.00 (reference)</w:t>
            </w:r>
          </w:p>
        </w:tc>
      </w:tr>
      <w:tr>
        <w:trPr>
          <w:cantSplit/>
          <w:trHeight w:val="403" w:hRule="auto"/>
        </w:trPr>
        body 2
        <w:tc>
          <w:tcPr>
            <w:vMerge/>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only</w:t>
            </w:r>
          </w:p>
        </w:tc>
        <w:tc>
          <w:tcPr>
            <w:vMerge/>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5.16 (4.75-5.58)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1.74 (1.59-1.87)</w:t>
            </w:r>
          </w:p>
        </w:tc>
      </w:tr>
      <w:tr>
        <w:trPr>
          <w:cantSplit/>
          <w:trHeight w:val="403" w:hRule="auto"/>
        </w:trPr>
        body 3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HTN only</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4.53 (4.36-4.70)</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1.52 (1.46-1.58)</w:t>
            </w:r>
          </w:p>
        </w:tc>
      </w:tr>
      <w:tr>
        <w:trPr>
          <w:cantSplit/>
          <w:trHeight w:val="403" w:hRule="auto"/>
        </w:trPr>
        body 4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CKD only</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8.61 (7.29-10.15)</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2.90 (2.46-3.42)</w:t>
            </w:r>
          </w:p>
        </w:tc>
      </w:tr>
      <w:tr>
        <w:trPr>
          <w:cantSplit/>
          <w:trHeight w:val="403" w:hRule="auto"/>
        </w:trPr>
        body 5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HTN</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6.15 (5.85-6.46)</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2.07 (1.96-2.18)</w:t>
            </w:r>
          </w:p>
        </w:tc>
      </w:tr>
      <w:tr>
        <w:trPr>
          <w:cantSplit/>
          <w:trHeight w:val="403" w:hRule="auto"/>
        </w:trPr>
        body 6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CKD</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10.82 (7.69-15.01)</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3.64 (2.59-5.04)</w:t>
            </w:r>
          </w:p>
        </w:tc>
      </w:tr>
      <w:tr>
        <w:trPr>
          <w:cantSplit/>
          <w:trHeight w:val="403" w:hRule="auto"/>
        </w:trPr>
        body 7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HTN + CKD</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13.45 (11.42-15.67)</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4.52 (3.82-5.26)</w:t>
            </w:r>
          </w:p>
        </w:tc>
      </w:tr>
      <w:tr>
        <w:trPr>
          <w:cantSplit/>
          <w:trHeight w:val="403" w:hRule="auto"/>
        </w:trPr>
        body 8
        <w:tc>
          <w:tcPr>
            <w:vMerge/>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HTN + CKD</w:t>
            </w:r>
          </w:p>
        </w:tc>
        <w:tc>
          <w:tcPr>
            <w:vMerge/>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10.77 (9.24-12.40)</w:t>
            </w: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3.62 (3.10-4.18)</w:t>
            </w:r>
          </w:p>
        </w:tc>
      </w:tr>
      <w:tr>
        <w:trPr>
          <w:cantSplit/>
          <w:trHeight w:val="403" w:hRule="auto"/>
        </w:trPr>
        body 9
        <w:tc>
          <w:tcPr>
            <w:vMerge w:val="restart"/>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Death from chikungunya</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None (no DM, HTN, or CKD)</w:t>
            </w:r>
          </w:p>
        </w:tc>
        <w:tc>
          <w:tcPr>
            <w:vMerge w:val="restart"/>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0.07 (0.06-0.08)</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1.00 (reference)</w:t>
            </w:r>
          </w:p>
        </w:tc>
      </w:tr>
      <w:tr>
        <w:trPr>
          <w:cantSplit/>
          <w:trHeight w:val="403" w:hRule="auto"/>
        </w:trPr>
        body10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only</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0.26 (0.20-0.35)</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3.84 (2.85-5.09)</w:t>
            </w:r>
          </w:p>
        </w:tc>
      </w:tr>
      <w:tr>
        <w:trPr>
          <w:cantSplit/>
          <w:trHeight w:val="403" w:hRule="auto"/>
        </w:trPr>
        body11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HTN only</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0.17 (0.15-0.20)</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2.52 (2.12-2.97)</w:t>
            </w:r>
          </w:p>
        </w:tc>
      </w:tr>
      <w:tr>
        <w:trPr>
          <w:cantSplit/>
          <w:trHeight w:val="403" w:hRule="auto"/>
        </w:trPr>
        body12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CKD only</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0.54 (0.32-0.98)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7.99 (4.54-14.42)</w:t>
            </w:r>
          </w:p>
        </w:tc>
      </w:tr>
      <w:tr>
        <w:trPr>
          <w:cantSplit/>
          <w:trHeight w:val="403" w:hRule="auto"/>
        </w:trPr>
        body13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HTN</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0.34 (0.30-0.41)</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5.04 (4.20-6.08)</w:t>
            </w:r>
          </w:p>
        </w:tc>
      </w:tr>
      <w:tr>
        <w:trPr>
          <w:cantSplit/>
          <w:trHeight w:val="403" w:hRule="auto"/>
        </w:trPr>
        body14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CKD</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0.67 (0.27-1.76)</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9.89 (3.80-25.60)</w:t>
            </w:r>
          </w:p>
        </w:tc>
      </w:tr>
      <w:tr>
        <w:trPr>
          <w:cantSplit/>
          <w:trHeight w:val="403" w:hRule="auto"/>
        </w:trPr>
        body15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HTN + CKD</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0.85 (0.56-1.32)</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12.58 (8.02-19.46)</w:t>
            </w:r>
          </w:p>
        </w:tc>
      </w:tr>
      <w:tr>
        <w:trPr>
          <w:cantSplit/>
          <w:trHeight w:val="403" w:hRule="auto"/>
        </w:trPr>
        body16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DM + HTN + CKD</w:t>
            </w:r>
          </w:p>
        </w:tc>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1.09 (0.75-1.58)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15.99 (10.74-23.26)</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Note. </w:t>
      </w:r>
      <w:r>
        <w:rPr>
          <w:rFonts w:ascii="Arial" w:hAnsi="Arial" w:eastAsia="Arial" w:cs="Arial"/>
          <w:i w:val="false"/>
          <w:b w:val="false"/>
          <w:u w:val="none"/>
          <w:strike w:val="false"/>
          <w:sz w:val="16"/>
          <w:szCs w:val="16"/>
          <w:color w:val="000000"/>
        </w:rPr>
        <w:t xml:space="preserve">The eight profiles are mutually exclusive. Standardised risks were obtained from outcome-specific logistic models with adjustment for age, sex, year, and state of residence; they are standardised over the observed covariate distribution in each outcome cohort. Standardised RRs compare each profile with the None profile (no diabetes, hypertension, or chronic kidney disease). Risk and RR 95% CIs are from the same paired 2,000-draw parametric bootstraps. Hospitalisation cohort N=776,072; mortality cohort N=1,074,796.</w:t>
      </w:r>
    </w:p>
    <w:sectPr>
      <w:pgMar w:header="708" w:bottom="864" w:top="864" w:right="864" w:left="864" w:footer="708" w:gutter="0"/>
      <w:pgSz w:h="11909" w:w="16834"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2026-10-08T16:39:30Z</dcterms:modified>
  <cp:category/>
</cp:coreProperties>
</file>