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Supplementary Table S[X]. </w:t>
      </w:r>
      <w:r>
        <w:rPr>
          <w:rFonts w:ascii="Arial" w:hAnsi="Arial" w:eastAsia="Arial" w:cs="Arial"/>
          <w:i w:val="false"/>
          <w:b w:val="false"/>
          <w:u w:val="none"/>
          <w:strike w:val="false"/>
          <w:sz w:val="20"/>
          <w:szCs w:val="20"/>
          <w:color w:val="000000"/>
        </w:rPr>
        <w:t xml:space="preserve">Standardised risks of hospitalisation and chikungunya-attributed death by individual core condition</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2232"/>
        <w:gridCol w:w="2088"/>
        <w:gridCol w:w="2088"/>
        <w:gridCol w:w="2016"/>
      </w:tblGrid>
      <w:tr>
        <w:trPr>
          <w:cantSplit/>
          <w:trHeight w:val="605" w:hRule="auto"/>
          <w:tblHeader/>
        </w:trPr>
        header1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Outcome</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Condition</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Risk if absent, %</w:t>
            </w:r>
            <w:r>
              <w:rPr>
                <w:rFonts w:ascii="Arial" w:hAnsi="Arial" w:eastAsia="Arial" w:cs="Arial"/>
                <w:i w:val="false"/>
                <w:b w:val="true"/>
                <w:u w:val="none"/>
                <w:strike w:val="false"/>
                <w:sz w:val="17"/>
                <w:szCs w:val="17"/>
                <w:color w:val="263238"/>
              </w:rPr>
              <w:br/>
            </w:r>
            <w:r>
              <w:rPr>
                <w:rFonts w:ascii="Arial" w:hAnsi="Arial" w:eastAsia="Arial" w:cs="Arial"/>
                <w:i w:val="false"/>
                <w:b w:val="true"/>
                <w:u w:val="none"/>
                <w:strike w:val="false"/>
                <w:sz w:val="17"/>
                <w:szCs w:val="17"/>
                <w:color w:val="263238"/>
              </w:rPr>
              <w:t xml:space="preserve">(95% CI)</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Risk if present, %</w:t>
            </w:r>
            <w:r>
              <w:rPr>
                <w:rFonts w:ascii="Arial" w:hAnsi="Arial" w:eastAsia="Arial" w:cs="Arial"/>
                <w:i w:val="false"/>
                <w:b w:val="true"/>
                <w:u w:val="none"/>
                <w:strike w:val="false"/>
                <w:sz w:val="17"/>
                <w:szCs w:val="17"/>
                <w:color w:val="263238"/>
              </w:rPr>
              <w:br/>
            </w:r>
            <w:r>
              <w:rPr>
                <w:rFonts w:ascii="Arial" w:hAnsi="Arial" w:eastAsia="Arial" w:cs="Arial"/>
                <w:i w:val="false"/>
                <w:b w:val="true"/>
                <w:u w:val="none"/>
                <w:strike w:val="false"/>
                <w:sz w:val="17"/>
                <w:szCs w:val="17"/>
                <w:color w:val="263238"/>
              </w:rPr>
              <w:t xml:space="preserve">(95% CI)</w:t>
            </w:r>
          </w:p>
        </w:tc>
        <w:tc>
          <w:tcPr>
            <w:tcBorders>
              <w:bottom w:val="single" w:sz="8" w:space="0" w:color="7E8A90"/>
              <w:top w:val="single" w:sz="8" w:space="0" w:color="7E8A90"/>
              <w:left w:val="none" w:sz="0" w:space="0" w:color="000000"/>
              <w:right w:val="none" w:sz="0" w:space="0" w:color="000000"/>
            </w:tcBorders>
            <w:shd w:val="clear" w:color="auto" w:fill="EEF1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7"/>
                <w:szCs w:val="17"/>
                <w:color w:val="263238"/>
              </w:rPr>
            </w:pPr>
            <w:r>
              <w:rPr>
                <w:rFonts w:ascii="Arial" w:hAnsi="Arial" w:eastAsia="Arial" w:cs="Arial"/>
                <w:i w:val="false"/>
                <w:b w:val="true"/>
                <w:u w:val="none"/>
                <w:strike w:val="false"/>
                <w:sz w:val="17"/>
                <w:szCs w:val="17"/>
                <w:color w:val="263238"/>
              </w:rPr>
              <w:t xml:space="preserve">Standardised RR</w:t>
            </w:r>
            <w:r>
              <w:rPr>
                <w:rFonts w:ascii="Arial" w:hAnsi="Arial" w:eastAsia="Arial" w:cs="Arial"/>
                <w:i w:val="false"/>
                <w:b w:val="true"/>
                <w:u w:val="none"/>
                <w:strike w:val="false"/>
                <w:sz w:val="17"/>
                <w:szCs w:val="17"/>
                <w:color w:val="263238"/>
              </w:rPr>
              <w:br/>
            </w:r>
            <w:r>
              <w:rPr>
                <w:rFonts w:ascii="Arial" w:hAnsi="Arial" w:eastAsia="Arial" w:cs="Arial"/>
                <w:i w:val="false"/>
                <w:b w:val="true"/>
                <w:u w:val="none"/>
                <w:strike w:val="false"/>
                <w:sz w:val="17"/>
                <w:szCs w:val="17"/>
                <w:color w:val="263238"/>
              </w:rPr>
              <w:t xml:space="preserve">(95% CI)</w:t>
            </w:r>
          </w:p>
        </w:tc>
      </w:tr>
      <w:tr>
        <w:trPr>
          <w:cantSplit/>
          <w:trHeight w:val="403" w:hRule="auto"/>
        </w:trPr>
        body1
        <w:tc>
          <w:tcPr>
            <w:vMerge w:val="restart"/>
            <w:tcBorders>
              <w:bottom w:val="single" w:sz="8" w:space="0" w:color="7E8A90"/>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Hospitalisation</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Diabetes</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3.18 (3.14–3.22)</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4.60 (4.40–4.81)</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1.45 (1.38–1.51)</w:t>
            </w:r>
          </w:p>
        </w:tc>
      </w:tr>
      <w:tr>
        <w:trPr>
          <w:cantSplit/>
          <w:trHeight w:val="403" w:hRule="auto"/>
        </w:trPr>
        body2
        <w:tc>
          <w:tcPr>
            <w:vMerge/>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Hypertension</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3.08 (3.04–3.13)</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4.52 (4.37–4.68)</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1.47 (1.41–1.52)</w:t>
            </w:r>
          </w:p>
        </w:tc>
      </w:tr>
      <w:tr>
        <w:trPr>
          <w:cantSplit/>
          <w:trHeight w:val="403" w:hRule="auto"/>
        </w:trPr>
        body3
        <w:tc>
          <w:tcPr>
            <w:vMerge/>
            <w:tcBorders>
              <w:bottom w:val="single" w:sz="8" w:space="0" w:color="7E8A90"/>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8" w:space="0" w:color="7E8A90"/>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Chronic kidney disease</w:t>
            </w:r>
          </w:p>
        </w:tc>
        <w:tc>
          <w:tcPr>
            <w:tcBorders>
              <w:bottom w:val="single" w:sz="8" w:space="0" w:color="7E8A90"/>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3.24 (3.20–3.28)</w:t>
            </w:r>
          </w:p>
        </w:tc>
        <w:tc>
          <w:tcPr>
            <w:tcBorders>
              <w:bottom w:val="single" w:sz="8" w:space="0" w:color="7E8A90"/>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7.82 (7.15–8.62)</w:t>
            </w:r>
          </w:p>
        </w:tc>
        <w:tc>
          <w:tcPr>
            <w:tcBorders>
              <w:bottom w:val="single" w:sz="8" w:space="0" w:color="7E8A90"/>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2.42 (2.20–2.67)</w:t>
            </w:r>
          </w:p>
        </w:tc>
      </w:tr>
      <w:tr>
        <w:trPr>
          <w:cantSplit/>
          <w:trHeight w:val="403" w:hRule="auto"/>
        </w:trPr>
        body4
        <w:tc>
          <w:tcPr>
            <w:vMerge w:val="restart"/>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Chikungunya-attributed death</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Diabetes</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0.09 (0.09–0.10)</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0.21 (0.18–0.24)</w:t>
            </w:r>
          </w:p>
        </w:tc>
        <w:tc>
          <w:tcPr>
            <w:tcBorders>
              <w:bottom w:val="single" w:sz="5" w:space="0" w:color="C9D1D5"/>
              <w:top w:val="single" w:sz="8" w:space="0" w:color="7E8A9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2.26 (1.92–2.63)</w:t>
            </w:r>
          </w:p>
        </w:tc>
      </w:tr>
      <w:tr>
        <w:trPr>
          <w:cantSplit/>
          <w:trHeight w:val="403" w:hRule="auto"/>
        </w:trPr>
        body5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Hypertension</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0.08 (0.08–0.09)</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0.18 (0.16–0.20)</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2.19 (1.88–2.57)</w:t>
            </w:r>
          </w:p>
        </w:tc>
      </w:tr>
      <w:tr>
        <w:trPr>
          <w:cantSplit/>
          <w:trHeight w:val="403" w:hRule="auto"/>
        </w:trPr>
        body6
        <w:tc>
          <w:tcPr>
            <w:vMerge/>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6"/>
                <w:szCs w:val="16"/>
                <w:color w:val="263238"/>
              </w:rPr>
            </w:pPr>
            <w:r>
              <w:rPr>
                <w:rFonts w:ascii="Arial" w:hAnsi="Arial" w:eastAsia="Arial" w:cs="Arial"/>
                <w:i w:val="false"/>
                <w:b w:val="true"/>
                <w:u w:val="none"/>
                <w:strike w:val="false"/>
                <w:sz w:val="16"/>
                <w:szCs w:val="16"/>
                <w:color w:val="263238"/>
              </w:rPr>
              <w:t xml:space="preserve">Chronic kidney disease</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0.10 (0.10–0.11)</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0.43 (0.34–0.55)</w:t>
            </w:r>
          </w:p>
        </w:tc>
        <w:tc>
          <w:tcPr>
            <w:tcBorders>
              <w:bottom w:val="single" w:sz="5" w:space="0" w:color="C9D1D5"/>
              <w:top w:val="single" w:sz="5" w:space="0" w:color="C9D1D5"/>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6"/>
                <w:szCs w:val="16"/>
                <w:color w:val="263238"/>
              </w:rPr>
            </w:pPr>
            <w:r>
              <w:rPr>
                <w:rFonts w:ascii="Arial" w:hAnsi="Arial" w:eastAsia="Arial" w:cs="Arial"/>
                <w:i w:val="false"/>
                <w:b w:val="false"/>
                <w:u w:val="none"/>
                <w:strike w:val="false"/>
                <w:sz w:val="16"/>
                <w:szCs w:val="16"/>
                <w:color w:val="263238"/>
              </w:rPr>
              <w:t xml:space="preserve">4.20 (3.28–5.30)</w:t>
            </w:r>
          </w:p>
        </w:tc>
      </w:tr>
    </w:tbl>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Note. </w:t>
      </w:r>
      <w:r>
        <w:rPr>
          <w:rFonts w:ascii="Arial" w:hAnsi="Arial" w:eastAsia="Arial" w:cs="Arial"/>
          <w:i w:val="false"/>
          <w:b w:val="false"/>
          <w:u w:val="none"/>
          <w:strike w:val="false"/>
          <w:sz w:val="16"/>
          <w:szCs w:val="16"/>
          <w:color w:val="000000"/>
        </w:rPr>
        <w:t xml:space="preserve">Marginal individual-condition contrasts: each row compares cases with the stated condition present versus absent, regardless of the other two conditions, which keep their observed distribution. These differ from the mutually exclusive joint profiles in Table 2. Risks are from outcome-specific penalised logistic generalised additive models including DM, HTN and CKD simultaneously, a smooth function of age, sex, notification year and state of residence (random effect), standardised by g-computation to each outcome cohort (hospitalisation, N = 776,072; chikungunya-attributed death, N = 983,947). Standardised risk ratio (RR) is the ratio of the present to the absent standardised risk; 95% CIs for risks and RRs are from the same 2,000 parametric draws of the model coefficients. CKD, chronic kidney disease; DM, diabetes mellitus; HTN, hypertension.</w:t>
      </w:r>
    </w:p>
    <w:sectPr>
      <w:pgMar w:header="708" w:bottom="936" w:top="936" w:right="864" w:left="864"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2026-10-26T13:03:29Z</dcterms:modified>
  <cp:category/>
</cp:coreProperties>
</file>