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2.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Population-standardised risks of hospitalisation and chikungunya-attributed death by joint comorbidity profile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00"/>
        <w:gridCol w:w="2808"/>
        <w:gridCol w:w="2952"/>
        <w:gridCol w:w="2448"/>
      </w:tblGrid>
      <w:tr>
        <w:trPr>
          <w:cantSplit/>
          <w:trHeight w:val="605" w:hRule="auto"/>
          <w:tblHeader/>
        </w:trPr>
        header 1
        <w:tc>
          <w:tcPr>
            <w:tcBorders>
              <w:bottom w:val="single" w:sz="8" w:space="0" w:color="7E8A90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EEF1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Outcome</w:t>
            </w:r>
          </w:p>
        </w:tc>
        <w:tc>
          <w:tcPr>
            <w:tcBorders>
              <w:bottom w:val="single" w:sz="8" w:space="0" w:color="7E8A90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EEF1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Joint core-3 profile</w:t>
            </w:r>
          </w:p>
        </w:tc>
        <w:tc>
          <w:tcPr>
            <w:tcBorders>
              <w:bottom w:val="single" w:sz="8" w:space="0" w:color="7E8A90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EEF1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Population-standardised risk,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% (95% CI)</w:t>
            </w:r>
          </w:p>
        </w:tc>
        <w:tc>
          <w:tcPr>
            <w:tcBorders>
              <w:bottom w:val="single" w:sz="8" w:space="0" w:color="7E8A90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EEF1F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Standardised RR vs None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7"/>
                <w:szCs w:val="17"/>
                <w:color w:val="263238"/>
              </w:rPr>
              <w:t xml:space="preserve">(95% CI)</w:t>
            </w:r>
          </w:p>
        </w:tc>
      </w:tr>
      <w:tr>
        <w:trPr>
          <w:cantSplit/>
          <w:trHeight w:val="403" w:hRule="auto"/>
        </w:trPr>
        body 1
        <w:tc>
          <w:tcPr>
            <w:vMerge w:val="restart"/>
            <w:tcBorders>
              <w:bottom w:val="single" w:sz="8" w:space="0" w:color="7E8A90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Hospitalisation</w:t>
            </w:r>
          </w:p>
        </w:tc>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None (no DM, HTN or CKD)</w:t>
            </w:r>
          </w:p>
        </w:tc>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2.97 (2.94–3.01)</w:t>
            </w:r>
          </w:p>
        </w:tc>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1.00 (reference)</w:t>
            </w:r>
          </w:p>
        </w:tc>
      </w:tr>
      <w:tr>
        <w:trPr>
          <w:cantSplit/>
          <w:trHeight w:val="403" w:hRule="auto"/>
        </w:trPr>
        body 2
        <w:tc>
          <w:tcPr>
            <w:vMerge/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DM only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5.16 (4.75–5.58)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1.74 (1.59–1.87)</w:t>
            </w:r>
          </w:p>
        </w:tc>
      </w:tr>
      <w:tr>
        <w:trPr>
          <w:cantSplit/>
          <w:trHeight w:val="403" w:hRule="auto"/>
        </w:trPr>
        body 3
        <w:tc>
          <w:tcPr>
            <w:vMerge/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HTN only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4.53 (4.36–4.70)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1.52 (1.46–1.58)</w:t>
            </w:r>
          </w:p>
        </w:tc>
      </w:tr>
      <w:tr>
        <w:trPr>
          <w:cantSplit/>
          <w:trHeight w:val="403" w:hRule="auto"/>
        </w:trPr>
        body 4
        <w:tc>
          <w:tcPr>
            <w:vMerge/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CKD only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8.61 (7.29–10.15)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2.90 (2.46–3.42)</w:t>
            </w:r>
          </w:p>
        </w:tc>
      </w:tr>
      <w:tr>
        <w:trPr>
          <w:cantSplit/>
          <w:trHeight w:val="403" w:hRule="auto"/>
        </w:trPr>
        body 5
        <w:tc>
          <w:tcPr>
            <w:vMerge/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DM + HTN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6.15 (5.85–6.46)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2.07 (1.96–2.18)</w:t>
            </w:r>
          </w:p>
        </w:tc>
      </w:tr>
      <w:tr>
        <w:trPr>
          <w:cantSplit/>
          <w:trHeight w:val="403" w:hRule="auto"/>
        </w:trPr>
        body 6
        <w:tc>
          <w:tcPr>
            <w:vMerge/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DM + CKD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10.82 (7.69–15.01)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3.64 (2.59–5.04)</w:t>
            </w:r>
          </w:p>
        </w:tc>
      </w:tr>
      <w:tr>
        <w:trPr>
          <w:cantSplit/>
          <w:trHeight w:val="403" w:hRule="auto"/>
        </w:trPr>
        body 7
        <w:tc>
          <w:tcPr>
            <w:vMerge/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HTN + CKD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13.45 (11.42–15.67)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4.52 (3.82–5.26)</w:t>
            </w:r>
          </w:p>
        </w:tc>
      </w:tr>
      <w:tr>
        <w:trPr>
          <w:cantSplit/>
          <w:trHeight w:val="403" w:hRule="auto"/>
        </w:trPr>
        body 8
        <w:tc>
          <w:tcPr>
            <w:vMerge/>
            <w:tcBorders>
              <w:bottom w:val="single" w:sz="8" w:space="0" w:color="7E8A90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8" w:space="0" w:color="7E8A90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DM + HTN + CKD</w:t>
            </w:r>
          </w:p>
        </w:tc>
        <w:tc>
          <w:tcPr>
            <w:tcBorders>
              <w:bottom w:val="single" w:sz="8" w:space="0" w:color="7E8A90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10.77 (9.24–12.40)</w:t>
            </w:r>
          </w:p>
        </w:tc>
        <w:tc>
          <w:tcPr>
            <w:tcBorders>
              <w:bottom w:val="single" w:sz="8" w:space="0" w:color="7E8A90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3.62 (3.10–4.18)</w:t>
            </w:r>
          </w:p>
        </w:tc>
      </w:tr>
      <w:tr>
        <w:trPr>
          <w:cantSplit/>
          <w:trHeight w:val="403" w:hRule="auto"/>
        </w:trPr>
        body 9
        <w:tc>
          <w:tcPr>
            <w:vMerge w:val="restart"/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Chikungunya-attributed death</w:t>
            </w:r>
          </w:p>
        </w:tc>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None (no DM, HTN or CKD)</w:t>
            </w:r>
          </w:p>
        </w:tc>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0.07 (0.06–0.08)</w:t>
            </w:r>
          </w:p>
        </w:tc>
        <w:tc>
          <w:tcPr>
            <w:tcBorders>
              <w:bottom w:val="single" w:sz="5" w:space="0" w:color="C9D1D5"/>
              <w:top w:val="single" w:sz="8" w:space="0" w:color="7E8A9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1.00 (reference)</w:t>
            </w:r>
          </w:p>
        </w:tc>
      </w:tr>
      <w:tr>
        <w:trPr>
          <w:cantSplit/>
          <w:trHeight w:val="403" w:hRule="auto"/>
        </w:trPr>
        body10
        <w:tc>
          <w:tcPr>
            <w:vMerge/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DM only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0.26 (0.20–0.35)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3.84 (2.85–5.09)</w:t>
            </w:r>
          </w:p>
        </w:tc>
      </w:tr>
      <w:tr>
        <w:trPr>
          <w:cantSplit/>
          <w:trHeight w:val="403" w:hRule="auto"/>
        </w:trPr>
        body11
        <w:tc>
          <w:tcPr>
            <w:vMerge/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HTN only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0.17 (0.15–0.20)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2.52 (2.12–2.97)</w:t>
            </w:r>
          </w:p>
        </w:tc>
      </w:tr>
      <w:tr>
        <w:trPr>
          <w:cantSplit/>
          <w:trHeight w:val="403" w:hRule="auto"/>
        </w:trPr>
        body12
        <w:tc>
          <w:tcPr>
            <w:vMerge/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CKD only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0.54 (0.32–0.98)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7.99 (4.54–14.42)</w:t>
            </w:r>
          </w:p>
        </w:tc>
      </w:tr>
      <w:tr>
        <w:trPr>
          <w:cantSplit/>
          <w:trHeight w:val="403" w:hRule="auto"/>
        </w:trPr>
        body13
        <w:tc>
          <w:tcPr>
            <w:vMerge/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DM + HTN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0.34 (0.30–0.41)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5.04 (4.20–6.08)</w:t>
            </w:r>
          </w:p>
        </w:tc>
      </w:tr>
      <w:tr>
        <w:trPr>
          <w:cantSplit/>
          <w:trHeight w:val="403" w:hRule="auto"/>
        </w:trPr>
        body14
        <w:tc>
          <w:tcPr>
            <w:vMerge/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DM + CKD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0.67 (0.27–1.76)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9.89 (3.80–25.60)</w:t>
            </w:r>
          </w:p>
        </w:tc>
      </w:tr>
      <w:tr>
        <w:trPr>
          <w:cantSplit/>
          <w:trHeight w:val="403" w:hRule="auto"/>
        </w:trPr>
        body15
        <w:tc>
          <w:tcPr>
            <w:vMerge/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HTN + CKD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0.85 (0.56–1.32)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12.58 (8.02–19.46)</w:t>
            </w:r>
          </w:p>
        </w:tc>
      </w:tr>
      <w:tr>
        <w:trPr>
          <w:cantSplit/>
          <w:trHeight w:val="403" w:hRule="auto"/>
        </w:trPr>
        body16
        <w:tc>
          <w:tcPr>
            <w:vMerge/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263238"/>
              </w:rPr>
              <w:t xml:space="preserve">DM + HTN + CKD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1.09 (0.75–1.58)</w:t>
            </w:r>
          </w:p>
        </w:tc>
        <w:tc>
          <w:tcPr>
            <w:tcBorders>
              <w:bottom w:val="single" w:sz="5" w:space="0" w:color="C9D1D5"/>
              <w:top w:val="single" w:sz="5" w:space="0" w:color="C9D1D5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263238"/>
              </w:rPr>
              <w:t xml:space="preserve">15.99 (10.74–23.26)</w:t>
            </w:r>
          </w:p>
        </w:tc>
      </w:tr>
    </w:tbl>
    <w:p>
      <w:pPr>
        <w:pStyle w:val="Normal"/>
      </w:pPr>
      <w:r>
        <w:t xml:space="preserve"/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true"/>
          <w:b w:val="false"/>
          <w:u w:val="none"/>
          <w:strike w:val="false"/>
          <w:sz w:val="16"/>
          <w:szCs w:val="16"/>
          <w:color w:val="000000"/>
        </w:rPr>
        <w:t xml:space="preserve">Note. </w:t>
      </w:r>
      <w:r>
        <w:rPr>
          <w:rFonts w:ascii="Arial" w:hAnsi="Arial" w:eastAsia="Arial" w:cs="Arial"/>
          <w:i w:val="false"/>
          <w:b w:val="false"/>
          <w:u w:val="none"/>
          <w:strike w:val="false"/>
          <w:sz w:val="16"/>
          <w:szCs w:val="16"/>
          <w:color w:val="000000"/>
        </w:rPr>
        <w:t xml:space="preserve">The eight profiles are mutually exclusive combinations of diabetes mellitus (DM), hypertension (HTN) and chronic kidney disease (CKD). Risks are from outcome-specific penalised logistic generalised additive models including profile, a smooth function of age, sex, notification year and state of residence (random effect), standardised by g-computation to the observed age, sex, year and state distribution of each outcome cohort (hospitalisation, N = 776,072 with 25,363 hospitalisations; chikungunya-attributed death, N = 983,947 with 1,050 deaths). Standardised risk ratios (RR) compare each profile with None. 95% CIs for risks and RRs are from the same 2,000 parametric draws of the model coefficients. Observed cases and events per profile are given in Table 1; estimates for DM + CKD in the mortality analysis are based on 4 deaths.</w:t>
      </w:r>
    </w:p>
    <w:sectPr>
      <w:pgMar w:header="708" w:bottom="936" w:top="936" w:right="864" w:left="864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2026-10-26T13:03:28Z</dcterms:modified>
  <cp:category/>
</cp:coreProperties>
</file>