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68AA" w14:textId="3DC2B41C" w:rsidR="00950B91" w:rsidRDefault="00950B91" w:rsidP="00950B91">
      <w:pPr>
        <w:pStyle w:val="2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>Supplementary Equations</w:t>
      </w:r>
    </w:p>
    <w:p w14:paraId="226A08D2" w14:textId="1D1302F5" w:rsidR="00950B91" w:rsidRPr="00950B91" w:rsidRDefault="00950B91" w:rsidP="00950B91">
      <w:pPr>
        <w:pStyle w:val="figure"/>
        <w:rPr>
          <w:rFonts w:eastAsia="Malgun Gothic"/>
        </w:rPr>
      </w:pPr>
      <w:r>
        <w:rPr>
          <w:rFonts w:eastAsiaTheme="minorEastAsia" w:hint="eastAsia"/>
        </w:rPr>
        <w:t>Benefit risk assessment equations for travel vaccination</w:t>
      </w:r>
    </w:p>
    <w:p w14:paraId="58A9C533" w14:textId="1BB24E14" w:rsidR="00950B91" w:rsidRPr="00950B91" w:rsidRDefault="00950B91" w:rsidP="00950B91">
      <w:pPr>
        <w:pStyle w:val="6"/>
        <w:rPr>
          <w:rFonts w:eastAsia="Malgun Gothic" w:hint="eastAsia"/>
          <w:lang w:eastAsia="ko-KR"/>
        </w:rPr>
      </w:pPr>
      <w:r>
        <w:rPr>
          <w:rFonts w:hint="eastAsia"/>
        </w:rPr>
        <w:t xml:space="preserve">Chikungunya infection attributable outcomes per 10,000 travellers among vaccinated and unvaccinated individuals </w:t>
      </w:r>
    </w:p>
    <w:p w14:paraId="03FF0BB3" w14:textId="77777777" w:rsidR="00950B91" w:rsidRDefault="00950B91" w:rsidP="00950B91">
      <w:p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Natural infections outcomes are </w:t>
      </w:r>
      <w:r>
        <w:rPr>
          <w:rFonts w:ascii="Calibri" w:hAnsi="Calibri" w:cs="Calibri"/>
          <w:sz w:val="22"/>
          <w:szCs w:val="22"/>
        </w:rPr>
        <w:t>derived</w:t>
      </w:r>
      <w:r>
        <w:rPr>
          <w:rFonts w:ascii="Calibri" w:hAnsi="Calibri" w:cs="Calibri" w:hint="eastAsia"/>
          <w:sz w:val="22"/>
          <w:szCs w:val="22"/>
        </w:rPr>
        <w:t xml:space="preserve"> from the travel-specific attack rates </w:t>
      </w:r>
      <m:oMath>
        <m:sSubSup>
          <m:sSub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Calibri"/>
                <w:sz w:val="22"/>
                <w:szCs w:val="22"/>
              </w:rPr>
              <m:t>AR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s,a,d</m:t>
            </m:r>
          </m:sub>
          <m:sup>
            <m:r>
              <w:rPr>
                <w:rFonts w:ascii="Cambria Math" w:hAnsi="Cambria Math" w:cs="Calibri"/>
                <w:sz w:val="22"/>
                <w:szCs w:val="22"/>
              </w:rPr>
              <m:t>t</m:t>
            </m:r>
          </m:sup>
        </m:sSubSup>
      </m:oMath>
      <w:r>
        <w:rPr>
          <w:rFonts w:ascii="Calibri" w:hAnsi="Calibri" w:cs="Calibri" w:hint="eastAsia"/>
          <w:sz w:val="22"/>
          <w:szCs w:val="22"/>
        </w:rPr>
        <w:t xml:space="preserve">. For 10,000 travellers in state </w:t>
      </w:r>
      <m:oMath>
        <m:r>
          <w:rPr>
            <w:rFonts w:ascii="Cambria Math" w:eastAsia="Malgun Gothic" w:hAnsi="Cambria Math" w:cs="Calibri"/>
            <w:sz w:val="22"/>
            <w:szCs w:val="22"/>
            <w:lang w:val="en-US"/>
          </w:rPr>
          <m:t xml:space="preserve">s, </m:t>
        </m:r>
      </m:oMath>
      <w:r>
        <w:rPr>
          <w:rFonts w:ascii="Calibri" w:hAnsi="Calibri" w:cs="Calibri" w:hint="eastAsia"/>
          <w:sz w:val="22"/>
          <w:szCs w:val="22"/>
          <w:lang w:val="en-US"/>
        </w:rPr>
        <w:t xml:space="preserve">age group </w:t>
      </w:r>
      <m:oMath>
        <m:r>
          <w:rPr>
            <w:rFonts w:ascii="Cambria Math" w:eastAsia="Malgun Gothic" w:hAnsi="Cambria Math" w:cs="Calibri"/>
            <w:sz w:val="22"/>
            <w:szCs w:val="22"/>
            <w:lang w:val="en-US"/>
          </w:rPr>
          <m:t>a</m:t>
        </m:r>
      </m:oMath>
      <w:r>
        <w:rPr>
          <w:rFonts w:ascii="Calibri" w:hAnsi="Calibri" w:cs="Calibri" w:hint="eastAsia"/>
          <w:sz w:val="22"/>
          <w:szCs w:val="22"/>
          <w:lang w:val="en-US"/>
        </w:rPr>
        <w:t xml:space="preserve">, travel duration </w:t>
      </w:r>
      <m:oMath>
        <m:r>
          <w:rPr>
            <w:rFonts w:ascii="Cambria Math" w:eastAsia="Malgun Gothic" w:hAnsi="Cambria Math" w:cs="Calibri"/>
            <w:sz w:val="22"/>
            <w:szCs w:val="22"/>
            <w:lang w:val="en-US"/>
          </w:rPr>
          <m:t>d</m:t>
        </m:r>
      </m:oMath>
      <w:r>
        <w:rPr>
          <w:rFonts w:ascii="Calibri" w:hAnsi="Calibri" w:cs="Calibri" w:hint="eastAsia"/>
          <w:sz w:val="22"/>
          <w:szCs w:val="22"/>
          <w:lang w:val="en-US"/>
        </w:rPr>
        <w:t xml:space="preserve">, under vaccination status </w:t>
      </w:r>
      <m:oMath>
        <m:r>
          <w:rPr>
            <w:rFonts w:ascii="Cambria Math" w:hAnsi="Cambria Math" w:cs="Calibri"/>
            <w:sz w:val="22"/>
            <w:szCs w:val="22"/>
            <w:lang w:val="en-US"/>
          </w:rPr>
          <m:t>x ∈</m:t>
        </m:r>
        <m:d>
          <m:dPr>
            <m:begChr m:val="{"/>
            <m:endChr m:val="}"/>
            <m:ctrlPr>
              <w:rPr>
                <w:rFonts w:ascii="Cambria Math" w:hAnsi="Cambria Math" w:cs="Calibr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Calibri"/>
                <w:sz w:val="22"/>
                <w:szCs w:val="22"/>
                <w:lang w:val="en-US"/>
              </w:rPr>
              <m:t>U, V</m:t>
            </m:r>
          </m:e>
        </m:d>
        <m:r>
          <w:rPr>
            <w:rFonts w:ascii="Cambria Math" w:hAnsi="Cambria Math" w:cs="Calibri"/>
            <w:sz w:val="22"/>
            <w:szCs w:val="22"/>
            <w:lang w:val="en-US"/>
          </w:rPr>
          <m:t>:</m:t>
        </m:r>
      </m:oMath>
    </w:p>
    <w:p w14:paraId="6A708128" w14:textId="77777777" w:rsidR="00950B91" w:rsidRDefault="00950B91" w:rsidP="00950B91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7917BF08" w14:textId="77777777" w:rsidR="00950B91" w:rsidRPr="00D24DB6" w:rsidRDefault="00950B91" w:rsidP="00950B91">
      <w:pPr>
        <w:spacing w:line="360" w:lineRule="auto"/>
        <w:rPr>
          <w:rFonts w:ascii="Calibri" w:hAnsi="Calibri" w:cs="Calibri"/>
          <w:i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Symptomatic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=10,000 ∙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AR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s,a,d 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>∙S</m:t>
          </m:r>
        </m:oMath>
      </m:oMathPara>
    </w:p>
    <w:p w14:paraId="1F089E81" w14:textId="77777777" w:rsidR="00950B91" w:rsidRPr="00423DD3" w:rsidRDefault="00950B91" w:rsidP="00950B91">
      <w:pPr>
        <w:rPr>
          <w:rFonts w:ascii="Calibri" w:hAnsi="Calibri" w:cs="Calibri"/>
          <w:i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Deaths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=10,000 ∙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AR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 xml:space="preserve"> ∙  S ∙ 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</m:t>
              </m:r>
            </m:sub>
          </m:sSub>
        </m:oMath>
      </m:oMathPara>
    </w:p>
    <w:p w14:paraId="28B57370" w14:textId="77777777" w:rsidR="00950B91" w:rsidRPr="00423DD3" w:rsidRDefault="00950B91" w:rsidP="00950B91">
      <w:pPr>
        <w:rPr>
          <w:rFonts w:ascii="Calibri" w:hAnsi="Calibri" w:cs="Calibri"/>
          <w:i/>
          <w:sz w:val="22"/>
          <w:szCs w:val="22"/>
        </w:rPr>
      </w:pPr>
    </w:p>
    <w:p w14:paraId="541A487B" w14:textId="77777777" w:rsidR="00950B91" w:rsidRPr="00FA08F1" w:rsidRDefault="00950B91" w:rsidP="00950B91">
      <w:pPr>
        <w:rPr>
          <w:rFonts w:ascii="Calibri" w:hAnsi="Calibri" w:cs="Calibri"/>
          <w:i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Hosp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=10,000 ∙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AR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 xml:space="preserve"> ∙  S∙ 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</m:t>
              </m:r>
            </m:sub>
          </m:sSub>
        </m:oMath>
      </m:oMathPara>
    </w:p>
    <w:p w14:paraId="0F5B8AC0" w14:textId="77777777" w:rsidR="00950B91" w:rsidRPr="008A3F4D" w:rsidRDefault="00950B91" w:rsidP="00950B91">
      <w:pPr>
        <w:rPr>
          <w:rFonts w:ascii="Calibri" w:hAnsi="Calibri" w:cs="Calibri"/>
          <w:i/>
          <w:sz w:val="22"/>
          <w:szCs w:val="22"/>
        </w:rPr>
      </w:pPr>
    </w:p>
    <w:p w14:paraId="45E6A916" w14:textId="77777777" w:rsidR="00950B91" w:rsidRPr="003B1F48" w:rsidRDefault="00950B91" w:rsidP="00950B91">
      <w:pPr>
        <w:rPr>
          <w:rFonts w:ascii="Calibri" w:hAnsi="Calibri" w:cs="Calibri"/>
          <w:i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Nonhosp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=10,000 ∙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AR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 xml:space="preserve"> ∙  S∙  (1-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)</m:t>
          </m:r>
        </m:oMath>
      </m:oMathPara>
    </w:p>
    <w:p w14:paraId="3CF199D1" w14:textId="77777777" w:rsidR="00950B91" w:rsidRPr="008A3F4D" w:rsidRDefault="00950B91" w:rsidP="00950B91">
      <w:pPr>
        <w:rPr>
          <w:rFonts w:ascii="Calibri" w:hAnsi="Calibri" w:cs="Calibri"/>
          <w:i/>
          <w:lang w:val="en-US"/>
        </w:rPr>
      </w:pPr>
    </w:p>
    <w:p w14:paraId="1BA6C530" w14:textId="77777777" w:rsidR="00950B91" w:rsidRPr="003B1F48" w:rsidRDefault="00950B91" w:rsidP="00950B91">
      <w:pPr>
        <w:rPr>
          <w:rFonts w:ascii="Calibri" w:hAnsi="Calibri" w:cs="Calibri"/>
          <w:i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Subac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=10,000∙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AR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 xml:space="preserve"> ∙  S ∙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sub</m:t>
              </m:r>
            </m:sub>
          </m:sSub>
        </m:oMath>
      </m:oMathPara>
    </w:p>
    <w:p w14:paraId="67E7893E" w14:textId="77777777" w:rsidR="00950B91" w:rsidRDefault="00950B91" w:rsidP="00950B91">
      <w:pPr>
        <w:rPr>
          <w:rFonts w:ascii="Calibri" w:hAnsi="Calibri" w:cs="Calibri"/>
          <w:i/>
          <w:sz w:val="22"/>
          <w:szCs w:val="22"/>
        </w:rPr>
      </w:pPr>
    </w:p>
    <w:p w14:paraId="2C982D7C" w14:textId="4FF26822" w:rsidR="00950B91" w:rsidRPr="00950B91" w:rsidRDefault="00950B91" w:rsidP="00950B91">
      <w:pPr>
        <w:rPr>
          <w:rFonts w:ascii="Calibri" w:eastAsia="Malgun Gothic" w:hAnsi="Calibri" w:cs="Calibri" w:hint="eastAsia"/>
          <w:i/>
          <w:lang w:val="en-US" w:eastAsia="ko-KR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Chr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 xml:space="preserve">=10,000 ∙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AR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 xml:space="preserve"> ∙  S ∙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chr</m:t>
              </m:r>
            </m:sub>
          </m:sSub>
        </m:oMath>
      </m:oMathPara>
    </w:p>
    <w:p w14:paraId="0F5D243E" w14:textId="1AF12814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 w:rsidRPr="008A3F4D">
        <w:rPr>
          <w:rFonts w:ascii="Calibri" w:hAnsi="Calibri" w:cs="Calibri"/>
          <w:sz w:val="22"/>
          <w:szCs w:val="22"/>
          <w:lang w:val="en-US"/>
        </w:rPr>
        <w:t>Where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8A3F4D">
        <w:rPr>
          <w:rFonts w:ascii="Calibri" w:hAnsi="Calibri" w:cs="Calibri"/>
          <w:sz w:val="22"/>
          <w:szCs w:val="22"/>
          <w:lang w:val="en-US"/>
        </w:rPr>
        <w:t xml:space="preserve"> </w:t>
      </w:r>
      <m:oMath>
        <m:r>
          <w:rPr>
            <w:rFonts w:ascii="Cambria Math" w:hAnsi="Cambria Math" w:cs="Calibri"/>
            <w:sz w:val="22"/>
            <w:szCs w:val="22"/>
          </w:rPr>
          <m:t>S</m:t>
        </m:r>
      </m:oMath>
      <w:r>
        <w:rPr>
          <w:rFonts w:ascii="Calibri" w:hAnsi="Calibri" w:cs="Calibri"/>
          <w:sz w:val="22"/>
          <w:szCs w:val="22"/>
        </w:rPr>
        <w:t xml:space="preserve"> is a symptomatic fraction,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8A3F4D">
        <w:rPr>
          <w:rFonts w:ascii="Calibri" w:hAnsi="Calibri" w:cs="Calibri"/>
          <w:sz w:val="22"/>
          <w:szCs w:val="2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a</m:t>
            </m:r>
          </m:sub>
        </m:sSub>
      </m:oMath>
      <w:r>
        <w:rPr>
          <w:rFonts w:ascii="Calibri" w:hAnsi="Calibri" w:cs="Calibri" w:hint="eastAsia"/>
          <w:sz w:val="22"/>
          <w:szCs w:val="22"/>
        </w:rPr>
        <w:t xml:space="preserve"> is the age-specific case fatality rate,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a</m:t>
            </m:r>
          </m:sub>
        </m:sSub>
      </m:oMath>
      <w:r>
        <w:rPr>
          <w:rFonts w:ascii="Calibri" w:hAnsi="Calibri" w:cs="Calibri" w:hint="eastAsia"/>
          <w:sz w:val="22"/>
          <w:szCs w:val="22"/>
        </w:rPr>
        <w:t xml:space="preserve"> is the age specific hospitalisation rate given symptomatic infection, and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π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sub</m:t>
            </m:r>
          </m:sub>
        </m:sSub>
      </m:oMath>
      <w:r>
        <w:rPr>
          <w:rFonts w:ascii="Calibri" w:hAnsi="Calibri" w:cs="Calibri" w:hint="eastAsia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π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chr</m:t>
            </m:r>
          </m:sub>
        </m:sSub>
      </m:oMath>
      <w:r>
        <w:rPr>
          <w:rFonts w:ascii="Calibri" w:hAnsi="Calibri" w:cs="Calibri" w:hint="eastAsia"/>
          <w:sz w:val="22"/>
          <w:szCs w:val="22"/>
        </w:rPr>
        <w:t xml:space="preserve"> are proportions progressing to sub-acute and </w:t>
      </w:r>
      <w:r>
        <w:rPr>
          <w:rFonts w:ascii="Calibri" w:hAnsi="Calibri" w:cs="Calibri"/>
          <w:sz w:val="22"/>
          <w:szCs w:val="22"/>
        </w:rPr>
        <w:t>chronic</w:t>
      </w:r>
      <w:r>
        <w:rPr>
          <w:rFonts w:ascii="Calibri" w:hAnsi="Calibri" w:cs="Calibri" w:hint="eastAsia"/>
          <w:sz w:val="22"/>
          <w:szCs w:val="22"/>
        </w:rPr>
        <w:t xml:space="preserve"> phases among symptomatic patients. For unvaccinated (</w:t>
      </w:r>
      <m:oMath>
        <m:r>
          <w:rPr>
            <w:rFonts w:ascii="Cambria Math" w:hAnsi="Cambria Math" w:cs="Calibri"/>
            <w:sz w:val="22"/>
            <w:szCs w:val="22"/>
          </w:rPr>
          <m:t>x=U)</m:t>
        </m:r>
      </m:oMath>
      <w:r>
        <w:rPr>
          <w:rFonts w:ascii="Calibri" w:hAnsi="Calibri" w:cs="Calibri" w:hint="eastAsia"/>
          <w:sz w:val="22"/>
          <w:szCs w:val="22"/>
        </w:rPr>
        <w:t xml:space="preserve">, 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AR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t,(u)</m:t>
            </m:r>
          </m:sup>
        </m:sSup>
        <m:r>
          <w:rPr>
            <w:rFonts w:ascii="Cambria Math" w:hAnsi="Cambria Math" w:cs="Calibr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AR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t</m:t>
            </m:r>
          </m:sup>
        </m:sSup>
      </m:oMath>
      <w:r>
        <w:rPr>
          <w:rFonts w:ascii="Calibri" w:hAnsi="Calibri" w:cs="Calibri" w:hint="eastAsia"/>
          <w:sz w:val="22"/>
          <w:szCs w:val="22"/>
        </w:rPr>
        <w:t xml:space="preserve"> and for vaccinated,  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AR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t,(V)</m:t>
            </m:r>
          </m:sup>
        </m:sSup>
        <m:r>
          <w:rPr>
            <w:rFonts w:ascii="Cambria Math" w:hAnsi="Cambria Math" w:cs="Calibr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AR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 w:cs="Calibri"/>
            <w:sz w:val="22"/>
            <w:szCs w:val="22"/>
          </w:rPr>
          <m:t>∙</m:t>
        </m:r>
        <m:d>
          <m:d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Calibri"/>
                <w:sz w:val="22"/>
                <w:szCs w:val="22"/>
              </w:rPr>
              <m:t>1-VE</m:t>
            </m:r>
          </m:e>
        </m:d>
        <m:r>
          <w:rPr>
            <w:rFonts w:ascii="Cambria Math" w:hAnsi="Cambria Math" w:cs="Calibri"/>
            <w:sz w:val="22"/>
            <w:szCs w:val="22"/>
          </w:rPr>
          <m:t>.</m:t>
        </m:r>
      </m:oMath>
    </w:p>
    <w:p w14:paraId="68B4F62A" w14:textId="309B46A8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>
        <w:rPr>
          <w:rFonts w:ascii="Calibri" w:hAnsi="Calibri" w:cs="Calibri" w:hint="eastAsia"/>
          <w:sz w:val="22"/>
          <w:szCs w:val="22"/>
        </w:rPr>
        <w:t>Chikungunya infection related SAEs are defined as the sum of hospitalisations and deaths:</w:t>
      </w:r>
    </w:p>
    <w:p w14:paraId="27048768" w14:textId="6E19A18C" w:rsidR="00950B91" w:rsidRPr="00950B91" w:rsidRDefault="00950B91" w:rsidP="00950B91">
      <w:pPr>
        <w:spacing w:line="360" w:lineRule="auto"/>
        <w:rPr>
          <w:rFonts w:ascii="Calibri" w:eastAsia="Malgun Gothic" w:hAnsi="Calibri" w:cs="Calibri"/>
          <w:i/>
          <w:sz w:val="22"/>
          <w:szCs w:val="22"/>
          <w:lang w:eastAsia="ko-KR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SAE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Hosp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+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Deaths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</m:oMath>
      </m:oMathPara>
    </w:p>
    <w:p w14:paraId="7EDC6D2C" w14:textId="77777777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i/>
          <w:sz w:val="22"/>
          <w:szCs w:val="22"/>
          <w:lang w:eastAsia="ko-KR"/>
        </w:rPr>
      </w:pPr>
    </w:p>
    <w:p w14:paraId="5EE171CE" w14:textId="2191B6AC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>
        <w:rPr>
          <w:rFonts w:ascii="Calibri" w:hAnsi="Calibri" w:cs="Calibri" w:hint="eastAsia"/>
          <w:sz w:val="22"/>
          <w:szCs w:val="22"/>
        </w:rPr>
        <w:t xml:space="preserve">Vaccine attributable DALYs are computed from vaccine-attributable SAEs and deaths. </w:t>
      </w:r>
    </w:p>
    <w:p w14:paraId="09D7E18D" w14:textId="77777777" w:rsidR="00950B91" w:rsidRDefault="00950B91" w:rsidP="00950B91">
      <w:pPr>
        <w:spacing w:line="360" w:lineRule="auto"/>
        <w:rPr>
          <w:rFonts w:ascii="Calibri" w:hAnsi="Calibri" w:cs="Calibri"/>
          <w:sz w:val="22"/>
          <w:szCs w:val="22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DALY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DZ 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s,a,d</m:t>
              </m:r>
            </m:e>
          </m:d>
          <m:r>
            <w:rPr>
              <w:rFonts w:ascii="Cambria Math" w:hAnsi="Cambria Math" w:cs="Calibri"/>
            </w:rPr>
            <m:t xml:space="preserve">= 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DZ </m:t>
              </m:r>
            </m:sup>
          </m:sSubSup>
          <m:r>
            <w:rPr>
              <w:rFonts w:ascii="Cambria Math" w:hAnsi="Cambria Math" w:cs="Calibri"/>
            </w:rPr>
            <m:t>(s,a,d)+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YLL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DZ 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s,a,d</m:t>
              </m:r>
            </m:e>
          </m:d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 xml:space="preserve">   </m:t>
          </m:r>
        </m:oMath>
      </m:oMathPara>
    </w:p>
    <w:p w14:paraId="39F49F69" w14:textId="77777777" w:rsidR="00950B91" w:rsidRDefault="00950B91" w:rsidP="00950B91">
      <w:pPr>
        <w:spacing w:line="360" w:lineRule="auto"/>
        <w:rPr>
          <w:rFonts w:ascii="Calibri" w:hAnsi="Calibri" w:cs="Calibri"/>
          <w:sz w:val="22"/>
          <w:szCs w:val="22"/>
          <w:lang w:val="en-US"/>
        </w:rPr>
      </w:pPr>
    </w:p>
    <w:p w14:paraId="78945A08" w14:textId="77777777" w:rsidR="00950B91" w:rsidRPr="000C1A4B" w:rsidRDefault="00950B91" w:rsidP="00950B91">
      <w:pPr>
        <w:rPr>
          <w:rFonts w:ascii="Calibri" w:hAnsi="Calibri" w:cs="Calibri"/>
          <w:sz w:val="22"/>
          <w:szCs w:val="22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YLL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Deaths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10k,x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a</m:t>
              </m:r>
            </m:sub>
          </m:sSub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 xml:space="preserve">     (x ∈{U, V})</m:t>
          </m:r>
        </m:oMath>
      </m:oMathPara>
    </w:p>
    <w:p w14:paraId="5FDE4133" w14:textId="77777777" w:rsidR="00950B91" w:rsidRPr="00950B91" w:rsidRDefault="00950B91" w:rsidP="00950B91">
      <w:pPr>
        <w:rPr>
          <w:rFonts w:ascii="Calibri" w:eastAsia="Malgun Gothic" w:hAnsi="Calibri" w:cs="Calibri" w:hint="eastAsia"/>
          <w:sz w:val="22"/>
          <w:szCs w:val="22"/>
          <w:lang w:val="en-US" w:eastAsia="ko-KR"/>
        </w:rPr>
      </w:pPr>
    </w:p>
    <w:p w14:paraId="6C783B6F" w14:textId="77777777" w:rsidR="00950B91" w:rsidRPr="007F2C4E" w:rsidRDefault="00950B91" w:rsidP="00950B91">
      <w:pPr>
        <w:rPr>
          <w:rFonts w:ascii="Calibri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DZ 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DZ,acute,hosp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+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DZ,acute,nonhosp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+ 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YLD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x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DZ,subac</m:t>
                  </m:r>
                </m:sup>
              </m:sSubSup>
              <m:d>
                <m:d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s,a,d</m:t>
                  </m:r>
                </m:e>
              </m:d>
              <m:r>
                <w:rPr>
                  <w:rFonts w:ascii="Cambria Math" w:hAnsi="Cambria Math" w:cs="Calibri"/>
                  <w:sz w:val="22"/>
                  <w:szCs w:val="22"/>
                </w:rPr>
                <m:t>+ 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DZ,6m_chr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+  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DZ,12m_chr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>+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DZ,30m_chr 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</m:oMath>
      </m:oMathPara>
    </w:p>
    <w:p w14:paraId="5B8CFF78" w14:textId="77777777" w:rsidR="00950B91" w:rsidRDefault="00950B91" w:rsidP="00950B91">
      <w:pPr>
        <w:rPr>
          <w:rFonts w:ascii="Calibri" w:hAnsi="Calibri" w:cs="Calibri"/>
          <w:sz w:val="22"/>
          <w:szCs w:val="22"/>
        </w:rPr>
      </w:pPr>
    </w:p>
    <w:p w14:paraId="43FD0AF6" w14:textId="03ACE59B" w:rsidR="00950B91" w:rsidRPr="00950B91" w:rsidRDefault="00950B91" w:rsidP="00950B91">
      <w:pPr>
        <w:rPr>
          <w:rFonts w:ascii="Calibri" w:eastAsia="Malgun Gothic" w:hAnsi="Calibri" w:cs="Calibri" w:hint="eastAsia"/>
          <w:sz w:val="22"/>
          <w:szCs w:val="22"/>
          <w:lang w:eastAsia="ko-KR"/>
        </w:rPr>
      </w:pPr>
      <w:r>
        <w:rPr>
          <w:rFonts w:ascii="Calibri" w:hAnsi="Calibri" w:cs="Calibri"/>
          <w:sz w:val="22"/>
          <w:szCs w:val="22"/>
        </w:rPr>
        <w:t>W</w:t>
      </w:r>
      <w:r>
        <w:rPr>
          <w:rFonts w:ascii="Calibri" w:hAnsi="Calibri" w:cs="Calibri" w:hint="eastAsia"/>
          <w:sz w:val="22"/>
          <w:szCs w:val="22"/>
        </w:rPr>
        <w:t>here each component is:</w:t>
      </w:r>
    </w:p>
    <w:p w14:paraId="5D9A5E26" w14:textId="77777777" w:rsidR="00950B91" w:rsidRPr="000C1A4B" w:rsidRDefault="00950B91" w:rsidP="00950B91">
      <w:pPr>
        <w:rPr>
          <w:rFonts w:ascii="Calibri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DZ,acute,hosp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Hosp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∙d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w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H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d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acute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</m:oMath>
      </m:oMathPara>
    </w:p>
    <w:p w14:paraId="061ACF65" w14:textId="77777777" w:rsidR="00950B91" w:rsidRPr="000C1A4B" w:rsidRDefault="00950B91" w:rsidP="00950B91">
      <w:pPr>
        <w:rPr>
          <w:rFonts w:ascii="Calibri" w:hAnsi="Calibri" w:cs="Calibri"/>
          <w:sz w:val="22"/>
          <w:szCs w:val="22"/>
        </w:rPr>
      </w:pPr>
    </w:p>
    <w:p w14:paraId="4D930545" w14:textId="77777777" w:rsidR="00950B91" w:rsidRDefault="00950B91" w:rsidP="00950B91">
      <w:pPr>
        <w:rPr>
          <w:rFonts w:ascii="Calibri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DZ,acute,nonhosp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Nonhosp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∙d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w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NH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d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nonhosp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</m:oMath>
      </m:oMathPara>
    </w:p>
    <w:p w14:paraId="1C3E0F05" w14:textId="77777777" w:rsidR="00950B91" w:rsidRDefault="00950B91" w:rsidP="00950B91">
      <w:pPr>
        <w:rPr>
          <w:rFonts w:ascii="Calibri" w:hAnsi="Calibri" w:cs="Calibri"/>
          <w:sz w:val="22"/>
          <w:szCs w:val="22"/>
        </w:rPr>
      </w:pPr>
    </w:p>
    <w:p w14:paraId="13D2FC53" w14:textId="77777777" w:rsidR="00950B91" w:rsidRPr="000C1A4B" w:rsidRDefault="00950B91" w:rsidP="00950B91">
      <w:pPr>
        <w:rPr>
          <w:rFonts w:ascii="Calibri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DZ,subac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Subac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∙d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w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subac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d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subac</m:t>
              </m:r>
            </m:sub>
          </m:sSub>
        </m:oMath>
      </m:oMathPara>
    </w:p>
    <w:p w14:paraId="2026B6E6" w14:textId="77777777" w:rsidR="00950B91" w:rsidRDefault="00950B91" w:rsidP="00950B91">
      <w:pPr>
        <w:rPr>
          <w:rFonts w:ascii="Calibri" w:hAnsi="Calibri" w:cs="Calibri"/>
          <w:sz w:val="22"/>
          <w:szCs w:val="22"/>
        </w:rPr>
      </w:pPr>
    </w:p>
    <w:p w14:paraId="0843589F" w14:textId="77777777" w:rsidR="00950B91" w:rsidRPr="008A3F4D" w:rsidRDefault="00950B91" w:rsidP="00950B91">
      <w:pPr>
        <w:rPr>
          <w:rFonts w:ascii="Calibri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DZ,6m_chr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Chr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∙d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w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chr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d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chr,6m</m:t>
              </m:r>
            </m:sub>
          </m:sSub>
        </m:oMath>
      </m:oMathPara>
    </w:p>
    <w:p w14:paraId="1AAB6EAE" w14:textId="77777777" w:rsidR="00950B91" w:rsidRPr="000A4029" w:rsidRDefault="00950B91" w:rsidP="00950B91">
      <w:pPr>
        <w:rPr>
          <w:rFonts w:ascii="Calibri" w:hAnsi="Calibri" w:cs="Calibri"/>
          <w:sz w:val="22"/>
          <w:szCs w:val="22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DZ,12m_chr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Chr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∙d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w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chr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d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chr,12m</m:t>
              </m:r>
            </m:sub>
          </m:sSub>
        </m:oMath>
      </m:oMathPara>
    </w:p>
    <w:p w14:paraId="3DC1D56A" w14:textId="77777777" w:rsidR="00950B91" w:rsidRDefault="00950B91" w:rsidP="00950B91">
      <w:pPr>
        <w:rPr>
          <w:rFonts w:ascii="Calibri" w:hAnsi="Calibri" w:cs="Calibri"/>
          <w:sz w:val="22"/>
          <w:szCs w:val="22"/>
          <w:lang w:val="en-US"/>
        </w:rPr>
      </w:pPr>
    </w:p>
    <w:p w14:paraId="502512EE" w14:textId="77777777" w:rsidR="00950B91" w:rsidRPr="00F747D6" w:rsidRDefault="00950B91" w:rsidP="00950B91">
      <w:pPr>
        <w:rPr>
          <w:rFonts w:ascii="Calibri" w:hAnsi="Calibri" w:cs="Calibri"/>
          <w:sz w:val="22"/>
          <w:szCs w:val="22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DZ,30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chr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Chr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x,DZ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∙d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w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chr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eastAsia="Malgun Gothic" w:hAnsi="Cambria Math" w:cs="Calibri"/>
              <w:sz w:val="22"/>
              <w:szCs w:val="22"/>
              <w:lang w:val="en-US"/>
            </w:rPr>
            <m:t>∙</m:t>
          </m:r>
          <m:sSub>
            <m:sSubPr>
              <m:ctrlPr>
                <w:rPr>
                  <w:rFonts w:ascii="Cambria Math" w:eastAsia="Malgun Gothic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d</m:t>
              </m:r>
            </m:e>
            <m:sub>
              <m:r>
                <w:rPr>
                  <w:rFonts w:ascii="Cambria Math" w:eastAsia="Malgun Gothic" w:hAnsi="Cambria Math" w:cs="Calibri"/>
                  <w:sz w:val="22"/>
                  <w:szCs w:val="22"/>
                  <w:lang w:val="en-US"/>
                </w:rPr>
                <m:t>chr,30m</m:t>
              </m:r>
            </m:sub>
          </m:sSub>
        </m:oMath>
      </m:oMathPara>
    </w:p>
    <w:p w14:paraId="395422FB" w14:textId="77777777" w:rsidR="00950B91" w:rsidRDefault="00950B91" w:rsidP="00950B91">
      <w:pPr>
        <w:rPr>
          <w:rFonts w:ascii="Calibri" w:hAnsi="Calibri" w:cs="Calibri"/>
          <w:sz w:val="22"/>
          <w:szCs w:val="22"/>
          <w:lang w:val="en-US"/>
        </w:rPr>
      </w:pPr>
    </w:p>
    <w:p w14:paraId="6BCECDF3" w14:textId="77777777" w:rsidR="00950B91" w:rsidRDefault="00950B91" w:rsidP="00950B91">
      <w:pPr>
        <w:rPr>
          <w:rFonts w:ascii="Calibri" w:hAnsi="Calibri" w:cs="Calibri"/>
          <w:sz w:val="22"/>
          <w:szCs w:val="22"/>
          <w:lang w:val="en-US"/>
        </w:rPr>
      </w:pPr>
    </w:p>
    <w:p w14:paraId="77BFCA27" w14:textId="77777777" w:rsidR="00950B91" w:rsidRDefault="00950B91" w:rsidP="00950B91">
      <w:pPr>
        <w:rPr>
          <w:rFonts w:ascii="Calibri" w:hAnsi="Calibri" w:cs="Calibri"/>
          <w:sz w:val="22"/>
          <w:szCs w:val="22"/>
          <w:lang w:val="en-US"/>
        </w:rPr>
      </w:pPr>
    </w:p>
    <w:p w14:paraId="13BB2325" w14:textId="77777777" w:rsidR="00950B91" w:rsidRDefault="00950B91" w:rsidP="00950B91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 w:hint="eastAsia"/>
          <w:sz w:val="22"/>
          <w:szCs w:val="22"/>
          <w:lang w:val="en-US"/>
        </w:rPr>
        <w:t xml:space="preserve">The benefit per 10,000 </w:t>
      </w:r>
      <w:proofErr w:type="spellStart"/>
      <w:r>
        <w:rPr>
          <w:rFonts w:ascii="Calibri" w:hAnsi="Calibri" w:cs="Calibri" w:hint="eastAsia"/>
          <w:sz w:val="22"/>
          <w:szCs w:val="22"/>
          <w:lang w:val="en-US"/>
        </w:rPr>
        <w:t>travellers</w:t>
      </w:r>
      <w:proofErr w:type="spellEnd"/>
      <w:r>
        <w:rPr>
          <w:rFonts w:ascii="Calibri" w:hAnsi="Calibri" w:cs="Calibri" w:hint="eastAsia"/>
          <w:sz w:val="22"/>
          <w:szCs w:val="22"/>
          <w:lang w:val="en-US"/>
        </w:rPr>
        <w:t xml:space="preserve"> for each outcome Y </w:t>
      </w:r>
      <m:oMath>
        <m:r>
          <w:rPr>
            <w:rFonts w:ascii="Cambria Math" w:hAnsi="Cambria Math" w:cs="Calibri"/>
            <w:sz w:val="22"/>
            <w:szCs w:val="22"/>
            <w:lang w:val="en-US"/>
          </w:rPr>
          <m:t>∈{SAE, Death,DALY}</m:t>
        </m:r>
      </m:oMath>
      <w:r>
        <w:rPr>
          <w:rFonts w:ascii="Calibri" w:hAnsi="Calibri" w:cs="Calibri" w:hint="eastAsia"/>
          <w:sz w:val="22"/>
          <w:szCs w:val="22"/>
          <w:lang w:val="en-US"/>
        </w:rPr>
        <w:t xml:space="preserve"> is:</w:t>
      </w:r>
    </w:p>
    <w:p w14:paraId="0D40085A" w14:textId="77777777" w:rsidR="00950B91" w:rsidRDefault="00950B91" w:rsidP="00950B91">
      <w:pPr>
        <w:rPr>
          <w:rFonts w:ascii="Calibri" w:hAnsi="Calibri" w:cs="Calibri"/>
          <w:sz w:val="22"/>
          <w:szCs w:val="22"/>
          <w:lang w:val="en-US"/>
        </w:rPr>
      </w:pPr>
    </w:p>
    <w:p w14:paraId="7092B325" w14:textId="5BE1E221" w:rsidR="00950B91" w:rsidRPr="00950B91" w:rsidRDefault="00950B91" w:rsidP="00950B91">
      <w:pPr>
        <w:jc w:val="center"/>
        <w:rPr>
          <w:rFonts w:ascii="Calibri" w:eastAsia="Malgun Gothic" w:hAnsi="Calibri" w:cs="Calibri" w:hint="eastAsia"/>
          <w:sz w:val="22"/>
          <w:szCs w:val="22"/>
          <w:lang w:val="en-US" w:eastAsia="ko-KR"/>
        </w:rPr>
      </w:pPr>
      <m:oMathPara>
        <m:oMath>
          <m:r>
            <w:rPr>
              <w:rFonts w:ascii="Cambria Math" w:hAnsi="Cambria Math" w:cs="Calibri"/>
              <w:sz w:val="22"/>
              <w:szCs w:val="22"/>
              <w:lang w:val="en-US"/>
            </w:rPr>
            <m:t>Benefi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 w:cs="Calibri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U</m:t>
              </m:r>
            </m:sup>
          </m:s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s,a,d</m:t>
              </m:r>
            </m:e>
          </m:d>
          <m:r>
            <w:rPr>
              <w:rFonts w:ascii="Cambria Math" w:hAnsi="Cambria Math" w:cs="Calibri"/>
              <w:sz w:val="22"/>
              <w:szCs w:val="22"/>
              <w:lang w:val="en-US"/>
            </w:rPr>
            <m:t xml:space="preserve">- </m:t>
          </m:r>
          <m:sSup>
            <m:sSupPr>
              <m:ctrlPr>
                <w:rPr>
                  <w:rFonts w:ascii="Cambria Math" w:hAnsi="Cambria Math" w:cs="Calibri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V</m:t>
              </m:r>
            </m:sup>
          </m:sSup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s,a,d</m:t>
              </m:r>
            </m:e>
          </m:d>
        </m:oMath>
      </m:oMathPara>
    </w:p>
    <w:p w14:paraId="46EF7546" w14:textId="77777777" w:rsidR="00950B91" w:rsidRDefault="00950B91" w:rsidP="00950B91">
      <w:pPr>
        <w:pStyle w:val="6"/>
      </w:pPr>
      <w:r>
        <w:rPr>
          <w:rFonts w:hint="eastAsia"/>
        </w:rPr>
        <w:t>Risk scenario</w:t>
      </w:r>
    </w:p>
    <w:p w14:paraId="6A13B1B3" w14:textId="69553D19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 w:rsidRPr="00FF5804">
        <w:rPr>
          <w:rFonts w:ascii="Calibri" w:hAnsi="Calibri" w:cs="Calibri"/>
          <w:sz w:val="22"/>
          <w:szCs w:val="22"/>
        </w:rPr>
        <w:t>We assumed that individuals receiving travel vaccination originate from non-endemic regions</w:t>
      </w:r>
      <w:r>
        <w:rPr>
          <w:rFonts w:ascii="Calibri" w:hAnsi="Calibri" w:cs="Calibri" w:hint="eastAsia"/>
          <w:sz w:val="22"/>
          <w:szCs w:val="22"/>
        </w:rPr>
        <w:t xml:space="preserve"> </w:t>
      </w:r>
      <w:r w:rsidRPr="00FF5804">
        <w:rPr>
          <w:rFonts w:ascii="Calibri" w:hAnsi="Calibri" w:cs="Calibri"/>
          <w:sz w:val="22"/>
          <w:szCs w:val="22"/>
        </w:rPr>
        <w:t>without autochthonous CHIKV transmission and are therefore fully seronegative. Vaccine-attributable risk is applied equally to all travellers.</w:t>
      </w:r>
      <w:r>
        <w:rPr>
          <w:rFonts w:ascii="Calibri" w:hAnsi="Calibri" w:cs="Calibri" w:hint="eastAsia"/>
          <w:sz w:val="22"/>
          <w:szCs w:val="22"/>
        </w:rPr>
        <w:t xml:space="preserve"> </w:t>
      </w:r>
      <w:r w:rsidRPr="00FF5804">
        <w:rPr>
          <w:rFonts w:ascii="Calibri" w:hAnsi="Calibri" w:cs="Calibri"/>
          <w:sz w:val="22"/>
          <w:szCs w:val="22"/>
        </w:rPr>
        <w:t xml:space="preserve">Vaccine-attributable non-fatal SAE and death </w:t>
      </w:r>
      <w:r w:rsidRPr="00FF5804">
        <w:rPr>
          <w:rFonts w:ascii="Calibri" w:hAnsi="Calibri" w:cs="Calibri"/>
          <w:sz w:val="22"/>
          <w:szCs w:val="22"/>
        </w:rPr>
        <w:lastRenderedPageBreak/>
        <w:t xml:space="preserve">probabilities, </w:t>
      </w:r>
      <m:oMath>
        <m:sSub>
          <m:sSubPr>
            <m:ctrlPr>
              <w:rPr>
                <w:rFonts w:ascii="Cambria Math" w:hAnsi="Cambria Math" w:cs="Calibri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p</m:t>
            </m:r>
          </m:e>
          <m:sub>
            <m:r>
              <m:rPr>
                <m:nor/>
              </m:rPr>
              <w:rPr>
                <w:rFonts w:ascii="Calibri" w:hAnsi="Calibri" w:cs="Calibri"/>
                <w:sz w:val="22"/>
                <w:szCs w:val="22"/>
              </w:rPr>
              <m:t>SAE</m:t>
            </m:r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∣</m:t>
            </m:r>
            <m:r>
              <m:rPr>
                <m:nor/>
              </m:rPr>
              <w:rPr>
                <w:rFonts w:ascii="Calibri" w:hAnsi="Calibri" w:cs="Calibri"/>
                <w:sz w:val="22"/>
                <w:szCs w:val="22"/>
              </w:rPr>
              <m:t>vacc</m:t>
            </m:r>
            <m:r>
              <w:rPr>
                <w:rFonts w:ascii="Cambria Math" w:hAnsi="Cambria Math" w:cs="Calibri"/>
                <w:sz w:val="22"/>
                <w:szCs w:val="22"/>
              </w:rPr>
              <m:t>,a,k</m:t>
            </m:r>
          </m:sub>
        </m:sSub>
      </m:oMath>
      <w:r>
        <w:rPr>
          <w:rFonts w:ascii="Calibri" w:hAnsi="Calibri" w:cs="Calibri" w:hint="eastAsia"/>
          <w:sz w:val="22"/>
          <w:szCs w:val="22"/>
        </w:rPr>
        <w:t xml:space="preserve"> </w:t>
      </w:r>
      <w:r w:rsidRPr="00FF5804">
        <w:rPr>
          <w:rFonts w:ascii="Calibri" w:hAnsi="Calibri" w:cs="Calibri"/>
          <w:sz w:val="22"/>
          <w:szCs w:val="22"/>
        </w:rPr>
        <w:t>and</w:t>
      </w:r>
      <w:r>
        <w:rPr>
          <w:rFonts w:ascii="Calibri" w:hAnsi="Calibri" w:cs="Calibri" w:hint="eastAsia"/>
          <w:sz w:val="22"/>
          <w:szCs w:val="22"/>
        </w:rPr>
        <w:t xml:space="preserve"> </w:t>
      </w:r>
      <w:r w:rsidRPr="00FF5804">
        <w:rPr>
          <w:rFonts w:ascii="Calibri" w:hAnsi="Calibri" w:cs="Calibr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p</m:t>
            </m:r>
          </m:e>
          <m:sub>
            <m:r>
              <m:rPr>
                <m:nor/>
              </m:rPr>
              <w:rPr>
                <w:rFonts w:ascii="Calibri" w:hAnsi="Calibri" w:cs="Calibri"/>
                <w:sz w:val="22"/>
                <w:szCs w:val="22"/>
              </w:rPr>
              <m:t>death</m:t>
            </m:r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∣</m:t>
            </m:r>
            <m:r>
              <m:rPr>
                <m:nor/>
              </m:rPr>
              <w:rPr>
                <w:rFonts w:ascii="Calibri" w:hAnsi="Calibri" w:cs="Calibri"/>
                <w:sz w:val="22"/>
                <w:szCs w:val="22"/>
              </w:rPr>
              <m:t>vacc</m:t>
            </m:r>
            <m:r>
              <w:rPr>
                <w:rFonts w:ascii="Cambria Math" w:hAnsi="Cambria Math" w:cs="Calibri"/>
                <w:sz w:val="22"/>
                <w:szCs w:val="22"/>
              </w:rPr>
              <m:t>,a,k</m:t>
            </m:r>
          </m:sub>
        </m:sSub>
      </m:oMath>
      <w:r w:rsidRPr="00FF5804">
        <w:rPr>
          <w:rFonts w:ascii="Calibri" w:hAnsi="Calibri" w:cs="Calibri"/>
          <w:sz w:val="22"/>
          <w:szCs w:val="22"/>
        </w:rPr>
        <w:t>, were sampled from age-specific Jeffreys Beta distributions derived from the FDA suspension memo linelist. Vaccine-attributable SAEs and deaths per 10,000 travellers are</w:t>
      </w:r>
    </w:p>
    <w:p w14:paraId="10951B96" w14:textId="77777777" w:rsidR="00950B91" w:rsidRPr="008312B4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SAE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>=10,000 ∙[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nonfatal_sae|vacc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base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+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death|vacc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base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>]</m:t>
          </m:r>
        </m:oMath>
      </m:oMathPara>
    </w:p>
    <w:p w14:paraId="43501120" w14:textId="77777777" w:rsidR="00950B91" w:rsidRPr="00B42034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</w:p>
    <w:p w14:paraId="71ADC4F9" w14:textId="77777777" w:rsidR="00950B91" w:rsidRPr="008312B4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Death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=10,000 ∙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death|vacc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base</m:t>
              </m:r>
            </m:sup>
          </m:sSubSup>
          <m:r>
            <w:rPr>
              <w:rFonts w:ascii="Cambria Math" w:eastAsiaTheme="majorEastAsia" w:hAnsi="Cambria Math" w:cs="Calibri"/>
              <w:sz w:val="22"/>
              <w:szCs w:val="22"/>
            </w:rPr>
            <m:t>(a,k)</m:t>
          </m:r>
        </m:oMath>
      </m:oMathPara>
    </w:p>
    <w:p w14:paraId="326A882F" w14:textId="77777777" w:rsidR="00950B91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</w:p>
    <w:p w14:paraId="3BF73323" w14:textId="77777777" w:rsidR="00950B91" w:rsidRPr="00DE566E" w:rsidRDefault="00950B91" w:rsidP="00950B91">
      <w:pPr>
        <w:rPr>
          <w:rFonts w:ascii="Cambria" w:hAnsi="Cambria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SupPr>
            <m:e>
              <m:r>
                <m:rPr>
                  <m:nor/>
                </m:rPr>
                <w:rPr>
                  <w:rFonts w:ascii="Cambria" w:hAnsi="Cambria" w:cs="Calibri"/>
                  <w:sz w:val="22"/>
                  <w:szCs w:val="22"/>
                </w:rPr>
                <m:t>DALY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m:rPr>
                  <m:nor/>
                </m:rPr>
                <w:rPr>
                  <w:rFonts w:ascii="Cambria" w:hAnsi="Cambria" w:cs="Calibri"/>
                  <w:sz w:val="22"/>
                  <w:szCs w:val="22"/>
                </w:rPr>
                <m:t>vacc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>(a,k)=</m:t>
          </m:r>
          <m:sSubSup>
            <m:sSubSup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SupPr>
            <m:e>
              <m:r>
                <m:rPr>
                  <m:nor/>
                </m:rPr>
                <w:rPr>
                  <w:rFonts w:ascii="Cambria" w:hAnsi="Cambria" w:cs="Calibri"/>
                  <w:sz w:val="22"/>
                  <w:szCs w:val="22"/>
                </w:rPr>
                <m:t>SAE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m:rPr>
                  <m:nor/>
                </m:rPr>
                <w:rPr>
                  <w:rFonts w:ascii="Cambria" w:hAnsi="Cambria" w:cs="Calibri"/>
                  <w:sz w:val="22"/>
                  <w:szCs w:val="22"/>
                </w:rPr>
                <m:t>vacc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>(a,k)⋅d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H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" w:hAnsi="Cambria" w:cs="Calibri"/>
                  <w:sz w:val="22"/>
                  <w:szCs w:val="22"/>
                </w:rPr>
                <m:t>acute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+</m:t>
          </m:r>
          <m:sSubSup>
            <m:sSubSup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SupPr>
            <m:e>
              <m:r>
                <m:rPr>
                  <m:nor/>
                </m:rPr>
                <w:rPr>
                  <w:rFonts w:ascii="Cambria" w:hAnsi="Cambria" w:cs="Calibri"/>
                  <w:sz w:val="22"/>
                  <w:szCs w:val="22"/>
                </w:rPr>
                <m:t>Death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10k</m:t>
              </m:r>
            </m:sub>
            <m:sup>
              <m:r>
                <m:rPr>
                  <m:nor/>
                </m:rPr>
                <w:rPr>
                  <w:rFonts w:ascii="Cambria" w:hAnsi="Cambria" w:cs="Calibri"/>
                  <w:sz w:val="22"/>
                  <w:szCs w:val="22"/>
                </w:rPr>
                <m:t>vacc</m:t>
              </m:r>
            </m:sup>
          </m:sSubSup>
          <m:r>
            <w:rPr>
              <w:rFonts w:ascii="Cambria Math" w:hAnsi="Cambria Math" w:cs="Calibri"/>
              <w:sz w:val="22"/>
              <w:szCs w:val="22"/>
            </w:rPr>
            <m:t>(a,k)⋅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</m:t>
              </m:r>
            </m:sub>
          </m:sSub>
        </m:oMath>
      </m:oMathPara>
    </w:p>
    <w:p w14:paraId="44C06836" w14:textId="77777777" w:rsidR="00950B91" w:rsidRPr="00950B91" w:rsidRDefault="00950B91" w:rsidP="00950B91">
      <w:pPr>
        <w:rPr>
          <w:rFonts w:ascii="Calibri" w:eastAsia="Malgun Gothic" w:hAnsi="Calibri" w:cs="Calibri" w:hint="eastAsia"/>
          <w:sz w:val="22"/>
          <w:szCs w:val="22"/>
          <w:lang w:eastAsia="ko-KR"/>
        </w:rPr>
      </w:pPr>
    </w:p>
    <w:p w14:paraId="2F4AD8CE" w14:textId="519B35ED" w:rsidR="00950B91" w:rsidRPr="00950B91" w:rsidRDefault="00950B91" w:rsidP="00950B91">
      <w:pPr>
        <w:rPr>
          <w:rFonts w:ascii="Cambria" w:eastAsia="Malgun Gothic" w:hAnsi="Cambria" w:cs="Calibri" w:hint="eastAsia"/>
          <w:sz w:val="22"/>
          <w:szCs w:val="22"/>
          <w:lang w:eastAsia="ko-KR"/>
        </w:rPr>
      </w:pPr>
      <w:r>
        <w:rPr>
          <w:rFonts w:ascii="Calibri" w:hAnsi="Calibri" w:cs="Calibri"/>
          <w:sz w:val="22"/>
          <w:szCs w:val="22"/>
        </w:rPr>
        <w:t xml:space="preserve">Because travellers were assumed to originate from non-endemic regions and to be fully seronegative, we report a single risk estimate for travel vaccination. </w:t>
      </w:r>
    </w:p>
    <w:p w14:paraId="7F2775F6" w14:textId="4A7093C6" w:rsidR="00950B91" w:rsidRPr="00950B91" w:rsidRDefault="00950B91" w:rsidP="00950B91">
      <w:pPr>
        <w:pStyle w:val="6"/>
        <w:rPr>
          <w:rFonts w:eastAsia="Malgun Gothic" w:hint="eastAsia"/>
          <w:lang w:eastAsia="ko-KR"/>
        </w:rPr>
      </w:pPr>
      <w:r>
        <w:rPr>
          <w:rFonts w:hint="eastAsia"/>
        </w:rPr>
        <w:t>Benefit risk ratio</w:t>
      </w:r>
    </w:p>
    <w:p w14:paraId="27E5550E" w14:textId="77777777" w:rsidR="00950B91" w:rsidRDefault="00950B91" w:rsidP="00950B9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The draw level BRR is computed for each outcome:</w:t>
      </w:r>
    </w:p>
    <w:p w14:paraId="23FCC923" w14:textId="77777777" w:rsidR="00950B91" w:rsidRPr="008A3F4D" w:rsidRDefault="00950B91" w:rsidP="00950B91">
      <w:pPr>
        <w:rPr>
          <w:rFonts w:ascii="Calibri" w:hAnsi="Calibri" w:cs="Calibri"/>
          <w:sz w:val="22"/>
          <w:szCs w:val="22"/>
        </w:rPr>
      </w:pPr>
    </w:p>
    <w:p w14:paraId="33BD0F65" w14:textId="77777777" w:rsidR="00950B91" w:rsidRPr="00F12B91" w:rsidRDefault="00950B91" w:rsidP="00950B91">
      <w:pPr>
        <w:spacing w:line="360" w:lineRule="auto"/>
        <w:jc w:val="center"/>
        <w:rPr>
          <w:rFonts w:ascii="Calibri" w:hAnsi="Calibri" w:cs="Calibri"/>
          <w:lang w:val="pt-BR"/>
        </w:rPr>
      </w:pPr>
      <m:oMathPara>
        <m:oMath>
          <m:sSubSup>
            <m:sSubSupPr>
              <m:ctrlPr>
                <w:rPr>
                  <w:rFonts w:ascii="Cambria Math" w:hAnsi="Cambria Math" w:cs="Calibri"/>
                </w:rPr>
              </m:ctrlPr>
            </m:sSubSupPr>
            <m:e>
              <m:r>
                <w:rPr>
                  <w:rFonts w:ascii="Cambria Math" w:hAnsi="Cambria Math" w:cs="Calibri"/>
                </w:rPr>
                <m:t>BRR</m:t>
              </m:r>
            </m:e>
            <m:sub>
              <m:r>
                <w:rPr>
                  <w:rFonts w:ascii="Cambria Math" w:hAnsi="Cambria Math" w:cs="Calibri"/>
                </w:rPr>
                <m:t>SAE</m:t>
              </m:r>
            </m:sub>
            <m:sup>
              <m:r>
                <w:rPr>
                  <w:rFonts w:ascii="Cambria Math" w:hAnsi="Cambria Math" w:cs="Calibri"/>
                </w:rPr>
                <m:t>10k</m:t>
              </m:r>
            </m:sup>
          </m:sSubSup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w:rPr>
                  <w:rFonts w:ascii="Cambria Math" w:hAnsi="Cambria Math" w:cs="Calibri"/>
                </w:rPr>
                <m:t>s</m:t>
              </m:r>
              <m:r>
                <w:rPr>
                  <w:rFonts w:ascii="Cambria Math" w:hAnsi="Cambria Math" w:cs="Calibri"/>
                  <w:color w:val="0F4761" w:themeColor="accent1" w:themeShade="BF"/>
                  <w:lang w:val="pt-BR"/>
                </w:rPr>
                <m:t>,</m:t>
              </m:r>
              <m:r>
                <w:rPr>
                  <w:rFonts w:ascii="Cambria Math" w:hAnsi="Cambria Math" w:cs="Calibri"/>
                </w:rPr>
                <m:t>a</m:t>
              </m:r>
              <m:r>
                <w:rPr>
                  <w:rFonts w:ascii="Cambria Math" w:hAnsi="Cambria Math" w:cs="Calibri"/>
                  <w:color w:val="0F4761" w:themeColor="accent1" w:themeShade="BF"/>
                  <w:lang w:val="pt-BR"/>
                </w:rPr>
                <m:t>,d,</m:t>
              </m:r>
              <m:r>
                <w:rPr>
                  <w:rFonts w:ascii="Cambria Math" w:hAnsi="Cambria Math" w:cs="Calibri"/>
                </w:rPr>
                <m:t>k</m:t>
              </m:r>
            </m:e>
          </m:d>
          <m:r>
            <w:rPr>
              <w:rFonts w:ascii="Cambria Math" w:hAnsi="Cambria Math" w:cs="Calibri"/>
              <w:color w:val="0F4761" w:themeColor="accent1" w:themeShade="BF"/>
              <w:lang w:val="pt-BR"/>
            </w:rPr>
            <m:t>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/>
                </w:rPr>
                <m:t>Benefi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sae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SAE</m:t>
                  </m:r>
                </m:e>
                <m:sub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10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vacc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den>
          </m:f>
          <m:r>
            <w:rPr>
              <w:rFonts w:ascii="Cambria Math" w:hAnsi="Cambria Math" w:cs="Calibri"/>
              <w:color w:val="0F4761" w:themeColor="accent1" w:themeShade="BF"/>
              <w:lang w:val="pt-BR"/>
            </w:rPr>
            <m:t xml:space="preserve"> </m:t>
          </m:r>
        </m:oMath>
      </m:oMathPara>
    </w:p>
    <w:p w14:paraId="77045AB3" w14:textId="77777777" w:rsidR="00950B91" w:rsidRDefault="00950B91" w:rsidP="00950B91">
      <w:pPr>
        <w:spacing w:line="360" w:lineRule="auto"/>
        <w:rPr>
          <w:rFonts w:ascii="Calibri" w:hAnsi="Calibri" w:cs="Calibri"/>
        </w:rPr>
      </w:pPr>
    </w:p>
    <w:p w14:paraId="7D186A07" w14:textId="77777777" w:rsidR="00950B91" w:rsidRDefault="00950B91" w:rsidP="00950B91">
      <w:pPr>
        <w:spacing w:line="360" w:lineRule="auto"/>
        <w:rPr>
          <w:rFonts w:ascii="Calibri" w:hAnsi="Calibri" w:cs="Calibri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</w:rPr>
              </m:ctrlPr>
            </m:sSubSupPr>
            <m:e>
              <m:r>
                <w:rPr>
                  <w:rFonts w:ascii="Cambria Math" w:hAnsi="Cambria Math" w:cs="Calibri"/>
                </w:rPr>
                <m:t>BRR</m:t>
              </m:r>
            </m:e>
            <m:sub>
              <m:r>
                <w:rPr>
                  <w:rFonts w:ascii="Cambria Math" w:hAnsi="Cambria Math" w:cs="Calibri"/>
                </w:rPr>
                <m:t>death</m:t>
              </m:r>
            </m:sub>
            <m:sup>
              <m:r>
                <w:rPr>
                  <w:rFonts w:ascii="Cambria Math" w:hAnsi="Cambria Math" w:cs="Calibri"/>
                </w:rPr>
                <m:t>10k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s</m:t>
              </m:r>
              <m:r>
                <w:rPr>
                  <w:rFonts w:ascii="Cambria Math" w:hAnsi="Cambria Math" w:cs="Calibri"/>
                  <w:lang w:val="pt-BR"/>
                </w:rPr>
                <m:t>,</m:t>
              </m:r>
              <m:r>
                <w:rPr>
                  <w:rFonts w:ascii="Cambria Math" w:hAnsi="Cambria Math" w:cs="Calibri"/>
                </w:rPr>
                <m:t>a</m:t>
              </m:r>
              <m:r>
                <w:rPr>
                  <w:rFonts w:ascii="Cambria Math" w:hAnsi="Cambria Math" w:cs="Calibri"/>
                  <w:lang w:val="pt-BR"/>
                </w:rPr>
                <m:t>,d,</m:t>
              </m:r>
              <m:r>
                <w:rPr>
                  <w:rFonts w:ascii="Cambria Math" w:hAnsi="Cambria Math" w:cs="Calibri"/>
                </w:rPr>
                <m:t>k</m:t>
              </m:r>
            </m:e>
          </m:d>
          <m:r>
            <w:rPr>
              <w:rFonts w:ascii="Cambria Math" w:hAnsi="Cambria Math" w:cs="Calibri"/>
              <w:lang w:val="pt-BR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Benefi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death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Death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10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vacc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den>
          </m:f>
        </m:oMath>
      </m:oMathPara>
    </w:p>
    <w:p w14:paraId="2CA8890D" w14:textId="77777777" w:rsidR="00950B91" w:rsidRDefault="00950B91" w:rsidP="00950B91">
      <w:pPr>
        <w:spacing w:line="360" w:lineRule="auto"/>
        <w:rPr>
          <w:rFonts w:ascii="Calibri" w:hAnsi="Calibri" w:cs="Calibri"/>
        </w:rPr>
      </w:pPr>
    </w:p>
    <w:p w14:paraId="589E90F6" w14:textId="77777777" w:rsidR="00950B91" w:rsidRDefault="00950B91" w:rsidP="00950B91">
      <w:pPr>
        <w:spacing w:line="360" w:lineRule="auto"/>
        <w:rPr>
          <w:rFonts w:ascii="Calibri" w:hAnsi="Calibri" w:cs="Calibri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</w:rPr>
              </m:ctrlPr>
            </m:sSubSupPr>
            <m:e>
              <m:r>
                <w:rPr>
                  <w:rFonts w:ascii="Cambria Math" w:hAnsi="Cambria Math" w:cs="Calibri"/>
                </w:rPr>
                <m:t>BRR</m:t>
              </m:r>
            </m:e>
            <m:sub>
              <m:r>
                <w:rPr>
                  <w:rFonts w:ascii="Cambria Math" w:hAnsi="Cambria Math" w:cs="Calibri"/>
                </w:rPr>
                <m:t>DALY</m:t>
              </m:r>
            </m:sub>
            <m:sup>
              <m:r>
                <w:rPr>
                  <w:rFonts w:ascii="Cambria Math" w:hAnsi="Cambria Math" w:cs="Calibri"/>
                </w:rPr>
                <m:t>10k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s</m:t>
              </m:r>
              <m:r>
                <w:rPr>
                  <w:rFonts w:ascii="Cambria Math" w:hAnsi="Cambria Math" w:cs="Calibri"/>
                  <w:lang w:val="pt-BR"/>
                </w:rPr>
                <m:t>,</m:t>
              </m:r>
              <m:r>
                <w:rPr>
                  <w:rFonts w:ascii="Cambria Math" w:hAnsi="Cambria Math" w:cs="Calibri"/>
                </w:rPr>
                <m:t>a</m:t>
              </m:r>
              <m:r>
                <w:rPr>
                  <w:rFonts w:ascii="Cambria Math" w:hAnsi="Cambria Math" w:cs="Calibri"/>
                  <w:lang w:val="pt-BR"/>
                </w:rPr>
                <m:t>,d,</m:t>
              </m:r>
              <m:r>
                <w:rPr>
                  <w:rFonts w:ascii="Cambria Math" w:hAnsi="Cambria Math" w:cs="Calibri"/>
                </w:rPr>
                <m:t>k</m:t>
              </m:r>
            </m:e>
          </m:d>
          <m:r>
            <w:rPr>
              <w:rFonts w:ascii="Cambria Math" w:hAnsi="Cambria Math" w:cs="Calibri"/>
              <w:lang w:val="pt-BR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Benefi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daly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DALY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10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vacc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a,k</m:t>
                  </m:r>
                </m:e>
              </m:d>
            </m:den>
          </m:f>
        </m:oMath>
      </m:oMathPara>
    </w:p>
    <w:p w14:paraId="30BE3E13" w14:textId="77777777" w:rsidR="00950B91" w:rsidRPr="00950B91" w:rsidRDefault="00950B91" w:rsidP="00950B91">
      <w:pPr>
        <w:rPr>
          <w:rFonts w:ascii="Calibri" w:eastAsia="Malgun Gothic" w:hAnsi="Calibri" w:cs="Calibri" w:hint="eastAsia"/>
          <w:i/>
          <w:sz w:val="22"/>
          <w:szCs w:val="22"/>
          <w:lang w:eastAsia="ko-KR"/>
        </w:rPr>
      </w:pPr>
    </w:p>
    <w:p w14:paraId="0D6026D6" w14:textId="77777777" w:rsidR="00950B91" w:rsidRDefault="00950B91" w:rsidP="00950B91">
      <w:pPr>
        <w:rPr>
          <w:rFonts w:ascii="Calibri" w:hAnsi="Calibri" w:cs="Calibri"/>
          <w:i/>
          <w:sz w:val="22"/>
          <w:szCs w:val="22"/>
        </w:rPr>
      </w:pPr>
    </w:p>
    <w:p w14:paraId="7E0F8B30" w14:textId="77777777" w:rsidR="00950B91" w:rsidRDefault="00950B91" w:rsidP="00950B91">
      <w:pPr>
        <w:rPr>
          <w:rFonts w:eastAsia="Malgun Gothic"/>
          <w:lang w:eastAsia="ko-KR"/>
        </w:rPr>
      </w:pPr>
    </w:p>
    <w:p w14:paraId="6CD73C0F" w14:textId="77777777" w:rsidR="00950B91" w:rsidRDefault="00950B91" w:rsidP="00950B91">
      <w:pPr>
        <w:rPr>
          <w:rFonts w:eastAsia="Malgun Gothic"/>
          <w:lang w:eastAsia="ko-KR"/>
        </w:rPr>
        <w:sectPr w:rsidR="00950B91" w:rsidSect="00950B91">
          <w:pgSz w:w="11906" w:h="16838"/>
          <w:pgMar w:top="1985" w:right="1701" w:bottom="1701" w:left="1701" w:header="720" w:footer="720" w:gutter="0"/>
          <w:lnNumType w:countBy="5" w:restart="continuous"/>
          <w:cols w:space="720"/>
          <w:docGrid w:linePitch="360"/>
        </w:sectPr>
      </w:pPr>
    </w:p>
    <w:p w14:paraId="1827F8B3" w14:textId="0CCB9B2D" w:rsidR="00950B91" w:rsidRDefault="00950B91" w:rsidP="00950B91">
      <w:pPr>
        <w:pStyle w:val="figure"/>
        <w:rPr>
          <w:rFonts w:eastAsiaTheme="minorEastAsia"/>
        </w:rPr>
      </w:pPr>
      <w:r>
        <w:rPr>
          <w:rFonts w:eastAsiaTheme="minorEastAsia" w:hint="eastAsia"/>
        </w:rPr>
        <w:lastRenderedPageBreak/>
        <w:t>Benefit risk assessment equations for outbreak response immunisation</w:t>
      </w:r>
    </w:p>
    <w:p w14:paraId="507C9835" w14:textId="77777777" w:rsidR="00950B91" w:rsidRDefault="00950B91" w:rsidP="00950B91">
      <w:pPr>
        <w:pStyle w:val="6"/>
      </w:pPr>
      <w:r>
        <w:rPr>
          <w:rFonts w:hint="eastAsia"/>
        </w:rPr>
        <w:t xml:space="preserve">Benefit: outcomes averted per 10,000 vaccinated individuals </w:t>
      </w:r>
    </w:p>
    <w:p w14:paraId="56E81766" w14:textId="77777777" w:rsidR="00950B91" w:rsidRDefault="00950B91" w:rsidP="00950B91"/>
    <w:p w14:paraId="5FB9CB16" w14:textId="0615DBB3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 w:rsidRPr="000B14D2">
        <w:rPr>
          <w:rFonts w:ascii="Calibri" w:hAnsi="Calibri" w:cs="Calibri"/>
          <w:sz w:val="22"/>
          <w:szCs w:val="22"/>
        </w:rPr>
        <w:t>In outbreak setting, burden is obtained from</w:t>
      </w:r>
      <w:r>
        <w:rPr>
          <w:rFonts w:ascii="Calibri" w:hAnsi="Calibri" w:cs="Calibri" w:hint="eastAsia"/>
          <w:sz w:val="22"/>
          <w:szCs w:val="22"/>
        </w:rPr>
        <w:t xml:space="preserve"> age-structured</w:t>
      </w:r>
      <w:r w:rsidRPr="000B14D2">
        <w:rPr>
          <w:rFonts w:ascii="Calibri" w:hAnsi="Calibri" w:cs="Calibri"/>
          <w:sz w:val="22"/>
          <w:szCs w:val="22"/>
        </w:rPr>
        <w:t xml:space="preserve"> SEIRV </w:t>
      </w:r>
      <w:r>
        <w:rPr>
          <w:rFonts w:ascii="Calibri" w:hAnsi="Calibri" w:cs="Calibri" w:hint="eastAsia"/>
          <w:sz w:val="22"/>
          <w:szCs w:val="22"/>
        </w:rPr>
        <w:t xml:space="preserve">model </w:t>
      </w:r>
      <w:r w:rsidRPr="000B14D2">
        <w:rPr>
          <w:rFonts w:ascii="Calibri" w:hAnsi="Calibri" w:cs="Calibri"/>
          <w:sz w:val="22"/>
          <w:szCs w:val="22"/>
        </w:rPr>
        <w:t xml:space="preserve">simulations under counterfactual (no vaccination) and vaccination scenarios with </w:t>
      </w:r>
      <w:r>
        <w:rPr>
          <w:rFonts w:ascii="Calibri" w:hAnsi="Calibri" w:cs="Calibri" w:hint="eastAsia"/>
          <w:sz w:val="22"/>
          <w:szCs w:val="22"/>
        </w:rPr>
        <w:t xml:space="preserve">vaccine coverage. </w:t>
      </w:r>
    </w:p>
    <w:p w14:paraId="75B0F204" w14:textId="77777777" w:rsidR="00950B91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w:r>
        <w:rPr>
          <w:rFonts w:eastAsiaTheme="minorEastAsia" w:hint="eastAsia"/>
          <w:i w:val="0"/>
          <w:color w:val="auto"/>
        </w:rPr>
        <w:t xml:space="preserve">For each probabilistic draw </w:t>
      </w:r>
      <m:oMath>
        <m:r>
          <w:rPr>
            <w:rFonts w:ascii="Cambria Math" w:eastAsiaTheme="minorEastAsia" w:hAnsi="Cambria Math"/>
            <w:color w:val="auto"/>
          </w:rPr>
          <m:t>k</m:t>
        </m:r>
      </m:oMath>
      <w:r>
        <w:rPr>
          <w:rFonts w:eastAsiaTheme="minorEastAsia" w:hint="eastAsia"/>
          <w:i w:val="0"/>
          <w:color w:val="auto"/>
        </w:rPr>
        <w:t xml:space="preserve">,state </w:t>
      </w:r>
      <m:oMath>
        <m:r>
          <w:rPr>
            <w:rFonts w:ascii="Cambria Math" w:eastAsiaTheme="minorEastAsia" w:hAnsi="Cambria Math"/>
            <w:color w:val="auto"/>
          </w:rPr>
          <m:t>s</m:t>
        </m:r>
      </m:oMath>
      <w:r>
        <w:rPr>
          <w:rFonts w:eastAsiaTheme="minorEastAsia" w:hint="eastAsia"/>
          <w:i w:val="0"/>
          <w:color w:val="auto"/>
        </w:rPr>
        <w:t xml:space="preserve">, age group </w:t>
      </w:r>
      <m:oMath>
        <m:r>
          <w:rPr>
            <w:rFonts w:ascii="Cambria Math" w:eastAsiaTheme="minorEastAsia" w:hAnsi="Cambria Math"/>
            <w:color w:val="auto"/>
          </w:rPr>
          <m:t>a</m:t>
        </m:r>
      </m:oMath>
      <w:r>
        <w:rPr>
          <w:rFonts w:eastAsiaTheme="minorEastAsia" w:hint="eastAsia"/>
          <w:i w:val="0"/>
          <w:color w:val="auto"/>
        </w:rPr>
        <w:t xml:space="preserve">, Vaccine protection mechanism </w:t>
      </w:r>
      <m:oMath>
        <m:r>
          <w:rPr>
            <w:rFonts w:ascii="Cambria Math" w:eastAsiaTheme="minorEastAsia" w:hAnsi="Cambria Math"/>
            <w:color w:val="auto"/>
          </w:rPr>
          <m:t>v,</m:t>
        </m:r>
      </m:oMath>
      <w:r>
        <w:rPr>
          <w:rFonts w:eastAsiaTheme="minorEastAsia" w:hint="eastAsia"/>
          <w:i w:val="0"/>
          <w:color w:val="auto"/>
        </w:rPr>
        <w:t xml:space="preserve"> the estimated benefit is the difference in true disease burden between pre- and post- vaccination states, expressed per 10,000 vaccinated individuals. </w:t>
      </w:r>
    </w:p>
    <w:p w14:paraId="20417A4B" w14:textId="77777777" w:rsidR="00950B91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w:r>
        <w:rPr>
          <w:rFonts w:eastAsiaTheme="minorEastAsia" w:hint="eastAsia"/>
          <w:i w:val="0"/>
          <w:color w:val="auto"/>
        </w:rPr>
        <w:t xml:space="preserve">True symptomatic burden </w:t>
      </w:r>
      <m:oMath>
        <m:sSubSup>
          <m:sSubSupPr>
            <m:ctrlPr>
              <w:rPr>
                <w:rFonts w:ascii="Cambria Math" w:eastAsiaTheme="minorEastAsia" w:hAnsi="Cambria Math"/>
                <w:color w:val="auto"/>
              </w:rPr>
            </m:ctrlPr>
          </m:sSubSupPr>
          <m:e>
            <m:r>
              <w:rPr>
                <w:rFonts w:ascii="Cambria Math" w:eastAsiaTheme="minorEastAsia" w:hAnsi="Cambria Math"/>
                <w:color w:val="auto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auto"/>
              </w:rPr>
              <m:t>a,t,s,l</m:t>
            </m:r>
          </m:sub>
          <m:sup>
            <m:r>
              <w:rPr>
                <w:rFonts w:ascii="Cambria Math" w:eastAsiaTheme="minorEastAsia" w:hAnsi="Cambria Math"/>
                <w:color w:val="auto"/>
              </w:rPr>
              <m:t xml:space="preserve">true_symp </m:t>
            </m:r>
          </m:sup>
        </m:sSubSup>
      </m:oMath>
      <w:r>
        <w:rPr>
          <w:rFonts w:eastAsiaTheme="minorEastAsia" w:hint="eastAsia"/>
          <w:i w:val="0"/>
          <w:color w:val="auto"/>
        </w:rPr>
        <w:t xml:space="preserve"> was estimated by applying model-predicted state-specific reporting rates </w:t>
      </w:r>
      <m:oMath>
        <m:sSub>
          <m:sSubPr>
            <m:ctrlPr>
              <w:rPr>
                <w:rFonts w:ascii="Cambria Math" w:eastAsiaTheme="minorEastAsia" w:hAnsi="Cambria Math"/>
                <w:color w:val="auto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</w:rPr>
              <m:t>ρ</m:t>
            </m:r>
          </m:e>
          <m:sub>
            <m:r>
              <w:rPr>
                <w:rFonts w:ascii="Cambria Math" w:eastAsiaTheme="minorEastAsia" w:hAnsi="Cambria Math"/>
                <w:color w:val="auto"/>
              </w:rPr>
              <m:t>s,k</m:t>
            </m:r>
          </m:sub>
        </m:sSub>
      </m:oMath>
      <w:r>
        <w:rPr>
          <w:rFonts w:eastAsiaTheme="minorEastAsia" w:hint="eastAsia"/>
          <w:i w:val="0"/>
          <w:color w:val="auto"/>
        </w:rPr>
        <w:t xml:space="preserve"> estimated </w:t>
      </w:r>
      <w:r>
        <w:rPr>
          <w:rFonts w:eastAsiaTheme="minorEastAsia"/>
          <w:i w:val="0"/>
          <w:color w:val="auto"/>
        </w:rPr>
        <w:t>during</w:t>
      </w:r>
      <w:r>
        <w:rPr>
          <w:rFonts w:eastAsiaTheme="minorEastAsia" w:hint="eastAsia"/>
          <w:i w:val="0"/>
          <w:color w:val="auto"/>
        </w:rPr>
        <w:t xml:space="preserve"> model fitting. </w:t>
      </w:r>
    </w:p>
    <w:p w14:paraId="0AFD4606" w14:textId="77777777" w:rsidR="00950B91" w:rsidRPr="003839B0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color w:val="auto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auto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a,t,s,l</m:t>
              </m:r>
            </m:sub>
            <m:sup>
              <m:r>
                <w:rPr>
                  <w:rFonts w:ascii="Cambria Math" w:eastAsiaTheme="minorEastAsia" w:hAnsi="Cambria Math"/>
                  <w:color w:val="auto"/>
                </w:rPr>
                <m:t xml:space="preserve">true_symp </m:t>
              </m:r>
            </m:sup>
          </m:sSubSup>
          <m:r>
            <w:rPr>
              <w:rFonts w:ascii="Cambria Math" w:eastAsiaTheme="minorEastAsia" w:hAnsi="Cambria Math"/>
              <w:color w:val="aut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auto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color w:val="auto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uto"/>
                    </w:rPr>
                    <m:t>a,t,s,k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auto"/>
                    </w:rPr>
                    <m:t>symp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uto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uto"/>
                    </w:rPr>
                    <m:t>s,k</m:t>
                  </m:r>
                </m:sub>
              </m:sSub>
            </m:den>
          </m:f>
        </m:oMath>
      </m:oMathPara>
    </w:p>
    <w:p w14:paraId="3173FF31" w14:textId="77777777" w:rsidR="00950B91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w:r>
        <w:rPr>
          <w:rFonts w:eastAsiaTheme="minorEastAsia" w:hint="eastAsia"/>
          <w:i w:val="0"/>
          <w:color w:val="auto"/>
        </w:rPr>
        <w:t>For age group a, hospitalisations and deaths from chikungunya infections are estimated as:</w:t>
      </w:r>
    </w:p>
    <w:p w14:paraId="4A11B851" w14:textId="77777777" w:rsidR="00950B91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Hosp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 xml:space="preserve">= </m:t>
          </m:r>
          <m:sSubSup>
            <m:sSubSupPr>
              <m:ctrlPr>
                <w:rPr>
                  <w:rFonts w:ascii="Cambria Math" w:eastAsiaTheme="minorEastAsia" w:hAnsi="Cambria Math"/>
                  <w:color w:val="auto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auto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  <m:sup>
              <m:r>
                <w:rPr>
                  <w:rFonts w:ascii="Cambria Math" w:eastAsiaTheme="minorEastAsia" w:hAnsi="Cambria Math"/>
                  <w:color w:val="auto"/>
                </w:rPr>
                <m:t>symp</m:t>
              </m:r>
            </m:sup>
          </m:sSubSup>
          <m:r>
            <w:rPr>
              <w:rFonts w:ascii="Cambria Math" w:eastAsiaTheme="minorEastAsia" w:hAnsi="Cambria Math"/>
              <w:color w:val="auto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</m:t>
              </m:r>
            </m:sub>
          </m:sSub>
        </m:oMath>
      </m:oMathPara>
    </w:p>
    <w:p w14:paraId="24D8DA23" w14:textId="77777777" w:rsidR="00950B91" w:rsidRPr="00753E74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m:oMathPara>
        <m:oMath>
          <m:r>
            <w:rPr>
              <w:rFonts w:ascii="Cambria Math" w:eastAsiaTheme="minorEastAsia" w:hAnsi="Cambria Math"/>
              <w:color w:val="auto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onhosp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color w:val="auto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auto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  <m:sup>
              <m:r>
                <w:rPr>
                  <w:rFonts w:ascii="Cambria Math" w:eastAsiaTheme="minorEastAsia" w:hAnsi="Cambria Math"/>
                  <w:color w:val="auto"/>
                </w:rPr>
                <m:t>symp</m:t>
              </m:r>
            </m:sup>
          </m:sSubSup>
          <m:r>
            <w:rPr>
              <w:rFonts w:ascii="Cambria Math" w:eastAsiaTheme="minorEastAsia" w:hAnsi="Cambria Math"/>
              <w:color w:val="auto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(1-</m:t>
              </m:r>
              <m:r>
                <w:rPr>
                  <w:rFonts w:ascii="Cambria Math" w:eastAsiaTheme="minorEastAsia" w:hAnsi="Cambria Math"/>
                  <w:color w:val="auto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 xml:space="preserve">)   </m:t>
          </m:r>
        </m:oMath>
      </m:oMathPara>
    </w:p>
    <w:p w14:paraId="2E353AF8" w14:textId="77777777" w:rsidR="00950B91" w:rsidRPr="007105D7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m:oMathPara>
        <m:oMath>
          <m:r>
            <w:rPr>
              <w:rFonts w:ascii="Cambria Math" w:eastAsiaTheme="minorEastAsia" w:hAnsi="Cambria Math"/>
              <w:color w:val="auto"/>
            </w:rPr>
            <m:t>Suba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color w:val="auto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auto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  <m:sup>
              <m:r>
                <w:rPr>
                  <w:rFonts w:ascii="Cambria Math" w:eastAsiaTheme="minorEastAsia" w:hAnsi="Cambria Math"/>
                  <w:color w:val="auto"/>
                </w:rPr>
                <m:t>symp</m:t>
              </m:r>
            </m:sup>
          </m:sSubSup>
          <m:r>
            <w:rPr>
              <w:rFonts w:ascii="Cambria Math" w:eastAsiaTheme="minorEastAsia" w:hAnsi="Cambria Math"/>
              <w:color w:val="auto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sub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 xml:space="preserve">   </m:t>
          </m:r>
        </m:oMath>
      </m:oMathPara>
    </w:p>
    <w:p w14:paraId="4B241628" w14:textId="77777777" w:rsidR="00950B91" w:rsidRPr="00C15F71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Chr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color w:val="auto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auto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  <m:sup>
              <m:r>
                <w:rPr>
                  <w:rFonts w:ascii="Cambria Math" w:eastAsiaTheme="minorEastAsia" w:hAnsi="Cambria Math"/>
                  <w:color w:val="auto"/>
                </w:rPr>
                <m:t>symp</m:t>
              </m:r>
            </m:sup>
          </m:sSubSup>
          <m:r>
            <w:rPr>
              <w:rFonts w:ascii="Cambria Math" w:eastAsiaTheme="minorEastAsia" w:hAnsi="Cambria Math"/>
              <w:color w:val="auto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chr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 xml:space="preserve">   </m:t>
          </m:r>
        </m:oMath>
      </m:oMathPara>
    </w:p>
    <w:p w14:paraId="4272E31C" w14:textId="77777777" w:rsidR="00950B91" w:rsidRPr="008A3F4D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Death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Hosp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 xml:space="preserve"> ∙  </m:t>
          </m:r>
          <m:sSubSup>
            <m:sSubSupPr>
              <m:ctrlPr>
                <w:rPr>
                  <w:rFonts w:ascii="Cambria Math" w:eastAsiaTheme="minorEastAsia" w:hAnsi="Cambria Math"/>
                  <w:color w:val="auto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auto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color w:val="auto"/>
                </w:rPr>
                <m:t>H</m:t>
              </m:r>
            </m:sup>
          </m:sSubSup>
          <m:r>
            <w:rPr>
              <w:rFonts w:ascii="Cambria Math" w:eastAsiaTheme="minorEastAsia" w:hAnsi="Cambria Math"/>
              <w:color w:val="auto"/>
            </w:rPr>
            <m:t>+N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onhosp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 xml:space="preserve">∙  </m:t>
          </m:r>
          <m:sSubSup>
            <m:sSubSupPr>
              <m:ctrlPr>
                <w:rPr>
                  <w:rFonts w:ascii="Cambria Math" w:eastAsiaTheme="minorEastAsia" w:hAnsi="Cambria Math"/>
                  <w:color w:val="auto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auto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color w:val="auto"/>
                </w:rPr>
                <m:t>NH</m:t>
              </m:r>
            </m:sup>
          </m:sSubSup>
        </m:oMath>
      </m:oMathPara>
    </w:p>
    <w:p w14:paraId="4C7F7633" w14:textId="77777777" w:rsidR="00950B91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w:r>
        <w:rPr>
          <w:rFonts w:eastAsiaTheme="minorEastAsia"/>
          <w:i w:val="0"/>
          <w:color w:val="auto"/>
        </w:rPr>
        <w:t>W</w:t>
      </w:r>
      <w:r>
        <w:rPr>
          <w:rFonts w:eastAsiaTheme="minorEastAsia" w:hint="eastAsia"/>
          <w:i w:val="0"/>
          <w:color w:val="auto"/>
        </w:rPr>
        <w:t xml:space="preserve">here  </w:t>
      </w:r>
      <m:oMath>
        <m:sSub>
          <m:sSubPr>
            <m:ctrlPr>
              <w:rPr>
                <w:rFonts w:ascii="Cambria Math" w:eastAsiaTheme="minorEastAsia" w:hAnsi="Cambria Math"/>
                <w:color w:val="auto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</w:rPr>
              <m:t>h</m:t>
            </m:r>
          </m:e>
          <m:sub>
            <m:r>
              <w:rPr>
                <w:rFonts w:ascii="Cambria Math" w:eastAsiaTheme="minorEastAsia" w:hAnsi="Cambria Math"/>
                <w:color w:val="auto"/>
              </w:rPr>
              <m:t>a</m:t>
            </m:r>
          </m:sub>
        </m:sSub>
      </m:oMath>
      <w:r>
        <w:rPr>
          <w:rFonts w:eastAsiaTheme="minorEastAsia" w:hint="eastAsia"/>
          <w:i w:val="0"/>
          <w:color w:val="auto"/>
        </w:rPr>
        <w:t xml:space="preserve"> is the age-specific hospitalisation rate given symptomatic infection, and </w:t>
      </w:r>
      <m:oMath>
        <m:sSubSup>
          <m:sSubSupPr>
            <m:ctrlPr>
              <w:rPr>
                <w:rFonts w:ascii="Cambria Math" w:eastAsiaTheme="minorEastAsia" w:hAnsi="Cambria Math"/>
                <w:color w:val="auto"/>
              </w:rPr>
            </m:ctrlPr>
          </m:sSubSupPr>
          <m:e>
            <m:r>
              <w:rPr>
                <w:rFonts w:ascii="Cambria Math" w:eastAsiaTheme="minorEastAsia" w:hAnsi="Cambria Math"/>
                <w:color w:val="auto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auto"/>
              </w:rPr>
              <m:t>a</m:t>
            </m:r>
          </m:sub>
          <m:sup>
            <m:r>
              <w:rPr>
                <w:rFonts w:ascii="Cambria Math" w:eastAsiaTheme="minorEastAsia" w:hAnsi="Cambria Math"/>
                <w:color w:val="auto"/>
              </w:rPr>
              <m:t>H</m:t>
            </m:r>
          </m:sup>
        </m:sSubSup>
        <m:r>
          <w:rPr>
            <w:rFonts w:ascii="Cambria Math" w:eastAsiaTheme="minorEastAsia" w:hAnsi="Cambria Math"/>
            <w:color w:val="auto"/>
          </w:rPr>
          <m:t>,</m:t>
        </m:r>
      </m:oMath>
      <w:r>
        <w:rPr>
          <w:rFonts w:eastAsiaTheme="minorEastAsia" w:hint="eastAsia"/>
          <w:i w:val="0"/>
          <w:color w:val="auto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color w:val="auto"/>
              </w:rPr>
            </m:ctrlPr>
          </m:sSubSupPr>
          <m:e>
            <m:r>
              <w:rPr>
                <w:rFonts w:ascii="Cambria Math" w:eastAsiaTheme="minorEastAsia" w:hAnsi="Cambria Math"/>
                <w:color w:val="auto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auto"/>
              </w:rPr>
              <m:t>a</m:t>
            </m:r>
          </m:sub>
          <m:sup>
            <m:r>
              <w:rPr>
                <w:rFonts w:ascii="Cambria Math" w:eastAsiaTheme="minorEastAsia" w:hAnsi="Cambria Math"/>
                <w:color w:val="auto"/>
              </w:rPr>
              <m:t>NH</m:t>
            </m:r>
          </m:sup>
        </m:sSubSup>
      </m:oMath>
      <w:r>
        <w:rPr>
          <w:rFonts w:eastAsiaTheme="minorEastAsia" w:hint="eastAsia"/>
          <w:i w:val="0"/>
          <w:color w:val="auto"/>
        </w:rPr>
        <w:t xml:space="preserve"> are the age-specific case fatality rates among hospitalised and non-hospitalised individuals, respectively. </w:t>
      </w:r>
    </w:p>
    <w:p w14:paraId="50E651E0" w14:textId="77777777" w:rsidR="00950B91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w:r>
        <w:rPr>
          <w:rFonts w:eastAsiaTheme="minorEastAsia" w:hint="eastAsia"/>
          <w:i w:val="0"/>
          <w:color w:val="auto"/>
        </w:rPr>
        <w:t>Serious adverse events (SAEs) from chikungunya are defined as the sum of hospitalisations and deaths:</w:t>
      </w:r>
    </w:p>
    <w:p w14:paraId="2EDFE5ED" w14:textId="77777777" w:rsidR="00950B91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m:oMathPara>
        <m:oMath>
          <m:r>
            <w:rPr>
              <w:rFonts w:ascii="Cambria Math" w:eastAsiaTheme="minorEastAsia" w:hAnsi="Cambria Math"/>
              <w:color w:val="auto"/>
            </w:rPr>
            <m:t>SA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Hosp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color w:val="aut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</w:rPr>
                <m:t>Death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a,k</m:t>
              </m:r>
            </m:sub>
          </m:sSub>
          <m:r>
            <w:rPr>
              <w:rFonts w:ascii="Cambria Math" w:eastAsiaTheme="minorEastAsia" w:hAnsi="Cambria Math"/>
              <w:color w:val="auto"/>
            </w:rPr>
            <m:t xml:space="preserve"> </m:t>
          </m:r>
        </m:oMath>
      </m:oMathPara>
    </w:p>
    <w:p w14:paraId="1E949D0D" w14:textId="0F9A1FEC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color w:val="000000" w:themeColor="text1"/>
          <w:sz w:val="22"/>
          <w:szCs w:val="22"/>
          <w:lang w:eastAsia="ko-KR"/>
        </w:rPr>
      </w:pPr>
      <w:r w:rsidRPr="00E1131D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Chikungunya infection-related DALYs</w:t>
      </w:r>
      <w:r>
        <w:rPr>
          <w:rFonts w:ascii="Calibri" w:hAnsi="Calibri" w:cs="Calibri" w:hint="eastAsia"/>
          <w:color w:val="000000" w:themeColor="text1"/>
          <w:sz w:val="22"/>
          <w:szCs w:val="22"/>
        </w:rPr>
        <w:t xml:space="preserve"> </w:t>
      </w:r>
      <w:r w:rsidRPr="000C1A4B">
        <w:rPr>
          <w:rFonts w:ascii="Calibri" w:eastAsia="Calibri" w:hAnsi="Calibri" w:cs="Calibri"/>
          <w:color w:val="000000" w:themeColor="text1"/>
          <w:sz w:val="22"/>
          <w:szCs w:val="22"/>
        </w:rPr>
        <w:t>were calculated as the sum of years of life lost (YLL) and years lived with disability (YLD)</w:t>
      </w:r>
      <w:r>
        <w:rPr>
          <w:rFonts w:ascii="Calibri" w:hAnsi="Calibri" w:cs="Calibri" w:hint="eastAsia"/>
          <w:color w:val="000000" w:themeColor="text1"/>
          <w:sz w:val="22"/>
          <w:szCs w:val="22"/>
        </w:rPr>
        <w:t xml:space="preserve"> where YLD captures acute, subacute, and chronic disease phases. Chronic disease phases are divided into three phases based on duration of </w:t>
      </w:r>
      <w:r>
        <w:rPr>
          <w:rFonts w:ascii="Calibri" w:hAnsi="Calibri" w:cs="Calibri"/>
          <w:color w:val="000000" w:themeColor="text1"/>
          <w:sz w:val="22"/>
          <w:szCs w:val="22"/>
        </w:rPr>
        <w:t>illness</w:t>
      </w:r>
      <w:r>
        <w:rPr>
          <w:rFonts w:ascii="Calibri" w:hAnsi="Calibri" w:cs="Calibri" w:hint="eastAsia"/>
          <w:color w:val="000000" w:themeColor="text1"/>
          <w:sz w:val="22"/>
          <w:szCs w:val="22"/>
        </w:rPr>
        <w:t xml:space="preserve"> (3-6 months, 6-12 months, 12-30 months). </w:t>
      </w:r>
    </w:p>
    <w:p w14:paraId="4659C1C8" w14:textId="77777777" w:rsidR="00950B91" w:rsidRPr="00F13D07" w:rsidRDefault="00950B91" w:rsidP="00950B91">
      <w:pPr>
        <w:spacing w:line="360" w:lineRule="auto"/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DAL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a,k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=YL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a,k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+YL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a,k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</m:oMath>
      </m:oMathPara>
    </w:p>
    <w:p w14:paraId="7C6BE91F" w14:textId="77777777" w:rsidR="00950B91" w:rsidRPr="004D1706" w:rsidRDefault="00950B91" w:rsidP="00950B91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2DB57CD" w14:textId="77777777" w:rsidR="00950B91" w:rsidRPr="00F13D07" w:rsidRDefault="00950B91" w:rsidP="00950B91">
      <w:pPr>
        <w:spacing w:line="360" w:lineRule="auto"/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YL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a,k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Death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a,k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43C431F5" w14:textId="77777777" w:rsidR="00950B91" w:rsidRPr="00EA579B" w:rsidRDefault="00950B91" w:rsidP="00950B91">
      <w:pPr>
        <w:spacing w:line="360" w:lineRule="auto"/>
        <w:rPr>
          <w:rFonts w:ascii="Calibri" w:hAnsi="Calibri" w:cs="Calibri"/>
        </w:rPr>
      </w:pPr>
    </w:p>
    <w:p w14:paraId="740DD5E8" w14:textId="26C75590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YL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a,k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Hosp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a,k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H </m:t>
                  </m:r>
                </m:sub>
              </m:sSub>
              <m:r>
                <w:rPr>
                  <w:rFonts w:ascii="Cambria Math" w:hAnsi="Cambria Math"/>
                </w:rPr>
                <m:t>+N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onhosp</m:t>
                  </m:r>
                </m:e>
                <m:sub>
                  <m:r>
                    <w:rPr>
                      <w:rFonts w:ascii="Cambria Math" w:hAnsi="Cambria Math"/>
                    </w:rPr>
                    <m:t>a.k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NH 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Subac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a,k </m:t>
              </m:r>
            </m:sub>
          </m:sSub>
          <m:r>
            <w:rPr>
              <w:rFonts w:ascii="Cambria Math" w:hAnsi="Cambria Math"/>
            </w:rPr>
            <m:t>​⋅d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>​⋅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>​+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Chr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a,k </m:t>
              </m:r>
            </m:sub>
          </m:sSub>
          <m:r>
            <w:rPr>
              <w:rFonts w:ascii="Cambria Math" w:hAnsi="Cambria Math"/>
            </w:rPr>
            <m:t>​⋅d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chr</m:t>
              </m:r>
            </m:sub>
          </m:sSub>
          <m:r>
            <w:rPr>
              <w:rFonts w:ascii="Cambria Math" w:hAnsi="Cambria Math"/>
            </w:rPr>
            <m:t>​⋅(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chr,6m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chr,12m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chr,30m</m:t>
              </m:r>
            </m:sub>
          </m:sSub>
          <m:r>
            <w:rPr>
              <w:rFonts w:ascii="Cambria Math" w:hAnsi="Cambria Math"/>
            </w:rPr>
            <m:t xml:space="preserve">​)  </m:t>
          </m:r>
        </m:oMath>
      </m:oMathPara>
    </w:p>
    <w:p w14:paraId="4EACA60A" w14:textId="7D6533E9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>
        <w:rPr>
          <w:rFonts w:ascii="Calibri" w:hAnsi="Calibri" w:cs="Calibri"/>
          <w:sz w:val="22"/>
          <w:szCs w:val="22"/>
        </w:rPr>
        <w:t>W</w:t>
      </w:r>
      <w:r>
        <w:rPr>
          <w:rFonts w:ascii="Calibri" w:hAnsi="Calibri" w:cs="Calibri" w:hint="eastAsia"/>
          <w:sz w:val="22"/>
          <w:szCs w:val="22"/>
        </w:rPr>
        <w:t xml:space="preserve">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  <w:color w:val="000000" w:themeColor="text1"/>
          <w:sz w:val="22"/>
          <w:szCs w:val="22"/>
        </w:rPr>
        <w:t xml:space="preserve">is the </w:t>
      </w:r>
      <w:r>
        <w:rPr>
          <w:rFonts w:ascii="Calibri" w:hAnsi="Calibri" w:cs="Calibri"/>
          <w:color w:val="000000" w:themeColor="text1"/>
          <w:sz w:val="22"/>
          <w:szCs w:val="22"/>
        </w:rPr>
        <w:t>remaining</w:t>
      </w:r>
      <w:r>
        <w:rPr>
          <w:rFonts w:ascii="Calibri" w:hAnsi="Calibri" w:cs="Calibri" w:hint="eastAsia"/>
          <w:color w:val="000000" w:themeColor="text1"/>
          <w:sz w:val="22"/>
          <w:szCs w:val="22"/>
        </w:rPr>
        <w:t xml:space="preserve"> life expectancy at death for each age group a;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dw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 xml:space="preserve">H </m:t>
            </m:r>
          </m:sub>
        </m:sSub>
      </m:oMath>
      <w:r>
        <w:rPr>
          <w:rFonts w:ascii="Calibri" w:hAnsi="Calibri" w:cs="Calibri" w:hint="eastAsia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dw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 xml:space="preserve">NH </m:t>
            </m:r>
          </m:sub>
        </m:sSub>
      </m:oMath>
      <w:r>
        <w:rPr>
          <w:rFonts w:ascii="Calibri" w:hAnsi="Calibri" w:cs="Calibri" w:hint="eastAsia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dw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 xml:space="preserve">chr </m:t>
            </m:r>
          </m:sub>
        </m:sSub>
      </m:oMath>
      <w:r>
        <w:rPr>
          <w:rFonts w:ascii="Calibri" w:hAnsi="Calibri" w:cs="Calibri"/>
          <w:sz w:val="22"/>
          <w:szCs w:val="22"/>
        </w:rPr>
        <w:t>are</w:t>
      </w:r>
      <w:r>
        <w:rPr>
          <w:rFonts w:ascii="Calibri" w:hAnsi="Calibri" w:cs="Calibri" w:hint="eastAsia"/>
          <w:sz w:val="22"/>
          <w:szCs w:val="22"/>
        </w:rPr>
        <w:t xml:space="preserve"> disability weights for hospitalised, non-hospitalised, sub-acute, and chronic phases; </w:t>
      </w:r>
      <m:oMath>
        <m:r>
          <w:rPr>
            <w:rFonts w:ascii="Cambria Math" w:hAnsi="Cambria Math"/>
          </w:rPr>
          <m:t>d</m:t>
        </m:r>
      </m:oMath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  <w:sz w:val="22"/>
          <w:szCs w:val="22"/>
        </w:rPr>
        <w:t xml:space="preserve">denotes the corresponding durations of illness;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sub</m:t>
            </m:r>
          </m:sub>
        </m:sSub>
      </m:oMath>
      <w:r>
        <w:rPr>
          <w:rFonts w:ascii="Calibri" w:hAnsi="Calibri" w:cs="Calibri"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chr</m:t>
            </m:r>
          </m:sub>
        </m:sSub>
      </m:oMath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  <w:sz w:val="22"/>
          <w:szCs w:val="22"/>
        </w:rPr>
        <w:t xml:space="preserve">are proportions progressing to sub-acute and chronic phases. </w:t>
      </w:r>
    </w:p>
    <w:p w14:paraId="506A9C02" w14:textId="77777777" w:rsidR="00950B91" w:rsidRPr="00C15F71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w:r w:rsidRPr="00401CFA">
        <w:rPr>
          <w:rFonts w:eastAsiaTheme="minorEastAsia"/>
          <w:i w:val="0"/>
          <w:color w:val="auto"/>
        </w:rPr>
        <w:t>The benefit per 10,000 vaccinated individuals is:</w:t>
      </w:r>
    </w:p>
    <w:p w14:paraId="1F68169C" w14:textId="4953A6F5" w:rsidR="00950B91" w:rsidRPr="00950B91" w:rsidRDefault="00950B91" w:rsidP="00950B91">
      <w:pPr>
        <w:pStyle w:val="figure"/>
        <w:rPr>
          <w:rFonts w:eastAsia="Malgun Gothic" w:hint="eastAsia"/>
          <w:color w:val="auto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color w:val="auto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auto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auto"/>
                </w:rPr>
                <m:t>10k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color w:val="auto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</w:rPr>
                    <m:t>v</m:t>
                  </m:r>
                </m:e>
              </m:d>
            </m:sup>
          </m:sSubSup>
          <m:d>
            <m:dPr>
              <m:ctrlPr>
                <w:rPr>
                  <w:rFonts w:ascii="Cambria Math" w:eastAsiaTheme="minorEastAsia" w:hAnsi="Cambria Math"/>
                  <w:color w:val="auto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auto"/>
                </w:rPr>
                <m:t>s,a,v,k</m:t>
              </m:r>
            </m:e>
          </m:d>
          <m:r>
            <w:rPr>
              <w:rFonts w:ascii="Cambria Math" w:eastAsiaTheme="minorEastAsia" w:hAnsi="Cambria Math"/>
              <w:color w:val="auto"/>
            </w:rPr>
            <m:t xml:space="preserve">=10,000 ∙  </m:t>
          </m:r>
          <m:f>
            <m:fPr>
              <m:ctrlPr>
                <w:rPr>
                  <w:rFonts w:ascii="Cambria Math" w:eastAsiaTheme="minorEastAsia" w:hAnsi="Cambria Math"/>
                  <w:color w:val="auto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color w:val="auto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uto"/>
                    </w:rPr>
                    <m:t>pre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auto"/>
                        </w:rPr>
                        <m:t>v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color w:val="auto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</w:rPr>
                    <m:t>s,a,v,k</m:t>
                  </m:r>
                </m:e>
              </m:d>
              <m:r>
                <w:rPr>
                  <w:rFonts w:ascii="Cambria Math" w:eastAsiaTheme="minorEastAsia" w:hAnsi="Cambria Math"/>
                  <w:color w:val="auto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/>
                      <w:color w:val="auto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uto"/>
                    </w:rPr>
                    <m:t>post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auto"/>
                        </w:rPr>
                        <m:t>v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color w:val="auto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</w:rPr>
                    <m:t>s,a,v,k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uto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uto"/>
                    </w:rPr>
                    <m:t>vacc</m:t>
                  </m:r>
                </m:sub>
              </m:sSub>
              <m:r>
                <w:rPr>
                  <w:rFonts w:ascii="Cambria Math" w:eastAsiaTheme="minorEastAsia" w:hAnsi="Cambria Math"/>
                  <w:color w:val="auto"/>
                </w:rPr>
                <m:t>(s,a,v)</m:t>
              </m:r>
            </m:den>
          </m:f>
        </m:oMath>
      </m:oMathPara>
    </w:p>
    <w:p w14:paraId="773819F0" w14:textId="77777777" w:rsidR="00950B91" w:rsidRDefault="00950B91" w:rsidP="00950B91">
      <w:pPr>
        <w:pStyle w:val="figure"/>
        <w:spacing w:line="360" w:lineRule="auto"/>
        <w:rPr>
          <w:rFonts w:eastAsiaTheme="minorEastAsia"/>
          <w:i w:val="0"/>
          <w:color w:val="auto"/>
        </w:rPr>
      </w:pPr>
      <w:r>
        <w:rPr>
          <w:rFonts w:eastAsiaTheme="minorEastAsia"/>
          <w:i w:val="0"/>
          <w:color w:val="auto"/>
        </w:rPr>
        <w:t>W</w:t>
      </w:r>
      <w:r>
        <w:rPr>
          <w:rFonts w:eastAsiaTheme="minorEastAsia" w:hint="eastAsia"/>
          <w:i w:val="0"/>
          <w:color w:val="auto"/>
        </w:rPr>
        <w:t xml:space="preserve">here, </w:t>
      </w:r>
      <m:oMath>
        <m:r>
          <w:rPr>
            <w:rFonts w:ascii="Cambria Math" w:eastAsiaTheme="minorEastAsia" w:hAnsi="Cambria Math"/>
            <w:color w:val="auto"/>
          </w:rPr>
          <m:t>Y</m:t>
        </m:r>
      </m:oMath>
      <w:r>
        <w:rPr>
          <w:rFonts w:eastAsiaTheme="minorEastAsia" w:hint="eastAsia"/>
          <w:i w:val="0"/>
          <w:color w:val="auto"/>
        </w:rPr>
        <w:t xml:space="preserve"> </w:t>
      </w:r>
      <m:oMath>
        <m:r>
          <w:rPr>
            <w:rFonts w:ascii="Cambria Math" w:eastAsiaTheme="minorEastAsia" w:hAnsi="Cambria Math"/>
            <w:color w:val="auto"/>
          </w:rPr>
          <m:t>∈{SAE, Death, DALY}</m:t>
        </m:r>
      </m:oMath>
      <w:r>
        <w:rPr>
          <w:rFonts w:eastAsiaTheme="minorEastAsia" w:hint="eastAsia"/>
          <w:i w:val="0"/>
          <w:color w:val="auto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/>
                <w:color w:val="auto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auto"/>
              </w:rPr>
              <m:t>vacc</m:t>
            </m:r>
          </m:sub>
        </m:sSub>
        <m:r>
          <w:rPr>
            <w:rFonts w:ascii="Cambria Math" w:eastAsiaTheme="minorEastAsia" w:hAnsi="Cambria Math"/>
            <w:color w:val="auto"/>
          </w:rPr>
          <m:t>(s,a,v)</m:t>
        </m:r>
      </m:oMath>
      <w:r>
        <w:rPr>
          <w:rFonts w:eastAsiaTheme="minorEastAsia" w:hint="eastAsia"/>
          <w:i w:val="0"/>
          <w:color w:val="auto"/>
        </w:rPr>
        <w:t xml:space="preserve"> is the </w:t>
      </w:r>
      <w:r w:rsidRPr="00582585">
        <w:rPr>
          <w:rFonts w:eastAsiaTheme="minorEastAsia" w:hint="eastAsia"/>
          <w:i w:val="0"/>
          <w:color w:val="auto"/>
        </w:rPr>
        <w:t>total number o</w:t>
      </w:r>
      <w:r w:rsidRPr="00F12B91">
        <w:rPr>
          <w:rFonts w:eastAsiaTheme="minorEastAsia" w:hint="eastAsia"/>
          <w:i w:val="0"/>
          <w:color w:val="auto"/>
        </w:rPr>
        <w:t xml:space="preserve">f </w:t>
      </w:r>
      <w:r>
        <w:rPr>
          <w:rFonts w:eastAsiaTheme="minorEastAsia"/>
          <w:i w:val="0"/>
          <w:color w:val="auto"/>
        </w:rPr>
        <w:t>vaccinated</w:t>
      </w:r>
      <w:r>
        <w:rPr>
          <w:rFonts w:eastAsiaTheme="minorEastAsia" w:hint="eastAsia"/>
          <w:i w:val="0"/>
          <w:color w:val="auto"/>
        </w:rPr>
        <w:t xml:space="preserve"> individuals in age group </w:t>
      </w:r>
      <m:oMath>
        <m:r>
          <w:rPr>
            <w:rFonts w:ascii="Cambria Math" w:eastAsiaTheme="minorEastAsia" w:hAnsi="Cambria Math"/>
            <w:color w:val="auto"/>
          </w:rPr>
          <m:t>a</m:t>
        </m:r>
      </m:oMath>
      <w:r>
        <w:rPr>
          <w:rFonts w:eastAsiaTheme="minorEastAsia" w:hint="eastAsia"/>
          <w:i w:val="0"/>
          <w:color w:val="auto"/>
        </w:rPr>
        <w:t xml:space="preserve"> under strategy</w:t>
      </w:r>
      <w:r w:rsidRPr="00582585">
        <w:rPr>
          <w:rFonts w:ascii="Cambria Math" w:eastAsiaTheme="minorEastAsia" w:hAnsi="Cambria Math"/>
          <w:color w:val="auto"/>
        </w:rPr>
        <w:t xml:space="preserve"> </w:t>
      </w:r>
      <m:oMath>
        <m:r>
          <w:rPr>
            <w:rFonts w:ascii="Cambria Math" w:eastAsiaTheme="minorEastAsia" w:hAnsi="Cambria Math"/>
            <w:color w:val="auto"/>
          </w:rPr>
          <m:t>v</m:t>
        </m:r>
      </m:oMath>
      <w:r>
        <w:rPr>
          <w:rFonts w:ascii="Cambria Math" w:eastAsiaTheme="minorEastAsia" w:hAnsi="Cambria Math" w:hint="eastAsia"/>
          <w:color w:val="auto"/>
        </w:rPr>
        <w:t xml:space="preserve">. </w:t>
      </w:r>
    </w:p>
    <w:p w14:paraId="3E480007" w14:textId="77777777" w:rsidR="00950B91" w:rsidRDefault="00950B91" w:rsidP="00950B91">
      <w:pPr>
        <w:pStyle w:val="figure"/>
        <w:spacing w:line="360" w:lineRule="auto"/>
        <w:rPr>
          <w:rFonts w:eastAsiaTheme="minorEastAsia"/>
          <w:i w:val="0"/>
          <w:iCs w:val="0"/>
          <w:color w:val="auto"/>
        </w:rPr>
      </w:pPr>
      <w:r>
        <w:rPr>
          <w:rFonts w:eastAsiaTheme="minorEastAsia" w:hint="eastAsia"/>
          <w:i w:val="0"/>
          <w:iCs w:val="0"/>
          <w:color w:val="auto"/>
        </w:rPr>
        <w:t>Vaccine protection mechanisms are: (</w:t>
      </w:r>
      <w:proofErr w:type="spellStart"/>
      <w:r>
        <w:rPr>
          <w:rFonts w:eastAsiaTheme="minorEastAsia" w:hint="eastAsia"/>
          <w:i w:val="0"/>
          <w:iCs w:val="0"/>
          <w:color w:val="auto"/>
        </w:rPr>
        <w:t>i</w:t>
      </w:r>
      <w:proofErr w:type="spellEnd"/>
      <w:r>
        <w:rPr>
          <w:rFonts w:eastAsiaTheme="minorEastAsia" w:hint="eastAsia"/>
          <w:i w:val="0"/>
          <w:iCs w:val="0"/>
          <w:color w:val="auto"/>
        </w:rPr>
        <w:t>) protection against disease only, and (ii) protection against both disease and infection. Vaccination strategy: (</w:t>
      </w:r>
      <w:proofErr w:type="spellStart"/>
      <w:r>
        <w:rPr>
          <w:rFonts w:eastAsiaTheme="minorEastAsia" w:hint="eastAsia"/>
          <w:i w:val="0"/>
          <w:iCs w:val="0"/>
          <w:color w:val="auto"/>
        </w:rPr>
        <w:t>i</w:t>
      </w:r>
      <w:proofErr w:type="spellEnd"/>
      <w:r>
        <w:rPr>
          <w:rFonts w:eastAsiaTheme="minorEastAsia" w:hint="eastAsia"/>
          <w:i w:val="0"/>
          <w:iCs w:val="0"/>
          <w:color w:val="auto"/>
        </w:rPr>
        <w:t xml:space="preserve">) vaccinating individuals aged 18-64 years only, and (ii) vaccinating older adults aged </w:t>
      </w:r>
      <w:r>
        <w:rPr>
          <w:rFonts w:eastAsiaTheme="minorEastAsia"/>
          <w:i w:val="0"/>
          <w:iCs w:val="0"/>
          <w:color w:val="auto"/>
        </w:rPr>
        <w:t>≥</w:t>
      </w:r>
      <w:r>
        <w:rPr>
          <w:rFonts w:eastAsiaTheme="minorEastAsia" w:hint="eastAsia"/>
          <w:i w:val="0"/>
          <w:iCs w:val="0"/>
          <w:color w:val="auto"/>
        </w:rPr>
        <w:t xml:space="preserve"> 65 years only. </w:t>
      </w:r>
    </w:p>
    <w:p w14:paraId="4A4CF28B" w14:textId="2DB9BB50" w:rsidR="00950B91" w:rsidRPr="00950B91" w:rsidRDefault="00950B91" w:rsidP="00950B91">
      <w:pPr>
        <w:pStyle w:val="6"/>
        <w:rPr>
          <w:rFonts w:eastAsia="Malgun Gothic" w:hint="eastAsia"/>
          <w:lang w:eastAsia="ko-KR"/>
        </w:rPr>
      </w:pPr>
      <w:r>
        <w:rPr>
          <w:rFonts w:hint="eastAsia"/>
        </w:rPr>
        <w:t>Risk scenarios</w:t>
      </w:r>
    </w:p>
    <w:p w14:paraId="0501A0F5" w14:textId="77777777" w:rsidR="00950B91" w:rsidRPr="00F12B91" w:rsidRDefault="00950B91" w:rsidP="00950B91">
      <w:pPr>
        <w:pStyle w:val="a6"/>
        <w:numPr>
          <w:ilvl w:val="0"/>
          <w:numId w:val="1"/>
        </w:numPr>
        <w:rPr>
          <w:rFonts w:ascii="Calibri" w:eastAsiaTheme="majorEastAsia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Baseline unadjusted risk </w:t>
      </w:r>
    </w:p>
    <w:p w14:paraId="515837D3" w14:textId="42A42204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>
        <w:rPr>
          <w:rFonts w:ascii="Calibri" w:hAnsi="Calibri" w:cs="Calibri" w:hint="eastAsia"/>
          <w:sz w:val="22"/>
          <w:szCs w:val="22"/>
        </w:rPr>
        <w:t xml:space="preserve">In the baseline unadjusted risk scenario, </w:t>
      </w:r>
      <w:r w:rsidRPr="00456E8F">
        <w:rPr>
          <w:rFonts w:ascii="Calibri" w:hAnsi="Calibri" w:cs="Calibri"/>
          <w:sz w:val="22"/>
          <w:szCs w:val="22"/>
        </w:rPr>
        <w:t xml:space="preserve">all vaccinated individuals regardless of serostatus at vaccination are assumed to face equal vaccine-attributable risk. </w:t>
      </w:r>
      <w:r>
        <w:rPr>
          <w:rFonts w:ascii="Calibri" w:hAnsi="Calibri" w:cs="Calibri" w:hint="eastAsia"/>
          <w:sz w:val="22"/>
          <w:szCs w:val="22"/>
        </w:rPr>
        <w:t xml:space="preserve"> </w:t>
      </w:r>
    </w:p>
    <w:p w14:paraId="1AED0659" w14:textId="052DA1C8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>
        <w:rPr>
          <w:rFonts w:ascii="Calibri" w:eastAsiaTheme="majorEastAsia" w:hAnsi="Calibri" w:cs="Calibri" w:hint="eastAsia"/>
          <w:sz w:val="22"/>
          <w:szCs w:val="22"/>
        </w:rPr>
        <w:lastRenderedPageBreak/>
        <w:t xml:space="preserve">Vaccine attributable non-fatal SAE and death probabilities, </w:t>
      </w:r>
      <m:oMath>
        <m:sSub>
          <m:sSubPr>
            <m:ctrlPr>
              <w:rPr>
                <w:rFonts w:ascii="Cambria Math" w:eastAsiaTheme="maj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="Calibri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ajorEastAsia" w:hAnsi="Cambria Math" w:cs="Calibri"/>
                <w:sz w:val="22"/>
                <w:szCs w:val="22"/>
              </w:rPr>
              <m:t>nonfatal_sae|vacc,a,k</m:t>
            </m:r>
          </m:sub>
        </m:sSub>
      </m:oMath>
      <w:r>
        <w:rPr>
          <w:rFonts w:ascii="Calibri" w:eastAsiaTheme="majorEastAsia" w:hAnsi="Calibri" w:cs="Calibri" w:hint="eastAsia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aj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="Calibri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ajorEastAsia" w:hAnsi="Cambria Math" w:cs="Calibri"/>
                <w:sz w:val="22"/>
                <w:szCs w:val="22"/>
              </w:rPr>
              <m:t>death|vacc,a,k</m:t>
            </m:r>
          </m:sub>
        </m:sSub>
      </m:oMath>
      <w:r>
        <w:rPr>
          <w:rFonts w:ascii="Calibri" w:eastAsiaTheme="majorEastAsia" w:hAnsi="Calibri" w:cs="Calibri" w:hint="eastAsia"/>
          <w:sz w:val="22"/>
          <w:szCs w:val="22"/>
        </w:rPr>
        <w:t>, were sampled from uncertainty distributions (</w:t>
      </w:r>
      <w:r w:rsidRPr="001E08FC">
        <w:rPr>
          <w:rFonts w:ascii="Calibri" w:eastAsiaTheme="majorEastAsia" w:hAnsi="Calibri" w:cs="Calibri"/>
          <w:i/>
          <w:iCs/>
          <w:color w:val="156082" w:themeColor="accent1"/>
          <w:sz w:val="21"/>
          <w:szCs w:val="21"/>
          <w:highlight w:val="yellow"/>
        </w:rPr>
        <w:fldChar w:fldCharType="begin"/>
      </w:r>
      <w:r w:rsidRPr="001E08FC">
        <w:rPr>
          <w:rFonts w:ascii="Calibri" w:eastAsiaTheme="majorEastAsia" w:hAnsi="Calibri" w:cs="Calibri"/>
          <w:i/>
          <w:iCs/>
          <w:color w:val="156082" w:themeColor="accent1"/>
          <w:sz w:val="21"/>
          <w:szCs w:val="21"/>
        </w:rPr>
        <w:instrText xml:space="preserve"> REF _Ref227597445 \h </w:instrText>
      </w:r>
      <w:r w:rsidRPr="001E08FC">
        <w:rPr>
          <w:rFonts w:ascii="Calibri" w:eastAsiaTheme="majorEastAsia" w:hAnsi="Calibri" w:cs="Calibri"/>
          <w:i/>
          <w:iCs/>
          <w:color w:val="156082" w:themeColor="accent1"/>
          <w:sz w:val="21"/>
          <w:szCs w:val="21"/>
          <w:highlight w:val="yellow"/>
        </w:rPr>
        <w:instrText xml:space="preserve"> \* MERGEFORMAT </w:instrText>
      </w:r>
      <w:r w:rsidRPr="001E08FC">
        <w:rPr>
          <w:rFonts w:ascii="Calibri" w:eastAsiaTheme="majorEastAsia" w:hAnsi="Calibri" w:cs="Calibri"/>
          <w:i/>
          <w:iCs/>
          <w:color w:val="156082" w:themeColor="accent1"/>
          <w:sz w:val="21"/>
          <w:szCs w:val="21"/>
          <w:highlight w:val="yellow"/>
        </w:rPr>
      </w:r>
      <w:r w:rsidRPr="001E08FC">
        <w:rPr>
          <w:rFonts w:ascii="Calibri" w:eastAsiaTheme="majorEastAsia" w:hAnsi="Calibri" w:cs="Calibri"/>
          <w:i/>
          <w:iCs/>
          <w:color w:val="156082" w:themeColor="accent1"/>
          <w:sz w:val="21"/>
          <w:szCs w:val="21"/>
          <w:highlight w:val="yellow"/>
        </w:rPr>
        <w:fldChar w:fldCharType="separate"/>
      </w:r>
      <w:r w:rsidRPr="001E08FC">
        <w:rPr>
          <w:rFonts w:ascii="Calibri" w:hAnsi="Calibri" w:cs="Calibri"/>
          <w:i/>
          <w:iCs/>
          <w:color w:val="156082" w:themeColor="accent1"/>
          <w:sz w:val="22"/>
          <w:szCs w:val="22"/>
        </w:rPr>
        <w:t xml:space="preserve">Table S </w:t>
      </w:r>
      <w:r w:rsidRPr="001E08FC">
        <w:rPr>
          <w:rFonts w:ascii="Calibri" w:hAnsi="Calibri" w:cs="Calibri"/>
          <w:i/>
          <w:iCs/>
          <w:noProof/>
          <w:color w:val="156082" w:themeColor="accent1"/>
          <w:sz w:val="22"/>
          <w:szCs w:val="22"/>
        </w:rPr>
        <w:t>1</w:t>
      </w:r>
      <w:r w:rsidRPr="001E08FC">
        <w:rPr>
          <w:rFonts w:ascii="Calibri" w:eastAsiaTheme="majorEastAsia" w:hAnsi="Calibri" w:cs="Calibri"/>
          <w:i/>
          <w:iCs/>
          <w:color w:val="156082" w:themeColor="accent1"/>
          <w:sz w:val="21"/>
          <w:szCs w:val="21"/>
          <w:highlight w:val="yellow"/>
        </w:rPr>
        <w:fldChar w:fldCharType="end"/>
      </w:r>
      <w:r w:rsidRPr="001E08FC">
        <w:rPr>
          <w:rFonts w:ascii="Calibri" w:eastAsiaTheme="majorEastAsia" w:hAnsi="Calibri" w:cs="Calibri"/>
          <w:i/>
          <w:iCs/>
          <w:color w:val="156082" w:themeColor="accent1"/>
          <w:sz w:val="21"/>
          <w:szCs w:val="21"/>
        </w:rPr>
        <w:t>)</w:t>
      </w:r>
      <w:r>
        <w:rPr>
          <w:rFonts w:ascii="Calibri" w:eastAsiaTheme="majorEastAsia" w:hAnsi="Calibri" w:cs="Calibri" w:hint="eastAsia"/>
          <w:sz w:val="22"/>
          <w:szCs w:val="22"/>
        </w:rPr>
        <w:t>. The number of non-fatal SAEs and deaths were derived from US FDA suspension memo. Vaccine attributable SAEs and deaths per 10,000 vaccinated individuals are:</w:t>
      </w:r>
    </w:p>
    <w:p w14:paraId="121932DE" w14:textId="77777777" w:rsidR="00950B91" w:rsidRDefault="00950B91" w:rsidP="00950B91">
      <w:pPr>
        <w:pStyle w:val="a6"/>
        <w:numPr>
          <w:ilvl w:val="0"/>
          <w:numId w:val="1"/>
        </w:numPr>
        <w:spacing w:line="360" w:lineRule="auto"/>
        <w:rPr>
          <w:rFonts w:ascii="Calibri" w:eastAsiaTheme="majorEastAsia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Seroprevalence adjusted</w:t>
      </w:r>
      <w:r>
        <w:rPr>
          <w:rFonts w:ascii="Calibri" w:eastAsiaTheme="majorEastAsia" w:hAnsi="Calibri" w:cs="Calibri" w:hint="eastAsia"/>
          <w:sz w:val="22"/>
          <w:szCs w:val="22"/>
        </w:rPr>
        <w:t xml:space="preserve"> risk</w:t>
      </w:r>
    </w:p>
    <w:p w14:paraId="6BC11A67" w14:textId="77777777" w:rsidR="00950B91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  <w:r w:rsidRPr="000839B0">
        <w:rPr>
          <w:rFonts w:ascii="Calibri" w:eastAsiaTheme="majorEastAsia" w:hAnsi="Calibri" w:cs="Calibri"/>
          <w:sz w:val="22"/>
          <w:szCs w:val="22"/>
        </w:rPr>
        <w:t>In the adjusted scenario, seropositive individuals at the time of vaccination are assumed to have pre-existing immunity that reduces vaccine-attributable risk by a factor</w:t>
      </w:r>
      <w:r>
        <w:rPr>
          <w:rFonts w:ascii="Calibri" w:eastAsiaTheme="majorEastAsia" w:hAnsi="Calibri" w:cs="Calibri" w:hint="eastAsia"/>
          <w:sz w:val="22"/>
          <w:szCs w:val="22"/>
        </w:rPr>
        <w:t xml:space="preserve"> </w:t>
      </w:r>
      <m:oMath>
        <m:r>
          <w:rPr>
            <w:rFonts w:ascii="Cambria Math" w:eastAsiaTheme="majorEastAsia" w:hAnsi="Cambria Math" w:cs="Calibri"/>
            <w:sz w:val="22"/>
            <w:szCs w:val="22"/>
          </w:rPr>
          <m:t>R</m:t>
        </m:r>
        <m:sSub>
          <m:sSubPr>
            <m:ctrlPr>
              <w:rPr>
                <w:rFonts w:ascii="Cambria Math" w:eastAsiaTheme="maj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="Calibri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ajorEastAsia" w:hAnsi="Cambria Math" w:cs="Calibri"/>
                <w:sz w:val="22"/>
                <w:szCs w:val="22"/>
              </w:rPr>
              <m:t>seropos</m:t>
            </m:r>
          </m:sub>
        </m:sSub>
        <m:r>
          <w:rPr>
            <w:rFonts w:ascii="Cambria Math" w:eastAsiaTheme="majorEastAsia" w:hAnsi="Cambria Math" w:cs="Calibri"/>
            <w:sz w:val="22"/>
            <w:szCs w:val="22"/>
          </w:rPr>
          <m:t>=0</m:t>
        </m:r>
      </m:oMath>
      <w:r>
        <w:rPr>
          <w:rFonts w:ascii="Calibri" w:eastAsiaTheme="majorEastAsia" w:hAnsi="Calibri" w:cs="Calibri" w:hint="eastAsia"/>
          <w:sz w:val="22"/>
          <w:szCs w:val="22"/>
        </w:rPr>
        <w:t xml:space="preserve"> which implies no-risk in </w:t>
      </w:r>
      <w:r>
        <w:rPr>
          <w:rFonts w:ascii="Calibri" w:eastAsiaTheme="majorEastAsia" w:hAnsi="Calibri" w:cs="Calibri"/>
          <w:sz w:val="22"/>
          <w:szCs w:val="22"/>
        </w:rPr>
        <w:t>seropositive</w:t>
      </w:r>
      <w:r>
        <w:rPr>
          <w:rFonts w:ascii="Calibri" w:eastAsiaTheme="majorEastAsia" w:hAnsi="Calibri" w:cs="Calibri" w:hint="eastAsia"/>
          <w:sz w:val="22"/>
          <w:szCs w:val="22"/>
        </w:rPr>
        <w:t xml:space="preserve">. </w:t>
      </w:r>
      <w:r w:rsidRPr="00524B91">
        <w:rPr>
          <w:rFonts w:ascii="Calibri" w:eastAsiaTheme="majorEastAsia" w:hAnsi="Calibri" w:cs="Calibri"/>
          <w:sz w:val="22"/>
          <w:szCs w:val="22"/>
        </w:rPr>
        <w:t>We do not model partial protection against severe outcomes given infection among those with waning immunity, as empirical data on severity given re-infection are lacking.</w:t>
      </w:r>
    </w:p>
    <w:p w14:paraId="6A1EE49D" w14:textId="77777777" w:rsidR="00950B91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</w:p>
    <w:p w14:paraId="3E355D56" w14:textId="77777777" w:rsidR="00950B91" w:rsidRPr="008A3F4D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sae|vacc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adj</m:t>
              </m:r>
            </m:sup>
          </m:sSubSup>
          <m:r>
            <w:rPr>
              <w:rFonts w:ascii="Cambria Math" w:eastAsiaTheme="majorEastAsia" w:hAnsi="Cambria Math" w:cs="Calibr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seroneg</m:t>
              </m:r>
            </m:sub>
          </m:sSub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 ∙ 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nonfatal_sae|vacc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base</m:t>
              </m:r>
            </m:sup>
          </m:sSubSup>
          <m:r>
            <w:rPr>
              <w:rFonts w:ascii="Cambria Math" w:eastAsiaTheme="majorEastAsia" w:hAnsi="Cambria Math" w:cs="Calibr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seropos</m:t>
              </m:r>
            </m:sub>
          </m:sSub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 </m:t>
          </m:r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R</m:t>
              </m:r>
              <m:sSub>
                <m:sSubPr>
                  <m:ctrlPr>
                    <w:rPr>
                      <w:rFonts w:ascii="Cambria Math" w:eastAsiaTheme="majorEastAsia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Calibri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="Calibri"/>
                      <w:sz w:val="22"/>
                      <w:szCs w:val="22"/>
                    </w:rPr>
                    <m:t>seropos</m:t>
                  </m:r>
                </m:sub>
              </m:s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 xml:space="preserve"> ∙ </m:t>
              </m:r>
              <m:sSubSup>
                <m:sSubSupPr>
                  <m:ctrlPr>
                    <w:rPr>
                      <w:rFonts w:ascii="Cambria Math" w:eastAsiaTheme="majorEastAsia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="Calibri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ajorEastAsia" w:hAnsi="Cambria Math" w:cs="Calibri"/>
                      <w:sz w:val="22"/>
                      <w:szCs w:val="22"/>
                    </w:rPr>
                    <m:t>nonfatal_sae|vacc</m:t>
                  </m:r>
                </m:sub>
                <m:sup>
                  <m:r>
                    <w:rPr>
                      <w:rFonts w:ascii="Cambria Math" w:eastAsiaTheme="majorEastAsia" w:hAnsi="Cambria Math" w:cs="Calibri"/>
                      <w:sz w:val="22"/>
                      <w:szCs w:val="22"/>
                    </w:rPr>
                    <m:t>base</m:t>
                  </m:r>
                </m:sup>
              </m:sSubSup>
            </m:e>
          </m:d>
        </m:oMath>
      </m:oMathPara>
    </w:p>
    <w:p w14:paraId="204A8137" w14:textId="77777777" w:rsidR="00950B91" w:rsidRPr="008A3F4D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</w:p>
    <w:p w14:paraId="654BCDB4" w14:textId="77777777" w:rsidR="00950B91" w:rsidRPr="00DD36E1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death|vacc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adj</m:t>
              </m:r>
            </m:sup>
          </m:sSubSup>
          <m:r>
            <w:rPr>
              <w:rFonts w:ascii="Cambria Math" w:eastAsiaTheme="majorEastAsia" w:hAnsi="Cambria Math" w:cs="Calibr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seroneg</m:t>
              </m:r>
            </m:sub>
          </m:sSub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 ∙ 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death|vacc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base</m:t>
              </m:r>
            </m:sup>
          </m:sSubSup>
          <m:r>
            <w:rPr>
              <w:rFonts w:ascii="Cambria Math" w:eastAsiaTheme="majorEastAsia" w:hAnsi="Cambria Math" w:cs="Calibr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seropos</m:t>
              </m:r>
            </m:sub>
          </m:sSub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 </m:t>
          </m:r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R</m:t>
              </m:r>
              <m:sSub>
                <m:sSubPr>
                  <m:ctrlPr>
                    <w:rPr>
                      <w:rFonts w:ascii="Cambria Math" w:eastAsiaTheme="majorEastAsia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Calibri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="Calibri"/>
                      <w:sz w:val="22"/>
                      <w:szCs w:val="22"/>
                    </w:rPr>
                    <m:t>seropos</m:t>
                  </m:r>
                </m:sub>
              </m:s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 xml:space="preserve"> ∙ </m:t>
              </m:r>
              <m:sSubSup>
                <m:sSubSupPr>
                  <m:ctrlPr>
                    <w:rPr>
                      <w:rFonts w:ascii="Cambria Math" w:eastAsiaTheme="majorEastAsia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="Calibri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ajorEastAsia" w:hAnsi="Cambria Math" w:cs="Calibri"/>
                      <w:sz w:val="22"/>
                      <w:szCs w:val="22"/>
                    </w:rPr>
                    <m:t>death|vacc</m:t>
                  </m:r>
                </m:sub>
                <m:sup>
                  <m:r>
                    <w:rPr>
                      <w:rFonts w:ascii="Cambria Math" w:eastAsiaTheme="majorEastAsia" w:hAnsi="Cambria Math" w:cs="Calibri"/>
                      <w:sz w:val="22"/>
                      <w:szCs w:val="22"/>
                    </w:rPr>
                    <m:t>base</m:t>
                  </m:r>
                </m:sup>
              </m:sSubSup>
            </m:e>
          </m:d>
        </m:oMath>
      </m:oMathPara>
    </w:p>
    <w:p w14:paraId="281F7179" w14:textId="77777777" w:rsidR="00950B91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  <w:r>
        <w:rPr>
          <w:rFonts w:ascii="Calibri" w:eastAsiaTheme="majorEastAsia" w:hAnsi="Calibri" w:cs="Calibri" w:hint="eastAsia"/>
          <w:sz w:val="22"/>
          <w:szCs w:val="22"/>
        </w:rPr>
        <w:t xml:space="preserve"> </w:t>
      </w:r>
    </w:p>
    <w:p w14:paraId="0F6789DC" w14:textId="682AFCE4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>
        <w:rPr>
          <w:rFonts w:ascii="Calibri" w:eastAsiaTheme="majorEastAsia" w:hAnsi="Calibri" w:cs="Calibri" w:hint="eastAsia"/>
          <w:sz w:val="22"/>
          <w:szCs w:val="22"/>
        </w:rPr>
        <w:t xml:space="preserve">Here, the </w:t>
      </w:r>
      <m:oMath>
        <m:r>
          <w:rPr>
            <w:rFonts w:ascii="Cambria Math" w:eastAsiaTheme="majorEastAsia" w:hAnsi="Cambria Math" w:cs="Calibri"/>
            <w:sz w:val="22"/>
            <w:szCs w:val="22"/>
          </w:rPr>
          <m:t>R</m:t>
        </m:r>
        <m:sSub>
          <m:sSubPr>
            <m:ctrlPr>
              <w:rPr>
                <w:rFonts w:ascii="Cambria Math" w:eastAsiaTheme="maj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="Calibri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ajorEastAsia" w:hAnsi="Cambria Math" w:cs="Calibri"/>
                <w:sz w:val="22"/>
                <w:szCs w:val="22"/>
              </w:rPr>
              <m:t>seropos</m:t>
            </m:r>
          </m:sub>
        </m:sSub>
      </m:oMath>
      <w:r>
        <w:rPr>
          <w:rFonts w:ascii="Calibri" w:eastAsiaTheme="majorEastAsia" w:hAnsi="Calibri" w:cs="Calibri" w:hint="eastAsia"/>
          <w:sz w:val="22"/>
          <w:szCs w:val="22"/>
        </w:rPr>
        <w:t xml:space="preserve"> = 0 for seropositive individuals, and </w:t>
      </w:r>
      <m:oMath>
        <m:sSub>
          <m:sSubPr>
            <m:ctrlPr>
              <w:rPr>
                <w:rFonts w:ascii="Cambria Math" w:eastAsiaTheme="maj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="Calibri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ajorEastAsia" w:hAnsi="Cambria Math" w:cs="Calibri"/>
                <w:sz w:val="22"/>
                <w:szCs w:val="22"/>
              </w:rPr>
              <m:t>seropos</m:t>
            </m:r>
          </m:sub>
        </m:sSub>
      </m:oMath>
      <w:r>
        <w:rPr>
          <w:rFonts w:ascii="Calibri" w:eastAsiaTheme="majorEastAsia" w:hAnsi="Calibri" w:cs="Calibri" w:hint="eastAsia"/>
          <w:sz w:val="22"/>
          <w:szCs w:val="22"/>
        </w:rPr>
        <w:t xml:space="preserve"> is the proportion of seropositive, and </w:t>
      </w:r>
      <m:oMath>
        <m:sSub>
          <m:sSubPr>
            <m:ctrlPr>
              <w:rPr>
                <w:rFonts w:ascii="Cambria Math" w:eastAsiaTheme="maj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="Calibri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ajorEastAsia" w:hAnsi="Cambria Math" w:cs="Calibri"/>
                <w:sz w:val="22"/>
                <w:szCs w:val="22"/>
              </w:rPr>
              <m:t>seroneg</m:t>
            </m:r>
          </m:sub>
        </m:sSub>
      </m:oMath>
      <w:r>
        <w:rPr>
          <w:rFonts w:ascii="Calibri" w:eastAsiaTheme="majorEastAsia" w:hAnsi="Calibri" w:cs="Calibri" w:hint="eastAsia"/>
          <w:sz w:val="22"/>
          <w:szCs w:val="22"/>
        </w:rPr>
        <w:t xml:space="preserve"> is the proportion of seronegative individuals. </w:t>
      </w:r>
    </w:p>
    <w:p w14:paraId="04AF6643" w14:textId="4E7B3848" w:rsidR="00950B91" w:rsidRPr="00950B91" w:rsidRDefault="00950B91" w:rsidP="00950B91">
      <w:pPr>
        <w:pStyle w:val="6"/>
        <w:rPr>
          <w:rFonts w:eastAsia="Malgun Gothic" w:hint="eastAsia"/>
          <w:lang w:eastAsia="ko-KR"/>
        </w:rPr>
      </w:pPr>
      <w:r w:rsidRPr="007C0EB5">
        <w:t xml:space="preserve">Vaccination attributable outcomes per 10,000 vaccinated individuals </w:t>
      </w:r>
    </w:p>
    <w:p w14:paraId="16C176C6" w14:textId="5434B5C1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 w:rsidRPr="008A3F4D">
        <w:rPr>
          <w:rFonts w:ascii="Calibri" w:hAnsi="Calibri" w:cs="Calibri"/>
          <w:sz w:val="22"/>
          <w:szCs w:val="22"/>
        </w:rPr>
        <w:t xml:space="preserve">Based on the probabilities of non-fatal SAE and death, the number of SAEs and deaths </w:t>
      </w:r>
      <w:r w:rsidRPr="00E36E51">
        <w:rPr>
          <w:rFonts w:ascii="Calibri" w:hAnsi="Calibri" w:cs="Calibri"/>
          <w:sz w:val="22"/>
          <w:szCs w:val="22"/>
        </w:rPr>
        <w:t>in Baseline</w:t>
      </w:r>
      <w:r w:rsidRPr="008A3F4D">
        <w:rPr>
          <w:rFonts w:ascii="Calibri" w:hAnsi="Calibri" w:cs="Calibri"/>
          <w:sz w:val="22"/>
          <w:szCs w:val="22"/>
        </w:rPr>
        <w:t xml:space="preserve"> unadjusted ris</w:t>
      </w:r>
      <w:r>
        <w:rPr>
          <w:rFonts w:ascii="Calibri" w:hAnsi="Calibri" w:cs="Calibri" w:hint="eastAsia"/>
          <w:sz w:val="22"/>
          <w:szCs w:val="22"/>
        </w:rPr>
        <w:t xml:space="preserve">k scenarios are represented as below: </w:t>
      </w:r>
    </w:p>
    <w:p w14:paraId="16F65A08" w14:textId="77777777" w:rsidR="00950B91" w:rsidRPr="008A3F4D" w:rsidRDefault="00950B91" w:rsidP="00950B91">
      <w:pPr>
        <w:pStyle w:val="a6"/>
        <w:numPr>
          <w:ilvl w:val="0"/>
          <w:numId w:val="2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8A3F4D">
        <w:rPr>
          <w:rFonts w:ascii="Calibri" w:hAnsi="Calibri" w:cs="Calibri"/>
          <w:sz w:val="22"/>
          <w:szCs w:val="22"/>
        </w:rPr>
        <w:t xml:space="preserve">SAEs and deaths under baseline unadjusted risk scenario </w:t>
      </w:r>
    </w:p>
    <w:p w14:paraId="03E89F0E" w14:textId="77777777" w:rsidR="00950B91" w:rsidRPr="00B42034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SAE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>=10,000 ∙[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nonfatal_sae|vacc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base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+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death|vacc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base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>]</m:t>
          </m:r>
        </m:oMath>
      </m:oMathPara>
    </w:p>
    <w:p w14:paraId="0E2A8DC4" w14:textId="77777777" w:rsidR="00950B91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Death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=10,000 ∙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death|vacc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base</m:t>
              </m:r>
            </m:sup>
          </m:sSubSup>
          <m:r>
            <w:rPr>
              <w:rFonts w:ascii="Cambria Math" w:eastAsiaTheme="majorEastAsia" w:hAnsi="Cambria Math" w:cs="Calibri"/>
              <w:sz w:val="22"/>
              <w:szCs w:val="22"/>
            </w:rPr>
            <m:t>(a,k)</m:t>
          </m:r>
        </m:oMath>
      </m:oMathPara>
    </w:p>
    <w:p w14:paraId="118D5C17" w14:textId="77777777" w:rsidR="00950B91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</w:p>
    <w:p w14:paraId="7712A78F" w14:textId="77777777" w:rsidR="00950B91" w:rsidRPr="00A21DE0" w:rsidRDefault="00950B91" w:rsidP="00950B91">
      <w:pPr>
        <w:pStyle w:val="a6"/>
        <w:numPr>
          <w:ilvl w:val="0"/>
          <w:numId w:val="2"/>
        </w:numPr>
        <w:spacing w:line="360" w:lineRule="auto"/>
        <w:rPr>
          <w:rFonts w:cs="Calibri"/>
          <w:szCs w:val="22"/>
        </w:rPr>
      </w:pPr>
      <w:r w:rsidRPr="008A3F4D">
        <w:rPr>
          <w:rFonts w:ascii="Calibri" w:hAnsi="Calibri" w:cs="Calibri"/>
          <w:sz w:val="22"/>
          <w:szCs w:val="22"/>
        </w:rPr>
        <w:t xml:space="preserve">SAEs and deaths under </w:t>
      </w:r>
      <w:r>
        <w:rPr>
          <w:rFonts w:ascii="Calibri" w:hAnsi="Calibri" w:cs="Calibri" w:hint="eastAsia"/>
          <w:sz w:val="22"/>
          <w:szCs w:val="22"/>
        </w:rPr>
        <w:t>seroprevalence adjusted</w:t>
      </w:r>
      <w:r w:rsidRPr="008A3F4D">
        <w:rPr>
          <w:rFonts w:ascii="Calibri" w:hAnsi="Calibri" w:cs="Calibri"/>
          <w:sz w:val="22"/>
          <w:szCs w:val="22"/>
        </w:rPr>
        <w:t xml:space="preserve"> risk scenario </w:t>
      </w:r>
    </w:p>
    <w:p w14:paraId="6BC24267" w14:textId="7CF7EE3B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SAE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>=10,000 ∙[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sae|vacc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adj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+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death|vacc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adj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>]</m:t>
          </m:r>
        </m:oMath>
      </m:oMathPara>
    </w:p>
    <w:p w14:paraId="167A5791" w14:textId="77777777" w:rsidR="00950B91" w:rsidRPr="00954105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  <w:lang w:val="en-US"/>
        </w:rPr>
      </w:pPr>
      <w:r>
        <w:rPr>
          <w:rFonts w:ascii="Calibri" w:eastAsiaTheme="majorEastAsia" w:hAnsi="Calibri" w:cs="Calibri" w:hint="eastAsia"/>
          <w:sz w:val="22"/>
          <w:szCs w:val="22"/>
        </w:rPr>
        <w:lastRenderedPageBreak/>
        <w:t xml:space="preserve">Vaccine attributable DALYs are computed from vaccine-attributable SAEs and deaths. We assumed that the SAE cases from vaccines also progress into </w:t>
      </w:r>
      <w:r>
        <w:rPr>
          <w:rFonts w:ascii="Calibri" w:eastAsiaTheme="majorEastAsia" w:hAnsi="Calibri" w:cs="Calibri"/>
          <w:sz w:val="22"/>
          <w:szCs w:val="22"/>
        </w:rPr>
        <w:t xml:space="preserve">sub-acute and </w:t>
      </w:r>
      <w:r>
        <w:rPr>
          <w:rFonts w:ascii="Calibri" w:eastAsiaTheme="majorEastAsia" w:hAnsi="Calibri" w:cs="Calibri" w:hint="eastAsia"/>
          <w:sz w:val="22"/>
          <w:szCs w:val="22"/>
        </w:rPr>
        <w:t>chronic phases</w:t>
      </w:r>
      <w:r>
        <w:rPr>
          <w:rFonts w:ascii="Calibri" w:eastAsiaTheme="majorEastAsia" w:hAnsi="Calibri" w:cs="Calibri"/>
          <w:sz w:val="22"/>
          <w:szCs w:val="22"/>
          <w:lang w:val="en-US"/>
        </w:rPr>
        <w:t xml:space="preserve"> as natural chikungunya infection, for two reasons. First, VLA1553 is a live-attenuated vaccine that elicits immune responses similar in breadth to those of natural chikungunya infection, and post-vaccination chikungunya like illness reactions in clinical trials have shown durations ranging from 1 to 182 days, with prolonged symptoms (</w:t>
      </w:r>
      <w:r w:rsidRPr="00977C0A">
        <w:rPr>
          <w:rFonts w:ascii="Calibri" w:eastAsiaTheme="majorEastAsia" w:hAnsi="Calibri" w:cs="Calibri"/>
          <w:sz w:val="22"/>
          <w:szCs w:val="22"/>
          <w:lang w:val="en-US"/>
        </w:rPr>
        <w:t>≥</w:t>
      </w:r>
      <w:r>
        <w:rPr>
          <w:rFonts w:ascii="Calibri" w:eastAsiaTheme="majorEastAsia" w:hAnsi="Calibri" w:cs="Calibri"/>
          <w:sz w:val="22"/>
          <w:szCs w:val="22"/>
          <w:lang w:val="en-US"/>
        </w:rPr>
        <w:t xml:space="preserve"> 30 days) in 0.5% of vaccinees. Second, this assumption is conservative for benefit risk estimates </w:t>
      </w:r>
      <w:r w:rsidRPr="00CE4ADA">
        <w:rPr>
          <w:rFonts w:ascii="Calibri" w:eastAsiaTheme="majorEastAsia" w:hAnsi="Calibri" w:cs="Calibri"/>
          <w:sz w:val="22"/>
          <w:szCs w:val="22"/>
          <w:lang w:val="en-US"/>
        </w:rPr>
        <w:t>because attributing chronic disability to vaccine-attributable SAEs increases the vaccine-attributable DALY denominator and thus reduces estimated BRRs.</w:t>
      </w:r>
    </w:p>
    <w:p w14:paraId="7448EDCD" w14:textId="2243FE72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w:r>
        <w:rPr>
          <w:rFonts w:ascii="Calibri" w:eastAsiaTheme="majorEastAsia" w:hAnsi="Calibri" w:cs="Calibri" w:hint="eastAsia"/>
          <w:sz w:val="22"/>
          <w:szCs w:val="22"/>
        </w:rPr>
        <w:t>As SAEs are defined as s</w:t>
      </w:r>
      <w:r w:rsidRPr="00707B19">
        <w:rPr>
          <w:rFonts w:ascii="Calibri" w:eastAsiaTheme="majorEastAsia" w:hAnsi="Calibri" w:cs="Calibri"/>
          <w:sz w:val="22"/>
          <w:szCs w:val="22"/>
        </w:rPr>
        <w:t>evere chikungunya-like illness reactions those that prevented daily activity and/or required medical intervention</w:t>
      </w:r>
      <w:r>
        <w:rPr>
          <w:rFonts w:ascii="Calibri" w:eastAsiaTheme="majorEastAsia" w:hAnsi="Calibri" w:cs="Calibri" w:hint="eastAsia"/>
          <w:sz w:val="22"/>
          <w:szCs w:val="22"/>
        </w:rPr>
        <w:t xml:space="preserve">, we used hospitalisation as a proxy for non-fatal SAE. </w:t>
      </w:r>
    </w:p>
    <w:p w14:paraId="6F5722CC" w14:textId="2585115D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DALY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+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YLL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r>
            <w:rPr>
              <w:rFonts w:ascii="Cambria Math" w:eastAsiaTheme="majorEastAsia" w:hAnsi="Cambria Math" w:cs="Calibri"/>
              <w:sz w:val="22"/>
              <w:szCs w:val="22"/>
            </w:rPr>
            <m:t>(a,k)</m:t>
          </m:r>
        </m:oMath>
      </m:oMathPara>
    </w:p>
    <w:p w14:paraId="7CDEE723" w14:textId="77777777" w:rsidR="00950B91" w:rsidRPr="00A20413" w:rsidRDefault="00950B91" w:rsidP="00950B91">
      <w:pPr>
        <w:spacing w:line="360" w:lineRule="auto"/>
        <w:rPr>
          <w:rFonts w:ascii="Calibri" w:eastAsiaTheme="majorEastAsia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YLD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SAE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 ∙d</m:t>
          </m:r>
          <m:sSub>
            <m:sSub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H</m:t>
              </m:r>
            </m:sub>
          </m:sSub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 ∙</m:t>
          </m:r>
          <m:sSub>
            <m:sSub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acute</m:t>
              </m:r>
            </m:sub>
          </m:sSub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 +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SAE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 ∙d</m:t>
          </m:r>
          <m:sSub>
            <m:sSub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H</m:t>
              </m:r>
            </m:sub>
          </m:sSub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 ∙</m:t>
          </m:r>
          <m:sSub>
            <m:sSub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acute</m:t>
              </m:r>
            </m:sub>
          </m:sSub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+ </m:t>
          </m:r>
          <m:r>
            <w:rPr>
              <w:rFonts w:ascii="Cambria Math" w:hAnsi="Cambria Math" w:cs="Calibri"/>
              <w:sz w:val="22"/>
            </w:rPr>
            <m:t xml:space="preserve">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SAE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>​⋅d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>​⋅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>​+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SAE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chr</m:t>
              </m:r>
            </m:sub>
          </m:sSub>
          <m:r>
            <w:rPr>
              <w:rFonts w:ascii="Cambria Math" w:hAnsi="Cambria Math"/>
            </w:rPr>
            <m:t>​⋅d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chr</m:t>
              </m:r>
            </m:sub>
          </m:sSub>
          <m:r>
            <w:rPr>
              <w:rFonts w:ascii="Cambria Math" w:hAnsi="Cambria Math"/>
            </w:rPr>
            <m:t>​⋅(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chr,6m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chr,12m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chr,30m</m:t>
              </m:r>
            </m:sub>
          </m:sSub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 </m:t>
          </m:r>
        </m:oMath>
      </m:oMathPara>
    </w:p>
    <w:p w14:paraId="1C0E5D0D" w14:textId="1CFC9DF2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sz w:val="22"/>
          <w:szCs w:val="22"/>
          <w:lang w:eastAsia="ko-KR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YLL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w:rPr>
              <w:rFonts w:ascii="Cambria Math" w:eastAsiaTheme="majorEastAsia" w:hAnsi="Cambria Math" w:cs="Calibri"/>
              <w:sz w:val="22"/>
              <w:szCs w:val="22"/>
            </w:rPr>
            <m:t xml:space="preserve">= </m:t>
          </m:r>
          <m:sSubSup>
            <m:sSubSup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Death</m:t>
              </m:r>
            </m:e>
            <m:sub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10k</m:t>
              </m:r>
            </m:sub>
            <m:sup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vacc</m:t>
              </m:r>
            </m:sup>
          </m:sSubSup>
          <m:d>
            <m:dPr>
              <m:ctrlPr>
                <w:rPr>
                  <w:rFonts w:ascii="Cambria Math" w:eastAsiaTheme="maj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ajorEastAsia" w:hAnsi="Cambria Math" w:cs="Calibri"/>
                  <w:sz w:val="22"/>
                  <w:szCs w:val="22"/>
                </w:rPr>
                <m:t>a,k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6E146ED2" w14:textId="77777777" w:rsidR="00950B91" w:rsidRDefault="00950B91" w:rsidP="00950B91">
      <w:pPr>
        <w:pStyle w:val="6"/>
      </w:pPr>
      <w:bookmarkStart w:id="0" w:name="_Toc1718451087"/>
      <w:bookmarkStart w:id="1" w:name="_Toc226981805"/>
      <w:r>
        <w:rPr>
          <w:rFonts w:hint="eastAsia"/>
        </w:rPr>
        <w:t>Benefit risk ratio</w:t>
      </w:r>
    </w:p>
    <w:p w14:paraId="28A5718A" w14:textId="77777777" w:rsidR="00950B91" w:rsidRDefault="00950B91" w:rsidP="00950B91">
      <w:pPr>
        <w:rPr>
          <w:rFonts w:ascii="Calibri" w:eastAsiaTheme="majorEastAsia" w:hAnsi="Calibri" w:cs="Calibri"/>
          <w:sz w:val="22"/>
          <w:szCs w:val="22"/>
        </w:rPr>
      </w:pPr>
      <w:r w:rsidRPr="008A3F4D">
        <w:rPr>
          <w:rFonts w:ascii="Calibri" w:eastAsiaTheme="majorEastAsia" w:hAnsi="Calibri" w:cs="Calibri"/>
          <w:sz w:val="22"/>
          <w:szCs w:val="22"/>
        </w:rPr>
        <w:t>T</w:t>
      </w:r>
      <w:r>
        <w:rPr>
          <w:rFonts w:ascii="Calibri" w:eastAsiaTheme="majorEastAsia" w:hAnsi="Calibri" w:cs="Calibri" w:hint="eastAsia"/>
          <w:sz w:val="22"/>
          <w:szCs w:val="22"/>
        </w:rPr>
        <w:t xml:space="preserve">he draw level BRR is computed as </w:t>
      </w:r>
    </w:p>
    <w:p w14:paraId="6E018E73" w14:textId="77777777" w:rsidR="00950B91" w:rsidRDefault="00950B91" w:rsidP="00950B91">
      <w:pPr>
        <w:rPr>
          <w:rFonts w:ascii="Calibri" w:eastAsiaTheme="majorEastAsia" w:hAnsi="Calibri" w:cs="Calibri"/>
          <w:sz w:val="22"/>
          <w:szCs w:val="22"/>
        </w:rPr>
      </w:pPr>
    </w:p>
    <w:p w14:paraId="4CC2D161" w14:textId="77777777" w:rsidR="00950B91" w:rsidRPr="008A3F4D" w:rsidRDefault="00950B91" w:rsidP="00950B91">
      <w:pPr>
        <w:spacing w:line="360" w:lineRule="auto"/>
        <w:jc w:val="center"/>
        <w:rPr>
          <w:rFonts w:ascii="Calibri" w:hAnsi="Calibri" w:cs="Calibri"/>
          <w:lang w:val="pt-BR"/>
        </w:rPr>
      </w:pPr>
      <m:oMathPara>
        <m:oMath>
          <m:sSubSup>
            <m:sSubSupPr>
              <m:ctrlPr>
                <w:rPr>
                  <w:rFonts w:ascii="Cambria Math" w:hAnsi="Cambria Math" w:cs="Calibri"/>
                </w:rPr>
              </m:ctrlPr>
            </m:sSubSupPr>
            <m:e>
              <m:r>
                <w:rPr>
                  <w:rFonts w:ascii="Cambria Math" w:hAnsi="Cambria Math" w:cs="Calibri"/>
                </w:rPr>
                <m:t>BRR</m:t>
              </m:r>
            </m:e>
            <m:sub>
              <m:r>
                <w:rPr>
                  <w:rFonts w:ascii="Cambria Math" w:hAnsi="Cambria Math" w:cs="Calibri"/>
                </w:rPr>
                <m:t>SAE</m:t>
              </m:r>
            </m:sub>
            <m:sup>
              <m:r>
                <w:rPr>
                  <w:rFonts w:ascii="Cambria Math" w:hAnsi="Cambria Math" w:cs="Calibri"/>
                </w:rPr>
                <m:t>10k</m:t>
              </m:r>
            </m:sup>
          </m:sSubSup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w:rPr>
                  <w:rFonts w:ascii="Cambria Math" w:hAnsi="Cambria Math" w:cs="Calibri"/>
                </w:rPr>
                <m:t>s</m:t>
              </m:r>
              <m:r>
                <w:rPr>
                  <w:rFonts w:ascii="Cambria Math" w:hAnsi="Cambria Math" w:cs="Calibri"/>
                  <w:color w:val="0F4761" w:themeColor="accent1" w:themeShade="BF"/>
                  <w:lang w:val="pt-BR"/>
                </w:rPr>
                <m:t>,</m:t>
              </m:r>
              <m:r>
                <w:rPr>
                  <w:rFonts w:ascii="Cambria Math" w:hAnsi="Cambria Math" w:cs="Calibri"/>
                </w:rPr>
                <m:t>a</m:t>
              </m:r>
              <m:r>
                <w:rPr>
                  <w:rFonts w:ascii="Cambria Math" w:hAnsi="Cambria Math" w:cs="Calibri"/>
                  <w:color w:val="0F4761" w:themeColor="accent1" w:themeShade="BF"/>
                  <w:lang w:val="pt-BR"/>
                </w:rPr>
                <m:t>,</m:t>
              </m:r>
              <m:r>
                <w:rPr>
                  <w:rFonts w:ascii="Cambria Math" w:hAnsi="Cambria Math" w:cs="Calibri"/>
                </w:rPr>
                <m:t>k</m:t>
              </m:r>
            </m:e>
          </m:d>
          <m:r>
            <w:rPr>
              <w:rFonts w:ascii="Cambria Math" w:hAnsi="Cambria Math" w:cs="Calibri"/>
              <w:color w:val="0F4761" w:themeColor="accent1" w:themeShade="BF"/>
              <w:lang w:val="pt-BR"/>
            </w:rPr>
            <m:t>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10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SAE</m:t>
                  </m:r>
                </m:e>
                <m:sub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10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vacc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 w:cstheme="majorBidi"/>
                      <w:color w:val="0F4761" w:themeColor="accent1" w:themeShade="BF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den>
          </m:f>
          <m:r>
            <w:rPr>
              <w:rFonts w:ascii="Cambria Math" w:hAnsi="Cambria Math" w:cs="Calibri"/>
              <w:color w:val="0F4761" w:themeColor="accent1" w:themeShade="BF"/>
              <w:lang w:val="pt-BR"/>
            </w:rPr>
            <m:t xml:space="preserve"> </m:t>
          </m:r>
        </m:oMath>
      </m:oMathPara>
      <w:bookmarkEnd w:id="0"/>
      <w:bookmarkEnd w:id="1"/>
    </w:p>
    <w:p w14:paraId="68E75CF6" w14:textId="77777777" w:rsidR="00950B91" w:rsidRDefault="00950B91" w:rsidP="00950B91">
      <w:pPr>
        <w:spacing w:line="360" w:lineRule="auto"/>
        <w:rPr>
          <w:rFonts w:ascii="Calibri" w:hAnsi="Calibri" w:cs="Calibri"/>
        </w:rPr>
      </w:pPr>
    </w:p>
    <w:p w14:paraId="0EE64AB2" w14:textId="77777777" w:rsidR="00950B91" w:rsidRDefault="00950B91" w:rsidP="00950B91">
      <w:pPr>
        <w:spacing w:line="360" w:lineRule="auto"/>
        <w:rPr>
          <w:rFonts w:ascii="Calibri" w:hAnsi="Calibri" w:cs="Calibri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</w:rPr>
              </m:ctrlPr>
            </m:sSubSupPr>
            <m:e>
              <m:r>
                <w:rPr>
                  <w:rFonts w:ascii="Cambria Math" w:hAnsi="Cambria Math" w:cs="Calibri"/>
                </w:rPr>
                <m:t>BRR</m:t>
              </m:r>
            </m:e>
            <m:sub>
              <m:r>
                <w:rPr>
                  <w:rFonts w:ascii="Cambria Math" w:hAnsi="Cambria Math" w:cs="Calibri"/>
                </w:rPr>
                <m:t>death</m:t>
              </m:r>
            </m:sub>
            <m:sup>
              <m:r>
                <w:rPr>
                  <w:rFonts w:ascii="Cambria Math" w:hAnsi="Cambria Math" w:cs="Calibri"/>
                </w:rPr>
                <m:t>10k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s</m:t>
              </m:r>
              <m:r>
                <w:rPr>
                  <w:rFonts w:ascii="Cambria Math" w:hAnsi="Cambria Math" w:cs="Calibri"/>
                  <w:lang w:val="pt-BR"/>
                </w:rPr>
                <m:t>,</m:t>
              </m:r>
              <m:r>
                <w:rPr>
                  <w:rFonts w:ascii="Cambria Math" w:hAnsi="Cambria Math" w:cs="Calibri"/>
                </w:rPr>
                <m:t>a</m:t>
              </m:r>
              <m:r>
                <w:rPr>
                  <w:rFonts w:ascii="Cambria Math" w:hAnsi="Cambria Math" w:cs="Calibri"/>
                  <w:lang w:val="pt-BR"/>
                </w:rPr>
                <m:t>,</m:t>
              </m:r>
              <m:r>
                <w:rPr>
                  <w:rFonts w:ascii="Cambria Math" w:hAnsi="Cambria Math" w:cs="Calibri"/>
                </w:rPr>
                <m:t>k</m:t>
              </m:r>
            </m:e>
          </m:d>
          <m:r>
            <w:rPr>
              <w:rFonts w:ascii="Cambria Math" w:hAnsi="Cambria Math" w:cs="Calibri"/>
              <w:lang w:val="pt-BR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10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Death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10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vacc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den>
          </m:f>
        </m:oMath>
      </m:oMathPara>
    </w:p>
    <w:p w14:paraId="33CC55C6" w14:textId="77777777" w:rsidR="00950B91" w:rsidRDefault="00950B91" w:rsidP="00950B91">
      <w:pPr>
        <w:spacing w:line="360" w:lineRule="auto"/>
        <w:rPr>
          <w:rFonts w:ascii="Calibri" w:hAnsi="Calibri" w:cs="Calibri"/>
        </w:rPr>
      </w:pPr>
    </w:p>
    <w:p w14:paraId="18C55EA4" w14:textId="6CC27347" w:rsidR="00950B91" w:rsidRPr="00950B91" w:rsidRDefault="00950B91" w:rsidP="00950B91">
      <w:pPr>
        <w:spacing w:line="360" w:lineRule="auto"/>
        <w:rPr>
          <w:rFonts w:ascii="Calibri" w:eastAsia="Malgun Gothic" w:hAnsi="Calibri" w:cs="Calibri" w:hint="eastAsia"/>
          <w:lang w:eastAsia="ko-KR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</w:rPr>
              </m:ctrlPr>
            </m:sSubSupPr>
            <m:e>
              <m:r>
                <w:rPr>
                  <w:rFonts w:ascii="Cambria Math" w:hAnsi="Cambria Math" w:cs="Calibri"/>
                </w:rPr>
                <m:t>BRR</m:t>
              </m:r>
            </m:e>
            <m:sub>
              <m:r>
                <w:rPr>
                  <w:rFonts w:ascii="Cambria Math" w:hAnsi="Cambria Math" w:cs="Calibri"/>
                </w:rPr>
                <m:t>DALY</m:t>
              </m:r>
            </m:sub>
            <m:sup>
              <m:r>
                <w:rPr>
                  <w:rFonts w:ascii="Cambria Math" w:hAnsi="Cambria Math" w:cs="Calibri"/>
                </w:rPr>
                <m:t>10k</m:t>
              </m:r>
            </m:sup>
          </m:sSubSup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s</m:t>
              </m:r>
              <m:r>
                <w:rPr>
                  <w:rFonts w:ascii="Cambria Math" w:hAnsi="Cambria Math" w:cs="Calibri"/>
                  <w:lang w:val="pt-BR"/>
                </w:rPr>
                <m:t>,</m:t>
              </m:r>
              <m:r>
                <w:rPr>
                  <w:rFonts w:ascii="Cambria Math" w:hAnsi="Cambria Math" w:cs="Calibri"/>
                </w:rPr>
                <m:t>a</m:t>
              </m:r>
              <m:r>
                <w:rPr>
                  <w:rFonts w:ascii="Cambria Math" w:hAnsi="Cambria Math" w:cs="Calibri"/>
                  <w:lang w:val="pt-BR"/>
                </w:rPr>
                <m:t>,</m:t>
              </m:r>
              <m:r>
                <w:rPr>
                  <w:rFonts w:ascii="Cambria Math" w:hAnsi="Cambria Math" w:cs="Calibri"/>
                </w:rPr>
                <m:t>k</m:t>
              </m:r>
            </m:e>
          </m:d>
          <m:r>
            <w:rPr>
              <w:rFonts w:ascii="Cambria Math" w:hAnsi="Cambria Math" w:cs="Calibri"/>
              <w:lang w:val="pt-BR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10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  <w:lang w:val="pt-BR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DALY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10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vacc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a,k</m:t>
                  </m:r>
                </m:e>
              </m:d>
            </m:den>
          </m:f>
        </m:oMath>
      </m:oMathPara>
    </w:p>
    <w:sectPr w:rsidR="00950B91" w:rsidRPr="00950B91" w:rsidSect="00950B91">
      <w:pgSz w:w="11906" w:h="16838"/>
      <w:pgMar w:top="1987" w:right="1699" w:bottom="1699" w:left="1699" w:header="720" w:footer="720" w:gutter="0"/>
      <w:lnNumType w:countBy="5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706B"/>
    <w:multiLevelType w:val="hybridMultilevel"/>
    <w:tmpl w:val="83C0FC1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805B6"/>
    <w:multiLevelType w:val="hybridMultilevel"/>
    <w:tmpl w:val="6834223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713676">
    <w:abstractNumId w:val="0"/>
  </w:num>
  <w:num w:numId="2" w16cid:durableId="1498113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91"/>
    <w:rsid w:val="000D195E"/>
    <w:rsid w:val="00950B91"/>
    <w:rsid w:val="00C274B2"/>
    <w:rsid w:val="00F5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E1F7"/>
  <w15:chartTrackingRefBased/>
  <w15:docId w15:val="{A18B325C-A7CD-47AA-B6B2-5D74F625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50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950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0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0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0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rsid w:val="00950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0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0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0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0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950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950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950B9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950B91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rsid w:val="00950B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950B91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950B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950B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50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0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0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0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0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0B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0B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0B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0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0B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0B91"/>
    <w:rPr>
      <w:b/>
      <w:bCs/>
      <w:smallCaps/>
      <w:color w:val="0F4761" w:themeColor="accent1" w:themeShade="BF"/>
      <w:spacing w:val="5"/>
    </w:rPr>
  </w:style>
  <w:style w:type="paragraph" w:customStyle="1" w:styleId="figure">
    <w:name w:val="figure 제목"/>
    <w:basedOn w:val="a"/>
    <w:link w:val="figureChar"/>
    <w:qFormat/>
    <w:rsid w:val="00950B91"/>
    <w:pPr>
      <w:spacing w:after="200" w:line="240" w:lineRule="auto"/>
    </w:pPr>
    <w:rPr>
      <w:rFonts w:ascii="Calibri" w:eastAsia="Times New Roman" w:hAnsi="Calibri" w:cs="Calibri"/>
      <w:i/>
      <w:iCs/>
      <w:color w:val="156082" w:themeColor="accent1"/>
      <w:kern w:val="0"/>
      <w:sz w:val="22"/>
      <w:lang w:eastAsia="ko-KR"/>
      <w14:ligatures w14:val="none"/>
    </w:rPr>
  </w:style>
  <w:style w:type="character" w:customStyle="1" w:styleId="figureChar">
    <w:name w:val="figure 제목 Char"/>
    <w:basedOn w:val="a0"/>
    <w:link w:val="figure"/>
    <w:rsid w:val="00950B91"/>
    <w:rPr>
      <w:rFonts w:ascii="Calibri" w:eastAsia="Times New Roman" w:hAnsi="Calibri" w:cs="Calibri"/>
      <w:i/>
      <w:iCs/>
      <w:color w:val="156082" w:themeColor="accent1"/>
      <w:kern w:val="0"/>
      <w:sz w:val="22"/>
      <w:lang w:eastAsia="ko-KR"/>
      <w14:ligatures w14:val="none"/>
    </w:rPr>
  </w:style>
  <w:style w:type="character" w:styleId="aa">
    <w:name w:val="line number"/>
    <w:basedOn w:val="a0"/>
    <w:uiPriority w:val="99"/>
    <w:semiHidden/>
    <w:unhideWhenUsed/>
    <w:rsid w:val="00950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1697</Words>
  <Characters>9675</Characters>
  <Application>Microsoft Office Word</Application>
  <DocSecurity>0</DocSecurity>
  <Lines>80</Lines>
  <Paragraphs>22</Paragraphs>
  <ScaleCrop>false</ScaleCrop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효림 강</dc:creator>
  <cp:keywords/>
  <dc:description/>
  <cp:lastModifiedBy>효림 강</cp:lastModifiedBy>
  <cp:revision>1</cp:revision>
  <dcterms:created xsi:type="dcterms:W3CDTF">2026-09-02T08:23:00Z</dcterms:created>
  <dcterms:modified xsi:type="dcterms:W3CDTF">2026-09-02T08:31:00Z</dcterms:modified>
</cp:coreProperties>
</file>