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F4A10" w14:textId="6E2CAD61" w:rsidR="003A113E" w:rsidRPr="009B7902" w:rsidRDefault="003A113E">
      <w:pPr>
        <w:rPr>
          <w:rFonts w:asciiTheme="majorHAnsi" w:eastAsia="Malgun Gothic" w:hAnsiTheme="majorHAnsi" w:cs="Calibri"/>
          <w:lang w:eastAsia="ko-KR"/>
        </w:rPr>
      </w:pPr>
      <w:r w:rsidRPr="009B7902">
        <w:rPr>
          <w:rFonts w:asciiTheme="majorHAnsi" w:eastAsia="Malgun Gothic" w:hAnsiTheme="majorHAnsi" w:cs="Calibri"/>
          <w:lang w:eastAsia="ko-KR"/>
        </w:rPr>
        <w:t>Abstract</w:t>
      </w:r>
    </w:p>
    <w:p w14:paraId="173C1DAA" w14:textId="77777777" w:rsidR="003A113E" w:rsidRPr="009B7902" w:rsidRDefault="003A113E">
      <w:pPr>
        <w:rPr>
          <w:rFonts w:asciiTheme="majorHAnsi" w:eastAsia="Malgun Gothic" w:hAnsiTheme="majorHAnsi" w:cs="Calibri"/>
          <w:lang w:eastAsia="ko-KR"/>
        </w:rPr>
      </w:pPr>
    </w:p>
    <w:p w14:paraId="66AAFD0B" w14:textId="6C8186C0" w:rsidR="003A113E" w:rsidRPr="009B7902" w:rsidRDefault="003A113E" w:rsidP="009B7902">
      <w:pPr>
        <w:pStyle w:val="2"/>
        <w:rPr>
          <w:rFonts w:cs="Calibri"/>
          <w:lang w:eastAsia="ko-KR"/>
        </w:rPr>
      </w:pPr>
      <w:r w:rsidRPr="009B7902">
        <w:rPr>
          <w:rFonts w:cs="Calibri"/>
          <w:lang w:eastAsia="ko-KR"/>
        </w:rPr>
        <w:t>Introduction</w:t>
      </w:r>
    </w:p>
    <w:p w14:paraId="5CA0EF57" w14:textId="77777777" w:rsidR="003A113E" w:rsidRPr="009B7902" w:rsidRDefault="003A113E" w:rsidP="009B7902">
      <w:pPr>
        <w:pStyle w:val="2"/>
        <w:rPr>
          <w:rFonts w:cs="Calibri"/>
          <w:lang w:eastAsia="ko-KR"/>
        </w:rPr>
      </w:pPr>
    </w:p>
    <w:p w14:paraId="26622C76" w14:textId="00F0F18A" w:rsidR="003A113E" w:rsidRPr="009B7902" w:rsidRDefault="003A113E" w:rsidP="009B7902">
      <w:pPr>
        <w:pStyle w:val="2"/>
        <w:rPr>
          <w:rFonts w:cs="Calibri"/>
          <w:lang w:eastAsia="ko-KR"/>
        </w:rPr>
      </w:pPr>
      <w:r w:rsidRPr="009B7902">
        <w:rPr>
          <w:rFonts w:cs="Calibri"/>
          <w:lang w:eastAsia="ko-KR"/>
        </w:rPr>
        <w:t>Results</w:t>
      </w:r>
    </w:p>
    <w:p w14:paraId="571B3B7C" w14:textId="77777777" w:rsidR="003A113E" w:rsidRPr="009B7902" w:rsidRDefault="003A113E" w:rsidP="009B7902">
      <w:pPr>
        <w:pStyle w:val="2"/>
        <w:rPr>
          <w:rFonts w:cs="Calibri"/>
          <w:lang w:eastAsia="ko-KR"/>
        </w:rPr>
      </w:pPr>
    </w:p>
    <w:p w14:paraId="36B9E845" w14:textId="07C96EB3" w:rsidR="003A113E" w:rsidRPr="009B7902" w:rsidRDefault="003A113E" w:rsidP="009B7902">
      <w:pPr>
        <w:pStyle w:val="2"/>
        <w:rPr>
          <w:rFonts w:cs="Calibri"/>
          <w:lang w:eastAsia="ko-KR"/>
        </w:rPr>
      </w:pPr>
      <w:r w:rsidRPr="009B7902">
        <w:rPr>
          <w:rFonts w:cs="Calibri"/>
          <w:lang w:eastAsia="ko-KR"/>
        </w:rPr>
        <w:t>Discussion</w:t>
      </w:r>
    </w:p>
    <w:p w14:paraId="42EA11B2" w14:textId="77777777" w:rsidR="003A113E" w:rsidRPr="009B7902" w:rsidRDefault="003A113E">
      <w:pPr>
        <w:rPr>
          <w:rFonts w:asciiTheme="majorHAnsi" w:eastAsia="Malgun Gothic" w:hAnsiTheme="majorHAnsi" w:cs="Calibri"/>
          <w:lang w:eastAsia="ko-KR"/>
        </w:rPr>
      </w:pPr>
    </w:p>
    <w:p w14:paraId="5E18D6DE" w14:textId="71A8C232" w:rsidR="003A113E" w:rsidRPr="009B7902" w:rsidRDefault="003A113E" w:rsidP="009B7902">
      <w:pPr>
        <w:pStyle w:val="2"/>
        <w:rPr>
          <w:rFonts w:cs="Calibri"/>
          <w:lang w:eastAsia="ko-KR"/>
        </w:rPr>
      </w:pPr>
      <w:r w:rsidRPr="009B7902">
        <w:rPr>
          <w:rFonts w:cs="Calibri"/>
          <w:lang w:eastAsia="ko-KR"/>
        </w:rPr>
        <w:t>Methods</w:t>
      </w:r>
    </w:p>
    <w:p w14:paraId="61D0B324" w14:textId="77777777" w:rsidR="009B7902" w:rsidRPr="009B7902" w:rsidRDefault="009B7902" w:rsidP="009B7902">
      <w:pPr>
        <w:rPr>
          <w:rStyle w:val="a7"/>
          <w:rFonts w:asciiTheme="majorHAnsi" w:eastAsia="Malgun Gothic" w:hAnsiTheme="majorHAnsi" w:cs="Calibri"/>
          <w:i w:val="0"/>
          <w:iCs w:val="0"/>
          <w:lang w:eastAsia="ko-KR"/>
        </w:rPr>
      </w:pPr>
      <w:r w:rsidRPr="009B7902">
        <w:rPr>
          <w:rStyle w:val="a7"/>
          <w:rFonts w:asciiTheme="majorHAnsi" w:hAnsiTheme="majorHAnsi" w:cs="Calibri"/>
          <w:i w:val="0"/>
          <w:iCs w:val="0"/>
          <w:lang w:eastAsia="ko-KR"/>
        </w:rPr>
        <w:t>Study design and data sources</w:t>
      </w:r>
    </w:p>
    <w:p w14:paraId="1E48EC8A" w14:textId="58B6473F" w:rsidR="009B7902" w:rsidRPr="009B7902" w:rsidRDefault="009B7902" w:rsidP="009B7902">
      <w:pPr>
        <w:rPr>
          <w:rFonts w:eastAsia="Malgun Gothic" w:hint="eastAsia"/>
          <w:lang w:eastAsia="ko-KR"/>
        </w:rPr>
      </w:pPr>
      <w:r w:rsidRPr="009B7902">
        <w:rPr>
          <w:rFonts w:eastAsia="Malgun Gothic" w:hint="eastAsia"/>
          <w:lang w:eastAsia="ko-KR"/>
        </w:rPr>
        <w:t>dd</w:t>
      </w:r>
    </w:p>
    <w:p w14:paraId="1E7543BF" w14:textId="5A907832" w:rsidR="009B7902" w:rsidRPr="009B7902" w:rsidRDefault="009B7902" w:rsidP="009B7902">
      <w:pPr>
        <w:rPr>
          <w:rStyle w:val="a7"/>
          <w:rFonts w:asciiTheme="majorHAnsi" w:hAnsiTheme="majorHAnsi" w:cs="Calibri"/>
          <w:i w:val="0"/>
          <w:iCs w:val="0"/>
          <w:lang w:eastAsia="ko-KR"/>
        </w:rPr>
      </w:pPr>
      <w:r w:rsidRPr="009B7902">
        <w:rPr>
          <w:rStyle w:val="a7"/>
          <w:rFonts w:asciiTheme="majorHAnsi" w:hAnsiTheme="majorHAnsi" w:cs="Calibri"/>
          <w:i w:val="0"/>
          <w:iCs w:val="0"/>
          <w:lang w:eastAsia="ko-KR"/>
        </w:rPr>
        <w:t xml:space="preserve">Baseline population immunity </w:t>
      </w:r>
    </w:p>
    <w:p w14:paraId="13B4BDCC" w14:textId="735FF279" w:rsidR="009B7902" w:rsidRDefault="009B7902" w:rsidP="009B7902">
      <w:pPr>
        <w:rPr>
          <w:rStyle w:val="a7"/>
          <w:rFonts w:asciiTheme="majorHAnsi" w:eastAsia="Malgun Gothic" w:hAnsiTheme="majorHAnsi" w:cs="Calibri"/>
          <w:i w:val="0"/>
          <w:iCs w:val="0"/>
          <w:lang w:eastAsia="ko-KR"/>
        </w:rPr>
      </w:pPr>
      <w:r w:rsidRPr="009B7902">
        <w:rPr>
          <w:rStyle w:val="a7"/>
          <w:rFonts w:asciiTheme="majorHAnsi" w:hAnsiTheme="majorHAnsi" w:cs="Calibri"/>
          <w:i w:val="0"/>
          <w:iCs w:val="0"/>
          <w:lang w:eastAsia="ko-KR"/>
        </w:rPr>
        <w:t xml:space="preserve">Transmission model </w:t>
      </w:r>
    </w:p>
    <w:p w14:paraId="21A7BB5E" w14:textId="77777777" w:rsidR="00337BA6" w:rsidRDefault="00337BA6" w:rsidP="00337BA6">
      <w:pPr>
        <w:spacing w:line="360" w:lineRule="auto"/>
        <w:rPr>
          <w:rFonts w:ascii="Calibri" w:hAnsi="Calibri" w:cs="Calibri"/>
          <w:sz w:val="22"/>
          <w:szCs w:val="22"/>
        </w:rPr>
      </w:pPr>
      <w:r>
        <w:rPr>
          <w:rFonts w:ascii="Calibri" w:hAnsi="Calibri" w:cs="Calibri" w:hint="eastAsia"/>
          <w:sz w:val="22"/>
          <w:szCs w:val="22"/>
        </w:rPr>
        <w:t xml:space="preserve">We used an age-structured SEIRV transmission dynamic model to simulate chikungunya outbreak transmission across the 11 subnational states in Brazil that met the inclusion </w:t>
      </w:r>
      <w:r>
        <w:rPr>
          <w:rFonts w:ascii="Calibri" w:hAnsi="Calibri" w:cs="Calibri"/>
          <w:sz w:val="22"/>
          <w:szCs w:val="22"/>
        </w:rPr>
        <w:t>criteria</w:t>
      </w:r>
      <w:r>
        <w:rPr>
          <w:rFonts w:ascii="Calibri" w:hAnsi="Calibri" w:cs="Calibri" w:hint="eastAsia"/>
          <w:sz w:val="22"/>
          <w:szCs w:val="22"/>
        </w:rPr>
        <w:t xml:space="preserve">. The population of each state </w:t>
      </w:r>
      <m:oMath>
        <m:r>
          <w:rPr>
            <w:rFonts w:ascii="Cambria Math" w:hAnsi="Cambria Math" w:cs="Calibri"/>
            <w:sz w:val="22"/>
            <w:szCs w:val="22"/>
          </w:rPr>
          <m:t>r</m:t>
        </m:r>
      </m:oMath>
      <w:r>
        <w:rPr>
          <w:rFonts w:ascii="Calibri" w:hAnsi="Calibri" w:cs="Calibri" w:hint="eastAsia"/>
          <w:sz w:val="22"/>
          <w:szCs w:val="22"/>
        </w:rPr>
        <w:t xml:space="preserve">, and </w:t>
      </w:r>
      <m:oMath>
        <m:sSub>
          <m:sSubPr>
            <m:ctrlPr>
              <w:rPr>
                <w:rFonts w:ascii="Cambria Math" w:hAnsi="Cambria Math" w:cs="Calibri"/>
                <w:i/>
                <w:sz w:val="22"/>
                <w:szCs w:val="22"/>
              </w:rPr>
            </m:ctrlPr>
          </m:sSubPr>
          <m:e>
            <m:r>
              <w:rPr>
                <w:rFonts w:ascii="Cambria Math" w:hAnsi="Cambria Math" w:cs="Calibri"/>
                <w:sz w:val="22"/>
                <w:szCs w:val="22"/>
              </w:rPr>
              <m:t>N</m:t>
            </m:r>
          </m:e>
          <m:sub>
            <m:r>
              <w:rPr>
                <w:rFonts w:ascii="Cambria Math" w:hAnsi="Cambria Math" w:cs="Calibri"/>
                <w:sz w:val="22"/>
                <w:szCs w:val="22"/>
              </w:rPr>
              <m:t>a,r</m:t>
            </m:r>
          </m:sub>
        </m:sSub>
      </m:oMath>
      <w:r>
        <w:rPr>
          <w:rFonts w:ascii="Calibri" w:hAnsi="Calibri" w:cs="Calibri" w:hint="eastAsia"/>
          <w:sz w:val="22"/>
          <w:szCs w:val="22"/>
        </w:rPr>
        <w:t xml:space="preserve"> denoting the size of age </w:t>
      </w:r>
      <m:oMath>
        <m:r>
          <w:rPr>
            <w:rFonts w:ascii="Cambria Math" w:hAnsi="Cambria Math" w:cs="Calibri"/>
            <w:sz w:val="22"/>
            <w:szCs w:val="22"/>
          </w:rPr>
          <m:t>a</m:t>
        </m:r>
      </m:oMath>
      <w:r w:rsidRPr="12DC6660">
        <w:rPr>
          <w:rFonts w:ascii="Calibri" w:hAnsi="Calibri" w:cs="Calibri"/>
          <w:sz w:val="22"/>
          <w:szCs w:val="22"/>
        </w:rPr>
        <w:t xml:space="preserve">. </w:t>
      </w:r>
    </w:p>
    <w:p w14:paraId="3ACBD519" w14:textId="77777777" w:rsidR="00337BA6" w:rsidRDefault="00337BA6" w:rsidP="00337BA6">
      <w:pPr>
        <w:spacing w:line="360" w:lineRule="auto"/>
        <w:rPr>
          <w:rFonts w:ascii="Calibri" w:hAnsi="Calibri" w:cs="Calibri"/>
          <w:sz w:val="22"/>
          <w:szCs w:val="22"/>
        </w:rPr>
      </w:pPr>
    </w:p>
    <w:p w14:paraId="38BAF2A7" w14:textId="77777777" w:rsidR="00337BA6" w:rsidRDefault="00337BA6" w:rsidP="00337BA6">
      <w:pPr>
        <w:spacing w:line="360" w:lineRule="auto"/>
        <w:rPr>
          <w:rFonts w:ascii="Calibri" w:hAnsi="Calibri" w:cs="Calibri"/>
          <w:sz w:val="22"/>
          <w:szCs w:val="22"/>
        </w:rPr>
      </w:pPr>
      <w:r>
        <w:rPr>
          <w:rFonts w:ascii="Calibri" w:hAnsi="Calibri" w:cs="Calibri" w:hint="eastAsia"/>
          <w:sz w:val="22"/>
          <w:szCs w:val="22"/>
        </w:rPr>
        <w:t>Each age class is partitioned into five compartments: susceptible (S), exposed (E), Infectious (I), recovered (R), and vaccinated (V). We used the same model structure with vaccine coverage = 0 to estimate counterfactual (no vaccination) disease burden, total attack rates (</w:t>
      </w:r>
      <w:r w:rsidRPr="003A2EBC">
        <w:rPr>
          <w:rFonts w:ascii="Calibri" w:hAnsi="Calibri" w:cs="Calibri"/>
          <w:i/>
          <w:iCs/>
          <w:color w:val="156082" w:themeColor="accent1"/>
          <w:sz w:val="21"/>
          <w:szCs w:val="21"/>
        </w:rPr>
        <w:fldChar w:fldCharType="begin"/>
      </w:r>
      <w:r w:rsidRPr="003A2EBC">
        <w:rPr>
          <w:rFonts w:ascii="Calibri" w:hAnsi="Calibri" w:cs="Calibri"/>
          <w:i/>
          <w:iCs/>
          <w:color w:val="156082" w:themeColor="accent1"/>
          <w:sz w:val="21"/>
          <w:szCs w:val="21"/>
        </w:rPr>
        <w:instrText xml:space="preserve"> REF _Ref227597499 \h  \* MERGEFORMAT </w:instrText>
      </w:r>
      <w:r w:rsidRPr="003A2EBC">
        <w:rPr>
          <w:rFonts w:ascii="Calibri" w:hAnsi="Calibri" w:cs="Calibri"/>
          <w:i/>
          <w:iCs/>
          <w:color w:val="156082" w:themeColor="accent1"/>
          <w:sz w:val="21"/>
          <w:szCs w:val="21"/>
        </w:rPr>
      </w:r>
      <w:r w:rsidRPr="003A2EBC">
        <w:rPr>
          <w:rFonts w:ascii="Calibri" w:hAnsi="Calibri" w:cs="Calibri"/>
          <w:i/>
          <w:iCs/>
          <w:color w:val="156082" w:themeColor="accent1"/>
          <w:sz w:val="21"/>
          <w:szCs w:val="21"/>
        </w:rPr>
        <w:fldChar w:fldCharType="separate"/>
      </w:r>
      <w:r w:rsidRPr="003A2EBC">
        <w:rPr>
          <w:rFonts w:ascii="Calibri" w:hAnsi="Calibri" w:cs="Calibri"/>
          <w:i/>
          <w:iCs/>
          <w:color w:val="156082" w:themeColor="accent1"/>
          <w:sz w:val="22"/>
          <w:szCs w:val="22"/>
        </w:rPr>
        <w:t xml:space="preserve">Section S </w:t>
      </w:r>
      <w:r w:rsidRPr="003A2EBC">
        <w:rPr>
          <w:rFonts w:ascii="Calibri" w:hAnsi="Calibri" w:cs="Calibri"/>
          <w:i/>
          <w:iCs/>
          <w:noProof/>
          <w:color w:val="156082" w:themeColor="accent1"/>
          <w:sz w:val="22"/>
          <w:szCs w:val="22"/>
        </w:rPr>
        <w:t>1</w:t>
      </w:r>
      <w:r w:rsidRPr="003A2EBC">
        <w:rPr>
          <w:rFonts w:ascii="Calibri" w:hAnsi="Calibri" w:cs="Calibri"/>
          <w:i/>
          <w:iCs/>
          <w:color w:val="156082" w:themeColor="accent1"/>
          <w:sz w:val="21"/>
          <w:szCs w:val="21"/>
        </w:rPr>
        <w:fldChar w:fldCharType="end"/>
      </w:r>
      <w:r>
        <w:rPr>
          <w:rFonts w:ascii="Calibri" w:hAnsi="Calibri" w:cs="Calibri" w:hint="eastAsia"/>
          <w:sz w:val="22"/>
          <w:szCs w:val="22"/>
        </w:rPr>
        <w:t xml:space="preserve">). </w:t>
      </w:r>
    </w:p>
    <w:p w14:paraId="76FBD0F3" w14:textId="77777777" w:rsidR="00337BA6" w:rsidRDefault="00337BA6" w:rsidP="00337BA6">
      <w:pPr>
        <w:spacing w:line="360" w:lineRule="auto"/>
        <w:rPr>
          <w:rFonts w:ascii="Calibri" w:hAnsi="Calibri" w:cs="Calibri"/>
          <w:sz w:val="22"/>
          <w:szCs w:val="22"/>
        </w:rPr>
      </w:pPr>
    </w:p>
    <w:p w14:paraId="358BE3C7" w14:textId="77777777" w:rsidR="00337BA6" w:rsidRDefault="00337BA6" w:rsidP="00337BA6">
      <w:pPr>
        <w:spacing w:line="360" w:lineRule="auto"/>
        <w:rPr>
          <w:rFonts w:ascii="Calibri" w:hAnsi="Calibri" w:cs="Calibri"/>
          <w:sz w:val="22"/>
          <w:szCs w:val="22"/>
        </w:rPr>
      </w:pPr>
      <w:r>
        <w:rPr>
          <w:rFonts w:ascii="Calibri" w:hAnsi="Calibri" w:cs="Calibri" w:hint="eastAsia"/>
          <w:sz w:val="22"/>
          <w:szCs w:val="22"/>
        </w:rPr>
        <w:t xml:space="preserve">For outbreak response immunisation, we </w:t>
      </w:r>
      <w:r w:rsidRPr="00DD3C67">
        <w:rPr>
          <w:rFonts w:ascii="Calibri" w:hAnsi="Calibri" w:cs="Calibri"/>
          <w:sz w:val="22"/>
          <w:szCs w:val="22"/>
        </w:rPr>
        <w:t>assumed (</w:t>
      </w:r>
      <w:proofErr w:type="spellStart"/>
      <w:r w:rsidRPr="00DD3C67">
        <w:rPr>
          <w:rFonts w:ascii="Calibri" w:hAnsi="Calibri" w:cs="Calibri"/>
          <w:sz w:val="22"/>
          <w:szCs w:val="22"/>
        </w:rPr>
        <w:t>i</w:t>
      </w:r>
      <w:proofErr w:type="spellEnd"/>
      <w:r w:rsidRPr="00DD3C67">
        <w:rPr>
          <w:rFonts w:ascii="Calibri" w:hAnsi="Calibri" w:cs="Calibri"/>
          <w:sz w:val="22"/>
          <w:szCs w:val="22"/>
        </w:rPr>
        <w:t xml:space="preserve">) disease blocking only efficacy, and (ii) disease and infection-blocking vaccine efficacy mechanisms. Under disease blocking efficacy assumption, </w:t>
      </w:r>
      <w:r>
        <w:rPr>
          <w:rFonts w:ascii="Calibri" w:hAnsi="Calibri" w:cs="Calibri" w:hint="eastAsia"/>
          <w:sz w:val="22"/>
          <w:szCs w:val="22"/>
        </w:rPr>
        <w:t>vaccination</w:t>
      </w:r>
      <w:r w:rsidRPr="00DD3C67">
        <w:rPr>
          <w:rFonts w:ascii="Calibri" w:hAnsi="Calibri" w:cs="Calibri"/>
          <w:sz w:val="22"/>
          <w:szCs w:val="22"/>
        </w:rPr>
        <w:t xml:space="preserve"> does not alter force of infection, and thus the total infections will remain the same. However, total symptomatic individuals will decrease by disease blocking efficacy</w:t>
      </w:r>
      <w:r>
        <w:rPr>
          <w:rFonts w:ascii="Calibri" w:hAnsi="Calibri" w:cs="Calibri" w:hint="eastAsia"/>
          <w:sz w:val="22"/>
          <w:szCs w:val="22"/>
        </w:rPr>
        <w:t xml:space="preserve"> </w:t>
      </w:r>
      <m:oMath>
        <m:r>
          <w:rPr>
            <w:rFonts w:ascii="Cambria Math" w:hAnsi="Cambria Math" w:cs="Calibri"/>
            <w:sz w:val="22"/>
            <w:szCs w:val="22"/>
          </w:rPr>
          <m:t>(V</m:t>
        </m:r>
        <m:sSub>
          <m:sSubPr>
            <m:ctrlPr>
              <w:rPr>
                <w:rFonts w:ascii="Cambria Math" w:hAnsi="Cambria Math" w:cs="Calibri"/>
                <w:i/>
                <w:sz w:val="22"/>
                <w:szCs w:val="22"/>
              </w:rPr>
            </m:ctrlPr>
          </m:sSubPr>
          <m:e>
            <m:r>
              <w:rPr>
                <w:rFonts w:ascii="Cambria Math" w:hAnsi="Cambria Math" w:cs="Calibri"/>
                <w:sz w:val="22"/>
                <w:szCs w:val="22"/>
              </w:rPr>
              <m:t>E</m:t>
            </m:r>
          </m:e>
          <m:sub>
            <m:r>
              <w:rPr>
                <w:rFonts w:ascii="Cambria Math" w:hAnsi="Cambria Math" w:cs="Calibri"/>
                <w:sz w:val="22"/>
                <w:szCs w:val="22"/>
              </w:rPr>
              <m:t>block</m:t>
            </m:r>
          </m:sub>
        </m:sSub>
        <m:r>
          <w:rPr>
            <w:rFonts w:ascii="Cambria Math" w:hAnsi="Cambria Math" w:cs="Calibri"/>
            <w:sz w:val="22"/>
            <w:szCs w:val="22"/>
          </w:rPr>
          <m:t>)</m:t>
        </m:r>
      </m:oMath>
      <w:r w:rsidRPr="00DD3C67">
        <w:rPr>
          <w:rFonts w:ascii="Calibri" w:hAnsi="Calibri" w:cs="Calibri"/>
          <w:sz w:val="22"/>
          <w:szCs w:val="22"/>
        </w:rPr>
        <w:t xml:space="preserve"> and vaccine coverage. Under disease and infection blocking efficacy </w:t>
      </w:r>
      <w:r w:rsidRPr="00DD3C67">
        <w:rPr>
          <w:rFonts w:ascii="Calibri" w:hAnsi="Calibri" w:cs="Calibri"/>
          <w:sz w:val="22"/>
          <w:szCs w:val="22"/>
        </w:rPr>
        <w:lastRenderedPageBreak/>
        <w:t>assumption, successfully vaccinated individuals acquire immunity after certain days post-vaccination (14-days) and removed from susceptible compartment, thus changing the force of infection. Therefore, there were both direct impacts (on vaccinated) and indirect impacts (non-vaccinated) of vaccination. We assumed all-or-nothing vaccine, so successfully vaccinated individuals in the V compartment will remain in the V compartment, without mo</w:t>
      </w:r>
      <w:proofErr w:type="spellStart"/>
      <w:r w:rsidRPr="00DD3C67">
        <w:rPr>
          <w:rFonts w:ascii="Calibri" w:hAnsi="Calibri" w:cs="Calibri"/>
          <w:sz w:val="22"/>
          <w:szCs w:val="22"/>
        </w:rPr>
        <w:t>ving</w:t>
      </w:r>
      <w:proofErr w:type="spellEnd"/>
      <w:r w:rsidRPr="00DD3C67">
        <w:rPr>
          <w:rFonts w:ascii="Calibri" w:hAnsi="Calibri" w:cs="Calibri"/>
          <w:sz w:val="22"/>
          <w:szCs w:val="22"/>
        </w:rPr>
        <w:t xml:space="preserve"> into the I compartment again. We assumed that transmission rate (</w:t>
      </w:r>
      <m:oMath>
        <m:sSub>
          <m:sSubPr>
            <m:ctrlPr>
              <w:rPr>
                <w:rFonts w:ascii="Cambria Math" w:hAnsi="Cambria Math" w:cs="Calibri"/>
                <w:i/>
                <w:sz w:val="22"/>
                <w:szCs w:val="22"/>
              </w:rPr>
            </m:ctrlPr>
          </m:sSubPr>
          <m:e>
            <m:r>
              <w:rPr>
                <w:rFonts w:ascii="Cambria Math" w:hAnsi="Cambria Math" w:cs="Calibri"/>
                <w:sz w:val="22"/>
                <w:szCs w:val="22"/>
              </w:rPr>
              <m:t>β</m:t>
            </m:r>
          </m:e>
          <m:sub>
            <m:r>
              <w:rPr>
                <w:rFonts w:ascii="Cambria Math" w:hAnsi="Cambria Math" w:cs="Calibri"/>
                <w:sz w:val="22"/>
                <w:szCs w:val="22"/>
              </w:rPr>
              <m:t>t</m:t>
            </m:r>
          </m:sub>
        </m:sSub>
      </m:oMath>
      <w:r w:rsidRPr="00DD3C67">
        <w:rPr>
          <w:rFonts w:ascii="Calibri" w:hAnsi="Calibri" w:cs="Calibri"/>
          <w:sz w:val="22"/>
          <w:szCs w:val="22"/>
        </w:rPr>
        <w:t>) is time-varying each week from week 1 to 52. We used literature-based information for the recovery rate (γ).</w:t>
      </w:r>
      <w:r>
        <w:rPr>
          <w:rFonts w:ascii="Calibri" w:hAnsi="Calibri" w:cs="Calibri" w:hint="eastAsia"/>
          <w:sz w:val="22"/>
          <w:szCs w:val="22"/>
        </w:rPr>
        <w:t xml:space="preserve"> </w:t>
      </w:r>
    </w:p>
    <w:p w14:paraId="18822814" w14:textId="77777777" w:rsidR="00337BA6" w:rsidRDefault="00337BA6" w:rsidP="00337BA6">
      <w:pPr>
        <w:spacing w:line="360" w:lineRule="auto"/>
        <w:rPr>
          <w:rFonts w:ascii="Calibri" w:hAnsi="Calibri" w:cs="Calibri"/>
          <w:iCs/>
          <w:sz w:val="22"/>
          <w:szCs w:val="22"/>
          <w:lang w:val="en-US"/>
        </w:rPr>
      </w:pPr>
      <w:r>
        <w:rPr>
          <w:rFonts w:ascii="Calibri" w:hAnsi="Calibri" w:cs="Calibri" w:hint="eastAsia"/>
          <w:iCs/>
          <w:sz w:val="22"/>
          <w:szCs w:val="22"/>
          <w:lang w:val="en-US"/>
        </w:rPr>
        <w:t xml:space="preserve">The transmission rate </w:t>
      </w:r>
      <m:oMath>
        <m:sSub>
          <m:sSubPr>
            <m:ctrlPr>
              <w:rPr>
                <w:rFonts w:ascii="Cambria Math" w:hAnsi="Cambria Math" w:cs="Calibri"/>
                <w:i/>
                <w:iCs/>
                <w:sz w:val="22"/>
                <w:szCs w:val="22"/>
                <w:lang w:val="en-US"/>
              </w:rPr>
            </m:ctrlPr>
          </m:sSubPr>
          <m:e>
            <m:r>
              <w:rPr>
                <w:rFonts w:ascii="Cambria Math" w:hAnsi="Cambria Math" w:cs="Calibri"/>
                <w:sz w:val="22"/>
                <w:szCs w:val="22"/>
                <w:lang w:val="en-US"/>
              </w:rPr>
              <m:t>β</m:t>
            </m:r>
          </m:e>
          <m:sub>
            <m:r>
              <w:rPr>
                <w:rFonts w:ascii="Cambria Math" w:hAnsi="Cambria Math" w:cs="Calibri"/>
                <w:sz w:val="22"/>
                <w:szCs w:val="22"/>
                <w:lang w:val="en-US"/>
              </w:rPr>
              <m:t>r,t</m:t>
            </m:r>
          </m:sub>
        </m:sSub>
      </m:oMath>
      <w:r>
        <w:rPr>
          <w:rFonts w:ascii="Calibri" w:hAnsi="Calibri" w:cs="Calibri" w:hint="eastAsia"/>
          <w:iCs/>
          <w:sz w:val="22"/>
          <w:szCs w:val="22"/>
          <w:lang w:val="en-US"/>
        </w:rPr>
        <w:t xml:space="preserve"> was allowed to vary over time to capture seasonally and </w:t>
      </w:r>
      <w:r>
        <w:rPr>
          <w:rFonts w:ascii="Calibri" w:hAnsi="Calibri" w:cs="Calibri"/>
          <w:iCs/>
          <w:sz w:val="22"/>
          <w:szCs w:val="22"/>
          <w:lang w:val="en-US"/>
        </w:rPr>
        <w:t>epidemiologically</w:t>
      </w:r>
      <w:r>
        <w:rPr>
          <w:rFonts w:ascii="Calibri" w:hAnsi="Calibri" w:cs="Calibri" w:hint="eastAsia"/>
          <w:iCs/>
          <w:sz w:val="22"/>
          <w:szCs w:val="22"/>
          <w:lang w:val="en-US"/>
        </w:rPr>
        <w:t xml:space="preserve"> driven changes in transmission intensity. For each state </w:t>
      </w:r>
      <m:oMath>
        <m:r>
          <w:rPr>
            <w:rFonts w:ascii="Cambria Math" w:hAnsi="Cambria Math" w:cs="Calibri"/>
            <w:sz w:val="22"/>
            <w:szCs w:val="22"/>
            <w:lang w:val="en-US"/>
          </w:rPr>
          <m:t>r</m:t>
        </m:r>
      </m:oMath>
      <w:r>
        <w:rPr>
          <w:rFonts w:ascii="Calibri" w:hAnsi="Calibri" w:cs="Calibri" w:hint="eastAsia"/>
          <w:iCs/>
          <w:sz w:val="22"/>
          <w:szCs w:val="22"/>
          <w:lang w:val="en-US"/>
        </w:rPr>
        <w:t xml:space="preserve">, </w:t>
      </w:r>
      <m:oMath>
        <m:sSub>
          <m:sSubPr>
            <m:ctrlPr>
              <w:rPr>
                <w:rFonts w:ascii="Cambria Math" w:hAnsi="Cambria Math" w:cs="Calibri"/>
                <w:i/>
                <w:iCs/>
                <w:sz w:val="22"/>
                <w:szCs w:val="22"/>
                <w:lang w:val="en-US"/>
              </w:rPr>
            </m:ctrlPr>
          </m:sSubPr>
          <m:e>
            <m:r>
              <w:rPr>
                <w:rFonts w:ascii="Cambria Math" w:hAnsi="Cambria Math" w:cs="Calibri"/>
                <w:sz w:val="22"/>
                <w:szCs w:val="22"/>
                <w:lang w:val="en-US"/>
              </w:rPr>
              <m:t>β</m:t>
            </m:r>
          </m:e>
          <m:sub>
            <m:r>
              <w:rPr>
                <w:rFonts w:ascii="Cambria Math" w:hAnsi="Cambria Math" w:cs="Calibri"/>
                <w:sz w:val="22"/>
                <w:szCs w:val="22"/>
                <w:lang w:val="en-US"/>
              </w:rPr>
              <m:t>r,t</m:t>
            </m:r>
          </m:sub>
        </m:sSub>
      </m:oMath>
      <w:r>
        <w:rPr>
          <w:rFonts w:ascii="Calibri" w:hAnsi="Calibri" w:cs="Calibri" w:hint="eastAsia"/>
          <w:iCs/>
          <w:sz w:val="22"/>
          <w:szCs w:val="22"/>
          <w:lang w:val="en-US"/>
        </w:rPr>
        <w:t xml:space="preserve"> was estimated by fitting the model to the weekly reported symptomatic case time-series data from Brazil</w:t>
      </w:r>
      <w:r>
        <w:rPr>
          <w:rFonts w:ascii="Calibri" w:hAnsi="Calibri" w:cs="Calibri"/>
          <w:iCs/>
          <w:sz w:val="22"/>
          <w:szCs w:val="22"/>
          <w:lang w:val="en-US"/>
        </w:rPr>
        <w:t>’</w:t>
      </w:r>
      <w:r>
        <w:rPr>
          <w:rFonts w:ascii="Calibri" w:hAnsi="Calibri" w:cs="Calibri" w:hint="eastAsia"/>
          <w:iCs/>
          <w:sz w:val="22"/>
          <w:szCs w:val="22"/>
          <w:lang w:val="en-US"/>
        </w:rPr>
        <w:t xml:space="preserve">s SINAN surveillance in 2022, using a reported symptomatic fraction </w:t>
      </w:r>
      <m:oMath>
        <m:r>
          <w:rPr>
            <w:rFonts w:ascii="Cambria Math" w:hAnsi="Cambria Math" w:cs="Calibri"/>
            <w:sz w:val="22"/>
            <w:szCs w:val="22"/>
            <w:lang w:val="en-US"/>
          </w:rPr>
          <m:t>ρ</m:t>
        </m:r>
      </m:oMath>
      <w:r>
        <w:rPr>
          <w:rFonts w:ascii="Calibri" w:hAnsi="Calibri" w:cs="Calibri" w:hint="eastAsia"/>
          <w:iCs/>
          <w:sz w:val="22"/>
          <w:szCs w:val="22"/>
          <w:lang w:val="en-US"/>
        </w:rPr>
        <w:t xml:space="preserve"> (=reporting rate) to link model predicted symptomatic cases to observed symptomatic case counts.</w:t>
      </w:r>
    </w:p>
    <w:p w14:paraId="54483CB0" w14:textId="77777777" w:rsidR="00337BA6" w:rsidRDefault="00337BA6" w:rsidP="00337BA6">
      <w:pPr>
        <w:spacing w:line="360" w:lineRule="auto"/>
        <w:rPr>
          <w:rFonts w:ascii="Calibri" w:hAnsi="Calibri" w:cs="Calibri"/>
          <w:iCs/>
          <w:sz w:val="22"/>
          <w:szCs w:val="22"/>
          <w:lang w:val="en-US"/>
        </w:rPr>
      </w:pPr>
    </w:p>
    <w:p w14:paraId="724D1954" w14:textId="77777777" w:rsidR="00337BA6" w:rsidRDefault="00337BA6" w:rsidP="00337BA6">
      <w:pPr>
        <w:spacing w:line="360" w:lineRule="auto"/>
        <w:rPr>
          <w:rFonts w:ascii="Calibri" w:hAnsi="Calibri" w:cs="Calibri"/>
          <w:iCs/>
          <w:sz w:val="22"/>
          <w:szCs w:val="22"/>
          <w:lang w:val="en-US"/>
        </w:rPr>
      </w:pPr>
      <w:r>
        <w:rPr>
          <w:rFonts w:ascii="Calibri" w:hAnsi="Calibri" w:cs="Calibri" w:hint="eastAsia"/>
          <w:iCs/>
          <w:sz w:val="22"/>
          <w:szCs w:val="22"/>
          <w:lang w:val="en-US"/>
        </w:rPr>
        <w:t xml:space="preserve">Reported cases were modelled with a negative binomial likelihood to account for overdispersion in surveillance data: </w:t>
      </w:r>
    </w:p>
    <w:p w14:paraId="12D1B337" w14:textId="77777777" w:rsidR="00337BA6" w:rsidRPr="00B028C8" w:rsidRDefault="00337BA6" w:rsidP="00337BA6">
      <w:pPr>
        <w:spacing w:line="360" w:lineRule="auto"/>
        <w:rPr>
          <w:rFonts w:ascii="Calibri" w:hAnsi="Calibri" w:cs="Calibri"/>
        </w:rPr>
      </w:pPr>
      <m:oMathPara>
        <m:oMath>
          <m:sSubSup>
            <m:sSubSupPr>
              <m:ctrlPr>
                <w:rPr>
                  <w:rFonts w:ascii="Cambria Math" w:hAnsi="Cambria Math" w:cs="Calibri"/>
                  <w:i/>
                </w:rPr>
              </m:ctrlPr>
            </m:sSubSupPr>
            <m:e>
              <m:r>
                <w:rPr>
                  <w:rFonts w:ascii="Cambria Math" w:hAnsi="Cambria Math" w:cs="Calibri"/>
                </w:rPr>
                <m:t>Y</m:t>
              </m:r>
            </m:e>
            <m:sub>
              <m:r>
                <w:rPr>
                  <w:rFonts w:ascii="Cambria Math" w:hAnsi="Cambria Math" w:cs="Calibri"/>
                </w:rPr>
                <m:t>a,t</m:t>
              </m:r>
            </m:sub>
            <m:sup>
              <m:r>
                <w:rPr>
                  <w:rFonts w:ascii="Cambria Math" w:hAnsi="Cambria Math" w:cs="Calibri"/>
                </w:rPr>
                <m:t>obs</m:t>
              </m:r>
            </m:sup>
          </m:sSubSup>
          <m:r>
            <w:rPr>
              <w:rFonts w:ascii="Cambria Math" w:hAnsi="Cambria Math" w:cs="Calibri"/>
            </w:rPr>
            <m:t xml:space="preserve"> ~ NegBin </m:t>
          </m:r>
          <m:d>
            <m:dPr>
              <m:ctrlPr>
                <w:rPr>
                  <w:rFonts w:ascii="Cambria Math" w:hAnsi="Cambria Math" w:cs="Calibri"/>
                  <w:i/>
                </w:rPr>
              </m:ctrlPr>
            </m:dPr>
            <m:e>
              <m:r>
                <w:rPr>
                  <w:rFonts w:ascii="Cambria Math" w:hAnsi="Cambria Math" w:cs="Calibri"/>
                </w:rPr>
                <m:t>ρ ∙</m:t>
              </m:r>
              <m:sSub>
                <m:sSubPr>
                  <m:ctrlPr>
                    <w:rPr>
                      <w:rFonts w:ascii="Cambria Math" w:hAnsi="Cambria Math" w:cs="Calibri"/>
                      <w:i/>
                    </w:rPr>
                  </m:ctrlPr>
                </m:sSubPr>
                <m:e>
                  <m:r>
                    <w:rPr>
                      <w:rFonts w:ascii="Cambria Math" w:hAnsi="Cambria Math" w:cs="Calibri"/>
                    </w:rPr>
                    <m:t>I</m:t>
                  </m:r>
                </m:e>
                <m:sub>
                  <m:r>
                    <w:rPr>
                      <w:rFonts w:ascii="Cambria Math" w:hAnsi="Cambria Math" w:cs="Calibri"/>
                    </w:rPr>
                    <m:t>t</m:t>
                  </m:r>
                </m:sub>
              </m:sSub>
              <m:r>
                <w:rPr>
                  <w:rFonts w:ascii="Cambria Math" w:hAnsi="Cambria Math" w:cs="Calibri"/>
                </w:rPr>
                <m:t xml:space="preserve"> , φ</m:t>
              </m:r>
            </m:e>
          </m:d>
        </m:oMath>
      </m:oMathPara>
    </w:p>
    <w:p w14:paraId="11D4F6A9" w14:textId="77777777" w:rsidR="00337BA6" w:rsidRDefault="00337BA6" w:rsidP="00337BA6">
      <w:pPr>
        <w:spacing w:line="360" w:lineRule="auto"/>
        <w:rPr>
          <w:rFonts w:ascii="Calibri" w:hAnsi="Calibri" w:cs="Calibri"/>
        </w:rPr>
      </w:pPr>
    </w:p>
    <w:p w14:paraId="32077548" w14:textId="77777777" w:rsidR="00337BA6" w:rsidRPr="00FA6B0A" w:rsidRDefault="00337BA6" w:rsidP="00337BA6">
      <w:pPr>
        <w:spacing w:line="360" w:lineRule="auto"/>
        <w:rPr>
          <w:rFonts w:ascii="Calibri" w:hAnsi="Calibri" w:cs="Calibri"/>
          <w:sz w:val="22"/>
          <w:szCs w:val="22"/>
        </w:rPr>
      </w:pPr>
      <w:r>
        <w:rPr>
          <w:rFonts w:ascii="Calibri" w:hAnsi="Calibri" w:cs="Calibri"/>
          <w:iCs/>
          <w:sz w:val="22"/>
          <w:szCs w:val="22"/>
          <w:lang w:val="en-US"/>
        </w:rPr>
        <w:t>W</w:t>
      </w:r>
      <w:r>
        <w:rPr>
          <w:rFonts w:ascii="Calibri" w:hAnsi="Calibri" w:cs="Calibri" w:hint="eastAsia"/>
          <w:iCs/>
          <w:sz w:val="22"/>
          <w:szCs w:val="22"/>
          <w:lang w:val="en-US"/>
        </w:rPr>
        <w:t xml:space="preserve">here </w:t>
      </w:r>
      <m:oMath>
        <m:r>
          <w:rPr>
            <w:rFonts w:ascii="Cambria Math" w:hAnsi="Cambria Math" w:cs="Calibri"/>
          </w:rPr>
          <m:t>ρ</m:t>
        </m:r>
      </m:oMath>
      <w:r>
        <w:rPr>
          <w:rFonts w:ascii="Calibri" w:hAnsi="Calibri" w:cs="Calibri" w:hint="eastAsia"/>
        </w:rPr>
        <w:t xml:space="preserve"> </w:t>
      </w:r>
      <w:r>
        <w:rPr>
          <w:rFonts w:ascii="Calibri" w:hAnsi="Calibri" w:cs="Calibri" w:hint="eastAsia"/>
          <w:sz w:val="22"/>
          <w:szCs w:val="22"/>
        </w:rPr>
        <w:t xml:space="preserve">is reporting rate and </w:t>
      </w:r>
      <m:oMath>
        <m:r>
          <w:rPr>
            <w:rFonts w:ascii="Cambria Math" w:hAnsi="Cambria Math" w:cs="Calibri"/>
          </w:rPr>
          <m:t>φ</m:t>
        </m:r>
      </m:oMath>
      <w:r>
        <w:rPr>
          <w:rFonts w:ascii="Calibri" w:hAnsi="Calibri" w:cs="Calibri" w:hint="eastAsia"/>
        </w:rPr>
        <w:t xml:space="preserve"> </w:t>
      </w:r>
      <w:r>
        <w:rPr>
          <w:rFonts w:ascii="Calibri" w:hAnsi="Calibri" w:cs="Calibri" w:hint="eastAsia"/>
          <w:sz w:val="22"/>
          <w:szCs w:val="22"/>
        </w:rPr>
        <w:t xml:space="preserve">is overdispersion parameter. </w:t>
      </w:r>
    </w:p>
    <w:p w14:paraId="632B145C" w14:textId="77777777" w:rsidR="00337BA6" w:rsidRDefault="00337BA6" w:rsidP="00337BA6">
      <w:pPr>
        <w:spacing w:line="360" w:lineRule="auto"/>
        <w:rPr>
          <w:rFonts w:ascii="Calibri" w:hAnsi="Calibri" w:cs="Calibri"/>
          <w:iCs/>
          <w:sz w:val="22"/>
          <w:szCs w:val="22"/>
          <w:lang w:val="en-US"/>
        </w:rPr>
      </w:pPr>
      <w:r>
        <w:rPr>
          <w:rFonts w:ascii="Calibri" w:hAnsi="Calibri" w:cs="Calibri" w:hint="eastAsia"/>
          <w:iCs/>
          <w:sz w:val="22"/>
          <w:szCs w:val="22"/>
          <w:lang w:val="en-US"/>
        </w:rPr>
        <w:t>W</w:t>
      </w:r>
      <w:r w:rsidRPr="00FE0942">
        <w:rPr>
          <w:rFonts w:ascii="Calibri" w:hAnsi="Calibri" w:cs="Calibri"/>
          <w:iCs/>
          <w:sz w:val="22"/>
          <w:szCs w:val="22"/>
          <w:lang w:val="en-US"/>
        </w:rPr>
        <w:t>eekly transmission rates were treated as</w:t>
      </w:r>
      <w:r>
        <w:rPr>
          <w:rFonts w:ascii="Calibri" w:hAnsi="Calibri" w:cs="Calibri" w:hint="eastAsia"/>
          <w:iCs/>
          <w:sz w:val="22"/>
          <w:szCs w:val="22"/>
          <w:lang w:val="en-US"/>
        </w:rPr>
        <w:t xml:space="preserve"> independent free parameters while</w:t>
      </w:r>
      <w:r w:rsidRPr="00FE0942">
        <w:rPr>
          <w:rFonts w:ascii="Calibri" w:hAnsi="Calibri" w:cs="Calibri"/>
          <w:iCs/>
          <w:sz w:val="22"/>
          <w:szCs w:val="22"/>
          <w:lang w:val="en-US"/>
        </w:rPr>
        <w:t xml:space="preserve"> allowing dispersion</w:t>
      </w:r>
      <w:r>
        <w:rPr>
          <w:rFonts w:ascii="Calibri" w:hAnsi="Calibri" w:cs="Calibri" w:hint="eastAsia"/>
          <w:iCs/>
          <w:sz w:val="22"/>
          <w:szCs w:val="22"/>
          <w:lang w:val="en-US"/>
        </w:rPr>
        <w:t xml:space="preserve"> with following distributions assuming weakly informative </w:t>
      </w:r>
      <w:r>
        <w:rPr>
          <w:rFonts w:ascii="Calibri" w:hAnsi="Calibri" w:cs="Calibri"/>
          <w:iCs/>
          <w:sz w:val="22"/>
          <w:szCs w:val="22"/>
          <w:lang w:val="en-US"/>
        </w:rPr>
        <w:t>and</w:t>
      </w:r>
      <w:r>
        <w:rPr>
          <w:rFonts w:ascii="Calibri" w:hAnsi="Calibri" w:cs="Calibri" w:hint="eastAsia"/>
          <w:iCs/>
          <w:sz w:val="22"/>
          <w:szCs w:val="22"/>
          <w:lang w:val="en-US"/>
        </w:rPr>
        <w:t xml:space="preserve"> positive constrained rates:</w:t>
      </w:r>
    </w:p>
    <w:p w14:paraId="06B8F906" w14:textId="77777777" w:rsidR="00337BA6" w:rsidRDefault="00337BA6" w:rsidP="00337BA6">
      <w:pPr>
        <w:spacing w:line="360" w:lineRule="auto"/>
        <w:rPr>
          <w:rFonts w:ascii="Calibri" w:hAnsi="Calibri" w:cs="Calibri"/>
          <w:iCs/>
          <w:sz w:val="22"/>
          <w:szCs w:val="22"/>
          <w:lang w:val="en-US"/>
        </w:rPr>
      </w:pPr>
    </w:p>
    <w:p w14:paraId="0136085E" w14:textId="77777777" w:rsidR="00337BA6" w:rsidRDefault="00337BA6" w:rsidP="00337BA6">
      <w:pPr>
        <w:spacing w:line="360" w:lineRule="auto"/>
        <w:rPr>
          <w:rFonts w:ascii="Calibri" w:hAnsi="Calibri" w:cs="Calibri"/>
          <w:iCs/>
          <w:sz w:val="22"/>
          <w:szCs w:val="22"/>
          <w:lang w:val="en-US"/>
        </w:rPr>
      </w:pPr>
      <m:oMathPara>
        <m:oMath>
          <m:sSub>
            <m:sSubPr>
              <m:ctrlPr>
                <w:rPr>
                  <w:rFonts w:ascii="Cambria Math" w:hAnsi="Cambria Math" w:cs="Calibri"/>
                  <w:i/>
                </w:rPr>
              </m:ctrlPr>
            </m:sSubPr>
            <m:e>
              <m:r>
                <w:rPr>
                  <w:rFonts w:ascii="Cambria Math" w:hAnsi="Cambria Math" w:cs="Calibri"/>
                </w:rPr>
                <m:t>β</m:t>
              </m:r>
            </m:e>
            <m:sub>
              <m:r>
                <w:rPr>
                  <w:rFonts w:ascii="Cambria Math" w:hAnsi="Cambria Math" w:cs="Calibri"/>
                </w:rPr>
                <m:t>t</m:t>
              </m:r>
            </m:sub>
          </m:sSub>
          <m:r>
            <w:rPr>
              <w:rFonts w:ascii="Cambria Math" w:hAnsi="Cambria Math" w:cs="Calibri"/>
            </w:rPr>
            <m:t xml:space="preserve"> ~ Lognormal </m:t>
          </m:r>
          <m:d>
            <m:dPr>
              <m:ctrlPr>
                <w:rPr>
                  <w:rFonts w:ascii="Cambria Math" w:hAnsi="Cambria Math" w:cs="Calibri"/>
                  <w:i/>
                </w:rPr>
              </m:ctrlPr>
            </m:dPr>
            <m:e>
              <m:r>
                <w:rPr>
                  <w:rFonts w:ascii="Cambria Math" w:hAnsi="Cambria Math" w:cs="Calibri"/>
                </w:rPr>
                <m:t>-1, 0.5</m:t>
              </m:r>
            </m:e>
          </m:d>
        </m:oMath>
      </m:oMathPara>
    </w:p>
    <w:p w14:paraId="10EB9F92" w14:textId="77777777" w:rsidR="00337BA6" w:rsidRDefault="00337BA6" w:rsidP="00337BA6">
      <w:pPr>
        <w:spacing w:line="360" w:lineRule="auto"/>
        <w:rPr>
          <w:rFonts w:ascii="Calibri" w:hAnsi="Calibri" w:cs="Calibri"/>
          <w:iCs/>
          <w:sz w:val="22"/>
          <w:szCs w:val="22"/>
          <w:lang w:val="en-US"/>
        </w:rPr>
      </w:pPr>
    </w:p>
    <w:p w14:paraId="5ACDBBBA" w14:textId="29279668" w:rsidR="00337BA6" w:rsidRPr="00337BA6" w:rsidRDefault="00337BA6" w:rsidP="00337BA6">
      <w:pPr>
        <w:spacing w:line="360" w:lineRule="auto"/>
        <w:rPr>
          <w:rStyle w:val="a7"/>
          <w:rFonts w:ascii="Calibri" w:eastAsia="Malgun Gothic" w:hAnsi="Calibri" w:cs="Calibri" w:hint="eastAsia"/>
          <w:i w:val="0"/>
          <w:color w:val="auto"/>
          <w:sz w:val="22"/>
          <w:szCs w:val="22"/>
          <w:lang w:val="en-US" w:eastAsia="ko-KR"/>
        </w:rPr>
      </w:pPr>
      <w:r w:rsidRPr="00FE0942">
        <w:rPr>
          <w:rFonts w:ascii="Calibri" w:hAnsi="Calibri" w:cs="Calibri"/>
          <w:iCs/>
          <w:sz w:val="22"/>
          <w:szCs w:val="22"/>
          <w:lang w:val="en-US"/>
        </w:rPr>
        <w:t xml:space="preserve">To validate the choice of prior distributions of transmission rates, we conducted prior-predictive simulation. We conducted 1,000 </w:t>
      </w:r>
      <w:proofErr w:type="gramStart"/>
      <w:r w:rsidRPr="00FE0942">
        <w:rPr>
          <w:rFonts w:ascii="Calibri" w:hAnsi="Calibri" w:cs="Calibri"/>
          <w:iCs/>
          <w:sz w:val="22"/>
          <w:szCs w:val="22"/>
          <w:lang w:val="en-US"/>
        </w:rPr>
        <w:t>times of prior</w:t>
      </w:r>
      <w:proofErr w:type="gramEnd"/>
      <w:r w:rsidRPr="00FE0942">
        <w:rPr>
          <w:rFonts w:ascii="Calibri" w:hAnsi="Calibri" w:cs="Calibri"/>
          <w:iCs/>
          <w:sz w:val="22"/>
          <w:szCs w:val="22"/>
          <w:lang w:val="en-US"/>
        </w:rPr>
        <w:t xml:space="preserve"> predictive simulations from the 1,000 random draws, the infection curve exhibited realistic outbreak dynamics (timing, peak size, and duration), covering ranges of plausible infection peaks (max 10,000 cases as close to the </w:t>
      </w:r>
      <w:r w:rsidRPr="00FE0942">
        <w:rPr>
          <w:rFonts w:ascii="Calibri" w:hAnsi="Calibri" w:cs="Calibri"/>
          <w:iCs/>
          <w:sz w:val="22"/>
          <w:szCs w:val="22"/>
          <w:lang w:val="en-US"/>
        </w:rPr>
        <w:lastRenderedPageBreak/>
        <w:t>maximum cases from the reported data).</w:t>
      </w:r>
      <w:r>
        <w:rPr>
          <w:rFonts w:ascii="Calibri" w:hAnsi="Calibri" w:cs="Calibri" w:hint="eastAsia"/>
          <w:iCs/>
          <w:sz w:val="22"/>
          <w:szCs w:val="22"/>
          <w:lang w:val="en-US"/>
        </w:rPr>
        <w:t xml:space="preserve"> Posterior estimates from the fitted model were used in the vaccination scenarios. The fitted transmission rates follow full temporal shape of the 2022 outbreak in each state, serving as the baseline daily FOI. </w:t>
      </w:r>
    </w:p>
    <w:p w14:paraId="17E1F28F" w14:textId="5AF30357" w:rsidR="009B7902" w:rsidRPr="009B7902" w:rsidRDefault="009B7902" w:rsidP="009B7902">
      <w:pPr>
        <w:rPr>
          <w:rStyle w:val="a7"/>
          <w:rFonts w:asciiTheme="majorHAnsi" w:hAnsiTheme="majorHAnsi" w:cs="Calibri"/>
          <w:i w:val="0"/>
          <w:iCs w:val="0"/>
          <w:lang w:eastAsia="ko-KR"/>
        </w:rPr>
      </w:pPr>
      <w:r w:rsidRPr="009B7902">
        <w:rPr>
          <w:rStyle w:val="a7"/>
          <w:rFonts w:asciiTheme="majorHAnsi" w:hAnsiTheme="majorHAnsi" w:cs="Calibri"/>
          <w:i w:val="0"/>
          <w:iCs w:val="0"/>
          <w:lang w:eastAsia="ko-KR"/>
        </w:rPr>
        <w:t xml:space="preserve">State-level attack rate </w:t>
      </w:r>
      <w:r w:rsidRPr="009B7902">
        <w:rPr>
          <w:rStyle w:val="a7"/>
          <w:rFonts w:asciiTheme="majorHAnsi" w:eastAsia="Malgun Gothic" w:hAnsiTheme="majorHAnsi" w:cs="Calibri" w:hint="eastAsia"/>
          <w:i w:val="0"/>
          <w:iCs w:val="0"/>
          <w:lang w:eastAsia="ko-KR"/>
        </w:rPr>
        <w:t>and</w:t>
      </w:r>
      <w:r w:rsidRPr="009B7902">
        <w:rPr>
          <w:rStyle w:val="a7"/>
          <w:rFonts w:asciiTheme="majorHAnsi" w:hAnsiTheme="majorHAnsi" w:cs="Calibri"/>
          <w:i w:val="0"/>
          <w:iCs w:val="0"/>
          <w:lang w:eastAsia="ko-KR"/>
        </w:rPr>
        <w:t xml:space="preserve"> transmission-setting classification</w:t>
      </w:r>
    </w:p>
    <w:p w14:paraId="52231B4F" w14:textId="18E9C0A7" w:rsidR="009B7902" w:rsidRDefault="009B7902" w:rsidP="009B7902">
      <w:pPr>
        <w:rPr>
          <w:rStyle w:val="a7"/>
          <w:rFonts w:asciiTheme="majorHAnsi" w:eastAsia="Malgun Gothic" w:hAnsiTheme="majorHAnsi" w:cs="Calibri"/>
          <w:i w:val="0"/>
          <w:iCs w:val="0"/>
          <w:lang w:eastAsia="ko-KR"/>
        </w:rPr>
      </w:pPr>
      <w:r w:rsidRPr="009B7902">
        <w:rPr>
          <w:rStyle w:val="a7"/>
          <w:rFonts w:asciiTheme="majorHAnsi" w:hAnsiTheme="majorHAnsi" w:cs="Calibri"/>
          <w:i w:val="0"/>
          <w:iCs w:val="0"/>
          <w:lang w:eastAsia="ko-KR"/>
        </w:rPr>
        <w:t xml:space="preserve">Outbreak-response immunisation scenario </w:t>
      </w:r>
    </w:p>
    <w:p w14:paraId="2A8056E6" w14:textId="77777777" w:rsidR="009B7902" w:rsidRPr="009E55C4" w:rsidRDefault="009B7902" w:rsidP="009B7902">
      <w:pPr>
        <w:spacing w:line="360" w:lineRule="auto"/>
        <w:rPr>
          <w:rFonts w:ascii="Calibri" w:eastAsia="Malgun Gothic" w:hAnsi="Calibri" w:cs="Calibri"/>
          <w:sz w:val="22"/>
          <w:szCs w:val="22"/>
        </w:rPr>
      </w:pPr>
      <w:r w:rsidRPr="009E55C4">
        <w:rPr>
          <w:rFonts w:ascii="Calibri" w:eastAsia="Malgun Gothic" w:hAnsi="Calibri" w:cs="Calibri"/>
          <w:sz w:val="22"/>
          <w:szCs w:val="22"/>
        </w:rPr>
        <w:t>For outbreak response immunisation, we modelled vaccination deployed in states with ongoing chikungunya outbreaks. We modelled age-specific outbreak response immunisation scenarios across the 11 Brazilian states for two age groups (18-64, ≥65 years) under two vaccine protection mechanisms</w:t>
      </w:r>
      <w:r w:rsidRPr="009E55C4">
        <w:rPr>
          <w:rFonts w:ascii="Calibri" w:eastAsia="Calibri" w:hAnsi="Calibri" w:cs="Calibri"/>
          <w:sz w:val="22"/>
          <w:szCs w:val="22"/>
        </w:rPr>
        <w:t>:</w:t>
      </w:r>
      <w:r w:rsidRPr="009E55C4">
        <w:rPr>
          <w:rFonts w:ascii="Calibri" w:eastAsia="Malgun Gothic" w:hAnsi="Calibri" w:cs="Calibri"/>
          <w:sz w:val="22"/>
          <w:szCs w:val="22"/>
        </w:rPr>
        <w:t xml:space="preserve"> (</w:t>
      </w:r>
      <w:proofErr w:type="spellStart"/>
      <w:r w:rsidRPr="009E55C4">
        <w:rPr>
          <w:rFonts w:ascii="Calibri" w:eastAsia="Malgun Gothic" w:hAnsi="Calibri" w:cs="Calibri"/>
          <w:sz w:val="22"/>
          <w:szCs w:val="22"/>
        </w:rPr>
        <w:t>i</w:t>
      </w:r>
      <w:proofErr w:type="spellEnd"/>
      <w:r w:rsidRPr="009E55C4">
        <w:rPr>
          <w:rFonts w:ascii="Calibri" w:eastAsia="Malgun Gothic" w:hAnsi="Calibri" w:cs="Calibri"/>
          <w:sz w:val="22"/>
          <w:szCs w:val="22"/>
        </w:rPr>
        <w:t xml:space="preserve">) protection against disease only, and (ii) protection against both disease and infection. We applied the same vaccine efficacy to both mechanisms </w:t>
      </w:r>
      <w:hyperlink r:id="rId5" w:history="1">
        <w:r w:rsidRPr="009E55C4">
          <w:rPr>
            <w:rFonts w:ascii="Calibri" w:hAnsi="Calibri" w:cs="Calibri"/>
            <w:sz w:val="22"/>
          </w:rPr>
          <w:t>(8)</w:t>
        </w:r>
      </w:hyperlink>
      <w:r w:rsidRPr="009E55C4">
        <w:rPr>
          <w:rFonts w:ascii="Calibri" w:eastAsia="Malgun Gothic" w:hAnsi="Calibri" w:cs="Calibri"/>
          <w:sz w:val="22"/>
          <w:szCs w:val="22"/>
        </w:rPr>
        <w:t xml:space="preserve">. </w:t>
      </w:r>
    </w:p>
    <w:p w14:paraId="189279D1" w14:textId="77777777" w:rsidR="009B7902" w:rsidRPr="009E55C4" w:rsidRDefault="009B7902" w:rsidP="009B7902">
      <w:pPr>
        <w:spacing w:line="360" w:lineRule="auto"/>
        <w:rPr>
          <w:rFonts w:ascii="Calibri" w:eastAsia="Malgun Gothic" w:hAnsi="Calibri" w:cs="Calibri"/>
          <w:sz w:val="22"/>
          <w:szCs w:val="22"/>
        </w:rPr>
      </w:pPr>
      <w:r w:rsidRPr="009E55C4">
        <w:rPr>
          <w:rFonts w:ascii="Calibri" w:eastAsia="Malgun Gothic" w:hAnsi="Calibri" w:cs="Calibri" w:hint="eastAsia"/>
          <w:sz w:val="22"/>
          <w:szCs w:val="22"/>
        </w:rPr>
        <w:t>We used</w:t>
      </w:r>
      <w:r w:rsidRPr="009E55C4" w:rsidDel="005E0527">
        <w:rPr>
          <w:rFonts w:ascii="Calibri" w:eastAsia="Malgun Gothic" w:hAnsi="Calibri" w:cs="Calibri"/>
          <w:sz w:val="22"/>
          <w:szCs w:val="22"/>
        </w:rPr>
        <w:t xml:space="preserve"> </w:t>
      </w:r>
      <w:r w:rsidRPr="009E55C4">
        <w:rPr>
          <w:rFonts w:ascii="Calibri" w:eastAsia="Malgun Gothic" w:hAnsi="Calibri" w:cs="Calibri"/>
          <w:sz w:val="22"/>
          <w:szCs w:val="22"/>
        </w:rPr>
        <w:t>the age-structured transmission dynamic model</w:t>
      </w:r>
      <w:r w:rsidRPr="009E55C4">
        <w:rPr>
          <w:rFonts w:ascii="Calibri" w:eastAsia="Malgun Gothic" w:hAnsi="Calibri" w:cs="Calibri" w:hint="eastAsia"/>
          <w:sz w:val="22"/>
          <w:szCs w:val="22"/>
        </w:rPr>
        <w:t xml:space="preserve"> and fitted the model to state-level reported chikungunya cases from 2022 outbreak. W</w:t>
      </w:r>
      <w:r w:rsidRPr="009E55C4">
        <w:rPr>
          <w:rFonts w:ascii="Calibri" w:eastAsia="Malgun Gothic" w:hAnsi="Calibri" w:cs="Calibri"/>
          <w:sz w:val="22"/>
          <w:szCs w:val="22"/>
        </w:rPr>
        <w:t xml:space="preserve">e calibrated state-specific weekly transmission rates </w:t>
      </w:r>
      <m:oMath>
        <m:r>
          <w:rPr>
            <w:rFonts w:ascii="Cambria Math" w:eastAsia="Malgun Gothic" w:hAnsi="Cambria Math" w:cs="Calibri"/>
            <w:sz w:val="22"/>
            <w:szCs w:val="22"/>
          </w:rPr>
          <m:t>(</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β</m:t>
            </m:r>
          </m:e>
          <m:sub>
            <m:r>
              <w:rPr>
                <w:rFonts w:ascii="Cambria Math" w:eastAsia="Malgun Gothic" w:hAnsi="Cambria Math" w:cs="Calibri"/>
                <w:sz w:val="22"/>
                <w:szCs w:val="22"/>
              </w:rPr>
              <m:t>s,t</m:t>
            </m:r>
          </m:sub>
        </m:sSub>
        <m:r>
          <w:rPr>
            <w:rFonts w:ascii="Cambria Math" w:eastAsia="Malgun Gothic" w:hAnsi="Cambria Math" w:cs="Calibri"/>
            <w:sz w:val="22"/>
            <w:szCs w:val="22"/>
          </w:rPr>
          <m:t>)</m:t>
        </m:r>
      </m:oMath>
      <w:r w:rsidRPr="009E55C4">
        <w:rPr>
          <w:rFonts w:ascii="Calibri" w:eastAsia="Malgun Gothic" w:hAnsi="Calibri" w:cs="Calibri"/>
          <w:sz w:val="22"/>
          <w:szCs w:val="22"/>
        </w:rPr>
        <w:t xml:space="preserve">, latent period </w:t>
      </w:r>
      <m:oMath>
        <m:r>
          <w:rPr>
            <w:rFonts w:ascii="Cambria Math" w:eastAsia="Malgun Gothic" w:hAnsi="Cambria Math" w:cs="Calibri"/>
            <w:sz w:val="22"/>
            <w:szCs w:val="22"/>
          </w:rPr>
          <m:t>(σ)</m:t>
        </m:r>
      </m:oMath>
      <w:r w:rsidRPr="009E55C4">
        <w:rPr>
          <w:rFonts w:ascii="Calibri" w:eastAsia="Malgun Gothic" w:hAnsi="Calibri" w:cs="Calibri"/>
          <w:sz w:val="22"/>
          <w:szCs w:val="22"/>
        </w:rPr>
        <w:t xml:space="preserve">, recovery rate </w:t>
      </w:r>
      <m:oMath>
        <m:r>
          <w:rPr>
            <w:rFonts w:ascii="Cambria Math" w:eastAsia="Malgun Gothic" w:hAnsi="Cambria Math" w:cs="Calibri"/>
            <w:sz w:val="22"/>
            <w:szCs w:val="22"/>
          </w:rPr>
          <m:t>(δ)</m:t>
        </m:r>
      </m:oMath>
      <w:r w:rsidRPr="009E55C4">
        <w:rPr>
          <w:rFonts w:ascii="Calibri" w:eastAsia="Malgun Gothic" w:hAnsi="Calibri" w:cs="Calibri"/>
          <w:sz w:val="22"/>
          <w:szCs w:val="22"/>
        </w:rPr>
        <w:t xml:space="preserve">, and state-specific reporting rates </w:t>
      </w:r>
      <m:oMath>
        <m:sSub>
          <m:sSubPr>
            <m:ctrlPr>
              <w:rPr>
                <w:rFonts w:ascii="Cambria Math" w:eastAsia="Malgun Gothic" w:hAnsi="Cambria Math" w:cs="Calibri"/>
                <w:i/>
                <w:sz w:val="22"/>
                <w:szCs w:val="22"/>
              </w:rPr>
            </m:ctrlPr>
          </m:sSubPr>
          <m:e>
            <m:r>
              <w:rPr>
                <w:rFonts w:ascii="Cambria Math" w:eastAsia="Malgun Gothic" w:hAnsi="Cambria Math" w:cs="Calibri"/>
                <w:sz w:val="22"/>
                <w:szCs w:val="22"/>
              </w:rPr>
              <m:t>(ρ</m:t>
            </m:r>
          </m:e>
          <m:sub>
            <m:r>
              <w:rPr>
                <w:rFonts w:ascii="Cambria Math" w:eastAsia="Malgun Gothic" w:hAnsi="Cambria Math" w:cs="Calibri"/>
                <w:sz w:val="22"/>
                <w:szCs w:val="22"/>
              </w:rPr>
              <m:t>s</m:t>
            </m:r>
          </m:sub>
        </m:sSub>
        <m:r>
          <w:rPr>
            <w:rFonts w:ascii="Cambria Math" w:eastAsia="Malgun Gothic" w:hAnsi="Cambria Math" w:cs="Calibri"/>
            <w:sz w:val="22"/>
            <w:szCs w:val="22"/>
          </w:rPr>
          <m:t>)</m:t>
        </m:r>
      </m:oMath>
      <w:r w:rsidRPr="009E55C4">
        <w:rPr>
          <w:rFonts w:ascii="Calibri" w:eastAsia="Malgun Gothic" w:hAnsi="Calibri" w:cs="Calibri"/>
          <w:sz w:val="22"/>
          <w:szCs w:val="22"/>
        </w:rPr>
        <w:t xml:space="preserve">. Vaccination was assumed to begin two weeks after outbreak onset, with delivery at 10% of the target population per week until 50% coverage was reached. Alternative scenarios with 10% and 90% of coverage are presented in Supplementary Table 2-3. </w:t>
      </w:r>
    </w:p>
    <w:p w14:paraId="46580C9C" w14:textId="77777777" w:rsidR="009B7902" w:rsidRPr="009E55C4" w:rsidRDefault="009B7902" w:rsidP="009B7902">
      <w:pPr>
        <w:spacing w:line="360" w:lineRule="auto"/>
        <w:rPr>
          <w:rFonts w:ascii="Calibri" w:eastAsia="Malgun Gothic" w:hAnsi="Calibri" w:cs="Calibri"/>
          <w:sz w:val="22"/>
          <w:szCs w:val="22"/>
        </w:rPr>
      </w:pPr>
    </w:p>
    <w:p w14:paraId="0775B62E" w14:textId="73EE82FF" w:rsidR="009B7902" w:rsidRPr="009E55C4" w:rsidRDefault="009B7902" w:rsidP="009B7902">
      <w:pPr>
        <w:spacing w:line="360" w:lineRule="auto"/>
        <w:rPr>
          <w:rFonts w:ascii="Calibri" w:eastAsia="Malgun Gothic" w:hAnsi="Calibri" w:cs="Calibri"/>
          <w:sz w:val="22"/>
          <w:szCs w:val="22"/>
        </w:rPr>
      </w:pPr>
      <w:r w:rsidRPr="009E55C4">
        <w:rPr>
          <w:rFonts w:ascii="Calibri" w:eastAsia="Malgun Gothic" w:hAnsi="Calibri" w:cs="Calibri"/>
          <w:sz w:val="22"/>
          <w:szCs w:val="22"/>
        </w:rPr>
        <w:t xml:space="preserve">To estimate baseline immunity, we incorporated state-specific FOIs </w:t>
      </w:r>
      <m:oMath>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s</m:t>
            </m:r>
          </m:sub>
        </m:sSub>
        <m:r>
          <w:rPr>
            <w:rFonts w:ascii="Cambria Math" w:eastAsia="Malgun Gothic" w:hAnsi="Cambria Math" w:cs="Calibri"/>
            <w:sz w:val="22"/>
            <w:szCs w:val="22"/>
          </w:rPr>
          <m:t>)</m:t>
        </m:r>
      </m:oMath>
      <w:r w:rsidRPr="009E55C4">
        <w:rPr>
          <w:rFonts w:ascii="Calibri" w:eastAsia="Malgun Gothic" w:hAnsi="Calibri" w:cs="Calibri"/>
          <w:sz w:val="22"/>
          <w:szCs w:val="22"/>
        </w:rPr>
        <w:t xml:space="preserve"> into a catalytic model, assuming a constant long-term average annual FOI and lifelong immunity. Baseline age-specific seroprevalence was estimated as </w:t>
      </w:r>
      <m:oMath>
        <m:r>
          <w:rPr>
            <w:rFonts w:ascii="Cambria Math" w:eastAsia="Malgun Gothic" w:hAnsi="Cambria Math" w:cs="Calibri"/>
            <w:sz w:val="22"/>
            <w:szCs w:val="22"/>
          </w:rPr>
          <m:t>1-</m:t>
        </m:r>
        <m:r>
          <m:rPr>
            <m:sty m:val="p"/>
          </m:rPr>
          <w:rPr>
            <w:rFonts w:ascii="Cambria Math" w:eastAsia="Malgun Gothic" w:hAnsi="Cambria Math" w:cs="Calibri"/>
            <w:sz w:val="22"/>
            <w:szCs w:val="22"/>
          </w:rPr>
          <m:t>exp⁡</m:t>
        </m:r>
        <m:r>
          <w:rPr>
            <w:rFonts w:ascii="Cambria Math" w:eastAsia="Malgun Gothic" w:hAnsi="Cambria Math" w:cs="Calibri"/>
            <w:sz w:val="22"/>
            <w:szCs w:val="22"/>
          </w:rPr>
          <m:t>(-</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s</m:t>
            </m:r>
          </m:sub>
        </m:sSub>
        <m:r>
          <w:rPr>
            <w:rFonts w:ascii="Cambria Math" w:eastAsia="Malgun Gothic" w:hAnsi="Cambria Math" w:cs="Calibri"/>
            <w:sz w:val="22"/>
            <w:szCs w:val="22"/>
          </w:rPr>
          <m:t>∙age)</m:t>
        </m:r>
      </m:oMath>
      <w:r w:rsidRPr="009E55C4">
        <w:rPr>
          <w:rFonts w:ascii="Calibri" w:eastAsia="Malgun Gothic" w:hAnsi="Calibri" w:cs="Calibri"/>
          <w:sz w:val="22"/>
          <w:szCs w:val="22"/>
        </w:rPr>
        <w:t xml:space="preserve"> </w:t>
      </w:r>
      <w:hyperlink r:id="rId6">
        <w:r w:rsidRPr="009E55C4">
          <w:rPr>
            <w:rFonts w:ascii="Calibri" w:hAnsi="Calibri" w:cs="Calibri"/>
            <w:sz w:val="22"/>
            <w:szCs w:val="22"/>
          </w:rPr>
          <w:t>(17)</w:t>
        </w:r>
      </w:hyperlink>
      <w:r w:rsidRPr="009E55C4">
        <w:t>.</w:t>
      </w:r>
      <w:r w:rsidRPr="009E55C4">
        <w:rPr>
          <w:rFonts w:hint="eastAsia"/>
        </w:rPr>
        <w:t xml:space="preserve"> </w:t>
      </w:r>
      <w:r w:rsidRPr="009E55C4">
        <w:rPr>
          <w:rFonts w:ascii="Calibri" w:eastAsia="Malgun Gothic" w:hAnsi="Calibri" w:cs="Calibri" w:hint="eastAsia"/>
          <w:sz w:val="22"/>
          <w:szCs w:val="22"/>
        </w:rPr>
        <w:t xml:space="preserve">We used this approach as a state-level representation of average prior exposure, consistent with the spatial scale of the surveillance data </w:t>
      </w:r>
      <w:r w:rsidRPr="009E55C4">
        <w:rPr>
          <w:rFonts w:ascii="Calibri" w:eastAsia="Malgun Gothic" w:hAnsi="Calibri" w:cs="Calibri"/>
          <w:sz w:val="22"/>
          <w:szCs w:val="22"/>
        </w:rPr>
        <w:t>used</w:t>
      </w:r>
      <w:r w:rsidRPr="009E55C4">
        <w:rPr>
          <w:rFonts w:ascii="Calibri" w:eastAsia="Malgun Gothic" w:hAnsi="Calibri" w:cs="Calibri" w:hint="eastAsia"/>
          <w:sz w:val="22"/>
          <w:szCs w:val="22"/>
        </w:rPr>
        <w:t xml:space="preserve"> for model calibration. </w:t>
      </w:r>
      <w:r w:rsidRPr="009E55C4">
        <w:rPr>
          <w:rFonts w:ascii="Calibri" w:eastAsia="Malgun Gothic" w:hAnsi="Calibri" w:cs="Calibri"/>
          <w:sz w:val="22"/>
          <w:szCs w:val="22"/>
        </w:rPr>
        <w:t xml:space="preserve">Because </w:t>
      </w:r>
      <w:r w:rsidRPr="009E55C4">
        <w:rPr>
          <w:rFonts w:ascii="Calibri" w:eastAsia="Malgun Gothic" w:hAnsi="Calibri" w:cs="Calibri" w:hint="eastAsia"/>
          <w:sz w:val="22"/>
          <w:szCs w:val="22"/>
        </w:rPr>
        <w:t xml:space="preserve">state-level representative </w:t>
      </w:r>
      <w:r w:rsidRPr="009E55C4">
        <w:rPr>
          <w:rFonts w:ascii="Calibri" w:eastAsia="Malgun Gothic" w:hAnsi="Calibri" w:cs="Calibri"/>
          <w:sz w:val="22"/>
          <w:szCs w:val="22"/>
        </w:rPr>
        <w:t xml:space="preserve">age-specific </w:t>
      </w:r>
      <w:r w:rsidRPr="009E55C4">
        <w:rPr>
          <w:rFonts w:ascii="Calibri" w:eastAsia="Malgun Gothic" w:hAnsi="Calibri" w:cs="Calibri" w:hint="eastAsia"/>
          <w:sz w:val="22"/>
          <w:szCs w:val="22"/>
        </w:rPr>
        <w:t xml:space="preserve">seroprevalence </w:t>
      </w:r>
      <w:r w:rsidRPr="009E55C4">
        <w:rPr>
          <w:rFonts w:ascii="Calibri" w:eastAsia="Malgun Gothic" w:hAnsi="Calibri" w:cs="Calibri"/>
          <w:sz w:val="22"/>
          <w:szCs w:val="22"/>
        </w:rPr>
        <w:t>data were unavailable, and because local serosurveys indicate substantial within-state</w:t>
      </w:r>
      <w:r w:rsidRPr="009E55C4">
        <w:rPr>
          <w:rFonts w:ascii="Calibri" w:eastAsia="Malgun Gothic" w:hAnsi="Calibri" w:cs="Calibri" w:hint="eastAsia"/>
          <w:sz w:val="22"/>
          <w:szCs w:val="22"/>
        </w:rPr>
        <w:t xml:space="preserve"> heterogeneity in underlying immunity profiles, we did not impose municipality</w:t>
      </w:r>
      <w:r w:rsidRPr="009E55C4">
        <w:rPr>
          <w:rFonts w:ascii="Calibri" w:eastAsia="Malgun Gothic" w:hAnsi="Calibri" w:cs="Calibri"/>
          <w:sz w:val="22"/>
          <w:szCs w:val="22"/>
        </w:rPr>
        <w:t>-</w:t>
      </w:r>
      <w:r w:rsidRPr="009E55C4">
        <w:rPr>
          <w:rFonts w:ascii="Calibri" w:eastAsia="Malgun Gothic" w:hAnsi="Calibri" w:cs="Calibri" w:hint="eastAsia"/>
          <w:sz w:val="22"/>
          <w:szCs w:val="22"/>
        </w:rPr>
        <w:t xml:space="preserve">level seroprevalence profiles as state-level initial conditions </w:t>
      </w:r>
      <w:hyperlink r:id="rId7">
        <w:r w:rsidRPr="009E55C4">
          <w:rPr>
            <w:rFonts w:ascii="Calibri" w:hAnsi="Calibri" w:cs="Calibri"/>
            <w:sz w:val="22"/>
            <w:szCs w:val="22"/>
          </w:rPr>
          <w:t>(1)</w:t>
        </w:r>
      </w:hyperlink>
      <w:r w:rsidRPr="009E55C4">
        <w:rPr>
          <w:rFonts w:ascii="Calibri" w:eastAsia="Malgun Gothic" w:hAnsi="Calibri" w:cs="Calibri"/>
          <w:sz w:val="22"/>
          <w:szCs w:val="22"/>
        </w:rPr>
        <w:t>.</w:t>
      </w:r>
      <w:r w:rsidRPr="009E55C4">
        <w:rPr>
          <w:rFonts w:ascii="Calibri" w:eastAsia="Malgun Gothic" w:hAnsi="Calibri" w:cs="Calibri" w:hint="eastAsia"/>
          <w:sz w:val="22"/>
          <w:szCs w:val="22"/>
        </w:rPr>
        <w:t xml:space="preserve"> Therefore, the baseline immunity </w:t>
      </w:r>
      <w:r w:rsidRPr="009E55C4">
        <w:rPr>
          <w:rFonts w:ascii="Calibri" w:eastAsia="Malgun Gothic" w:hAnsi="Calibri" w:cs="Calibri"/>
          <w:sz w:val="22"/>
          <w:szCs w:val="22"/>
        </w:rPr>
        <w:t xml:space="preserve">profile should be interpreted as a long-term </w:t>
      </w:r>
      <w:r w:rsidRPr="009E55C4">
        <w:rPr>
          <w:rFonts w:ascii="Calibri" w:eastAsia="Malgun Gothic" w:hAnsi="Calibri" w:cs="Calibri" w:hint="eastAsia"/>
          <w:sz w:val="22"/>
          <w:szCs w:val="22"/>
        </w:rPr>
        <w:t>state-level representation</w:t>
      </w:r>
      <w:r w:rsidRPr="009E55C4">
        <w:rPr>
          <w:rFonts w:ascii="Calibri" w:eastAsia="Malgun Gothic" w:hAnsi="Calibri" w:cs="Calibri"/>
          <w:sz w:val="22"/>
          <w:szCs w:val="22"/>
        </w:rPr>
        <w:t>, rather</w:t>
      </w:r>
      <w:r w:rsidRPr="009E55C4">
        <w:rPr>
          <w:rFonts w:ascii="Calibri" w:eastAsia="Malgun Gothic" w:hAnsi="Calibri" w:cs="Calibri" w:hint="eastAsia"/>
          <w:sz w:val="22"/>
          <w:szCs w:val="22"/>
        </w:rPr>
        <w:t xml:space="preserve"> than </w:t>
      </w:r>
      <w:r w:rsidRPr="009E55C4">
        <w:rPr>
          <w:rFonts w:ascii="Calibri" w:eastAsia="Malgun Gothic" w:hAnsi="Calibri" w:cs="Calibri"/>
          <w:sz w:val="22"/>
          <w:szCs w:val="22"/>
        </w:rPr>
        <w:t xml:space="preserve">as </w:t>
      </w:r>
      <w:r w:rsidRPr="009E55C4">
        <w:rPr>
          <w:rFonts w:ascii="Calibri" w:eastAsia="Malgun Gothic" w:hAnsi="Calibri" w:cs="Calibri" w:hint="eastAsia"/>
          <w:sz w:val="22"/>
          <w:szCs w:val="22"/>
        </w:rPr>
        <w:t xml:space="preserve">a reconstruction of local post-outbreak immunity profiles. </w:t>
      </w:r>
    </w:p>
    <w:p w14:paraId="66F39C74" w14:textId="3DA166B8" w:rsidR="009B7902" w:rsidRPr="009E55C4" w:rsidRDefault="009B7902" w:rsidP="009B7902">
      <w:pPr>
        <w:spacing w:line="360" w:lineRule="auto"/>
        <w:rPr>
          <w:rFonts w:ascii="Calibri" w:eastAsia="Malgun Gothic" w:hAnsi="Calibri" w:cs="Calibri"/>
          <w:sz w:val="22"/>
          <w:szCs w:val="22"/>
        </w:rPr>
      </w:pPr>
      <w:r w:rsidRPr="009E55C4">
        <w:rPr>
          <w:rFonts w:ascii="Calibri" w:eastAsia="Malgun Gothic" w:hAnsi="Calibri" w:cs="Calibri"/>
          <w:sz w:val="22"/>
          <w:szCs w:val="22"/>
        </w:rPr>
        <w:t>We considered two scenarios for vaccine-attributable risk. In the base</w:t>
      </w:r>
      <w:r w:rsidRPr="009E55C4">
        <w:rPr>
          <w:rFonts w:ascii="Calibri" w:eastAsia="Malgun Gothic" w:hAnsi="Calibri" w:cs="Calibri" w:hint="eastAsia"/>
          <w:sz w:val="22"/>
          <w:szCs w:val="22"/>
        </w:rPr>
        <w:t>line risk</w:t>
      </w:r>
      <w:r w:rsidRPr="009E55C4">
        <w:rPr>
          <w:rFonts w:ascii="Calibri" w:eastAsia="Malgun Gothic" w:hAnsi="Calibri" w:cs="Calibri"/>
          <w:sz w:val="22"/>
          <w:szCs w:val="22"/>
        </w:rPr>
        <w:t xml:space="preserve"> scenario, vaccine-attributable risk was assumed to be the same in seropositive and seronegative individuals at the time of vaccination. In</w:t>
      </w:r>
      <w:r w:rsidRPr="009E55C4" w:rsidDel="00317763">
        <w:rPr>
          <w:rFonts w:ascii="Calibri" w:eastAsia="Malgun Gothic" w:hAnsi="Calibri" w:cs="Calibri"/>
          <w:sz w:val="22"/>
          <w:szCs w:val="22"/>
        </w:rPr>
        <w:t xml:space="preserve"> </w:t>
      </w:r>
      <w:r w:rsidRPr="009E55C4">
        <w:rPr>
          <w:rFonts w:ascii="Calibri" w:eastAsia="Malgun Gothic" w:hAnsi="Calibri" w:cs="Calibri" w:hint="eastAsia"/>
          <w:sz w:val="22"/>
          <w:szCs w:val="22"/>
        </w:rPr>
        <w:t>an alternative</w:t>
      </w:r>
      <w:r w:rsidRPr="009E55C4">
        <w:rPr>
          <w:rFonts w:ascii="Calibri" w:eastAsia="Malgun Gothic" w:hAnsi="Calibri" w:cs="Calibri"/>
          <w:sz w:val="22"/>
          <w:szCs w:val="22"/>
        </w:rPr>
        <w:t xml:space="preserve"> serostatus-adjusted </w:t>
      </w:r>
      <w:r w:rsidRPr="009E55C4">
        <w:rPr>
          <w:rFonts w:ascii="Calibri" w:eastAsia="Malgun Gothic" w:hAnsi="Calibri" w:cs="Calibri" w:hint="eastAsia"/>
          <w:sz w:val="22"/>
          <w:szCs w:val="22"/>
        </w:rPr>
        <w:t>risk</w:t>
      </w:r>
      <w:r w:rsidRPr="009E55C4">
        <w:rPr>
          <w:rFonts w:ascii="Calibri" w:eastAsia="Malgun Gothic" w:hAnsi="Calibri" w:cs="Calibri"/>
          <w:sz w:val="22"/>
          <w:szCs w:val="22"/>
        </w:rPr>
        <w:t xml:space="preserve"> scenario, </w:t>
      </w:r>
      <w:r w:rsidRPr="009E55C4">
        <w:rPr>
          <w:rFonts w:ascii="Calibri" w:eastAsia="Malgun Gothic" w:hAnsi="Calibri" w:cs="Calibri" w:hint="eastAsia"/>
          <w:sz w:val="22"/>
          <w:szCs w:val="22"/>
        </w:rPr>
        <w:t xml:space="preserve">we </w:t>
      </w:r>
      <w:r w:rsidRPr="009E55C4">
        <w:rPr>
          <w:rFonts w:ascii="Calibri" w:eastAsia="Malgun Gothic" w:hAnsi="Calibri" w:cs="Calibri" w:hint="eastAsia"/>
          <w:sz w:val="22"/>
          <w:szCs w:val="22"/>
        </w:rPr>
        <w:lastRenderedPageBreak/>
        <w:t>assumed that pre-existing immunity could prevent or substantially reduce vaccine strain replication</w:t>
      </w:r>
      <w:r w:rsidRPr="009E55C4">
        <w:rPr>
          <w:rFonts w:ascii="Calibri" w:eastAsia="Malgun Gothic" w:hAnsi="Calibri" w:cs="Calibri"/>
          <w:sz w:val="22"/>
          <w:szCs w:val="22"/>
        </w:rPr>
        <w:t xml:space="preserve"> and</w:t>
      </w:r>
      <w:r w:rsidRPr="009E55C4">
        <w:rPr>
          <w:rFonts w:ascii="Calibri" w:eastAsia="Malgun Gothic" w:hAnsi="Calibri" w:cs="Calibri" w:hint="eastAsia"/>
          <w:sz w:val="22"/>
          <w:szCs w:val="22"/>
        </w:rPr>
        <w:t xml:space="preserve">, vaccine attributable risk was applied only to seronegative individuals </w:t>
      </w:r>
      <w:r w:rsidRPr="009E55C4">
        <w:rPr>
          <w:rFonts w:ascii="Calibri" w:hAnsi="Calibri" w:cs="Calibri"/>
          <w:sz w:val="22"/>
          <w:szCs w:val="22"/>
        </w:rPr>
        <w:t>[7].</w:t>
      </w:r>
    </w:p>
    <w:p w14:paraId="2D582B42" w14:textId="52951DB4" w:rsidR="009B7902" w:rsidRPr="009B7902" w:rsidRDefault="009B7902" w:rsidP="009B7902">
      <w:pPr>
        <w:spacing w:line="360" w:lineRule="auto"/>
        <w:rPr>
          <w:rStyle w:val="a7"/>
          <w:rFonts w:ascii="Calibri" w:eastAsia="Malgun Gothic" w:hAnsi="Calibri" w:cs="Calibri" w:hint="eastAsia"/>
          <w:i w:val="0"/>
          <w:iCs w:val="0"/>
          <w:color w:val="auto"/>
          <w:sz w:val="22"/>
          <w:szCs w:val="22"/>
        </w:rPr>
      </w:pPr>
      <w:r w:rsidRPr="009E55C4">
        <w:rPr>
          <w:rFonts w:ascii="Calibri" w:eastAsia="Malgun Gothic" w:hAnsi="Calibri" w:cs="Calibri"/>
          <w:sz w:val="22"/>
          <w:szCs w:val="22"/>
        </w:rPr>
        <w:t>For each state, age group, vaccine protection mechanism, and vaccination risk scenario</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we estimated benefits and risks per 10,000 vaccinated individuals and calculated corresponding benefit-risk ratios and the probability of</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benefits outweighing risk (</w:t>
      </w:r>
      <m:oMath>
        <m:func>
          <m:funcPr>
            <m:ctrlPr>
              <w:rPr>
                <w:rFonts w:ascii="Cambria Math" w:eastAsia="Malgun Gothic" w:hAnsi="Cambria Math" w:cs="Calibri"/>
                <w:sz w:val="22"/>
                <w:szCs w:val="22"/>
              </w:rPr>
            </m:ctrlPr>
          </m:funcPr>
          <m:fName>
            <m:r>
              <m:rPr>
                <m:sty m:val="p"/>
              </m:rPr>
              <w:rPr>
                <w:rFonts w:ascii="Cambria Math" w:eastAsia="Malgun Gothic" w:hAnsi="Cambria Math" w:cs="Calibri"/>
                <w:sz w:val="22"/>
                <w:szCs w:val="22"/>
              </w:rPr>
              <m:t>Pr</m:t>
            </m:r>
            <m:ctrlPr>
              <w:rPr>
                <w:rFonts w:ascii="Cambria Math" w:eastAsia="Malgun Gothic" w:hAnsi="Cambria Math" w:cs="Calibri"/>
                <w:i/>
                <w:sz w:val="22"/>
                <w:szCs w:val="22"/>
              </w:rPr>
            </m:ctrlPr>
          </m:fName>
          <m:e>
            <m:d>
              <m:dPr>
                <m:ctrlPr>
                  <w:rPr>
                    <w:rFonts w:ascii="Cambria Math" w:eastAsia="Malgun Gothic" w:hAnsi="Cambria Math" w:cs="Calibri"/>
                    <w:i/>
                    <w:sz w:val="22"/>
                    <w:szCs w:val="22"/>
                  </w:rPr>
                </m:ctrlPr>
              </m:dPr>
              <m:e>
                <m:r>
                  <w:rPr>
                    <w:rFonts w:ascii="Cambria Math" w:eastAsia="Malgun Gothic" w:hAnsi="Cambria Math" w:cs="Calibri"/>
                    <w:sz w:val="22"/>
                    <w:szCs w:val="22"/>
                  </w:rPr>
                  <m:t>BRR&gt;1</m:t>
                </m:r>
              </m:e>
            </m:d>
          </m:e>
        </m:func>
      </m:oMath>
      <w:r w:rsidRPr="009E55C4">
        <w:rPr>
          <w:rFonts w:ascii="Calibri" w:eastAsia="Malgun Gothic" w:hAnsi="Calibri" w:cs="Calibri"/>
          <w:sz w:val="22"/>
          <w:szCs w:val="22"/>
        </w:rPr>
        <w:t xml:space="preserve">).  </w:t>
      </w:r>
    </w:p>
    <w:p w14:paraId="27DB8ADB" w14:textId="0731B497" w:rsidR="009B7902" w:rsidRDefault="009B7902" w:rsidP="009B7902">
      <w:pPr>
        <w:rPr>
          <w:rStyle w:val="a7"/>
          <w:rFonts w:asciiTheme="majorHAnsi" w:eastAsia="Malgun Gothic" w:hAnsiTheme="majorHAnsi" w:cs="Calibri"/>
          <w:i w:val="0"/>
          <w:iCs w:val="0"/>
          <w:lang w:eastAsia="ko-KR"/>
        </w:rPr>
      </w:pPr>
      <w:r w:rsidRPr="009B7902">
        <w:rPr>
          <w:rStyle w:val="a7"/>
          <w:rFonts w:asciiTheme="majorHAnsi" w:hAnsiTheme="majorHAnsi" w:cs="Calibri"/>
          <w:i w:val="0"/>
          <w:iCs w:val="0"/>
          <w:lang w:eastAsia="ko-KR"/>
        </w:rPr>
        <w:t xml:space="preserve">Travel vaccination scenario </w:t>
      </w:r>
    </w:p>
    <w:p w14:paraId="4620CEB5" w14:textId="77777777" w:rsidR="009B7902" w:rsidRPr="009E55C4" w:rsidRDefault="009B7902" w:rsidP="009B7902">
      <w:pPr>
        <w:spacing w:line="360" w:lineRule="auto"/>
        <w:rPr>
          <w:rFonts w:ascii="Calibri" w:eastAsia="Malgun Gothic" w:hAnsi="Calibri" w:cs="Calibri"/>
          <w:sz w:val="22"/>
          <w:szCs w:val="22"/>
        </w:rPr>
      </w:pPr>
      <w:r w:rsidRPr="009E55C4">
        <w:rPr>
          <w:rFonts w:ascii="Calibri" w:eastAsia="Malgun Gothic" w:hAnsi="Calibri" w:cs="Calibri"/>
          <w:sz w:val="22"/>
          <w:szCs w:val="22"/>
        </w:rPr>
        <w:t xml:space="preserve">For travel vaccination, we modelled individuals travelling from regions without autochthonous CHIKV transmission to areas with active CHIKV transmission. We modelled four travel duration (7, 14, 30, and 90 days) scenarios, simulating each in combination with state and age group (18-64 and </w:t>
      </w:r>
      <w:r w:rsidRPr="009E55C4">
        <w:rPr>
          <w:rFonts w:ascii="Calibri" w:eastAsia="Malgun Gothic" w:hAnsi="Calibri" w:cs="Calibri" w:hint="eastAsia"/>
          <w:sz w:val="22"/>
          <w:szCs w:val="22"/>
        </w:rPr>
        <w:t>≥</w:t>
      </w:r>
      <w:r w:rsidRPr="009E55C4">
        <w:rPr>
          <w:rFonts w:ascii="Calibri" w:eastAsia="Malgun Gothic" w:hAnsi="Calibri" w:cs="Calibri"/>
          <w:sz w:val="22"/>
          <w:szCs w:val="22"/>
        </w:rPr>
        <w:t>65 years),</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 xml:space="preserve">and </w:t>
      </w:r>
      <w:r w:rsidRPr="009E55C4">
        <w:rPr>
          <w:rFonts w:ascii="Calibri" w:hAnsi="Calibri" w:cs="Calibri"/>
          <w:sz w:val="22"/>
          <w:szCs w:val="22"/>
        </w:rPr>
        <w:t xml:space="preserve">calculated outcomes per 10,000 vaccinated travellers stratified by state </w:t>
      </w:r>
      <m:oMath>
        <m:r>
          <w:rPr>
            <w:rFonts w:ascii="Cambria Math" w:hAnsi="Cambria Math" w:cs="Calibri"/>
            <w:sz w:val="22"/>
            <w:szCs w:val="22"/>
          </w:rPr>
          <m:t>(s)</m:t>
        </m:r>
      </m:oMath>
      <w:r w:rsidRPr="009E55C4">
        <w:rPr>
          <w:rFonts w:ascii="Calibri" w:hAnsi="Calibri" w:cs="Calibri"/>
          <w:sz w:val="22"/>
          <w:szCs w:val="22"/>
        </w:rPr>
        <w:t xml:space="preserve">, age group </w:t>
      </w:r>
      <m:oMath>
        <m:r>
          <w:rPr>
            <w:rFonts w:ascii="Cambria Math" w:hAnsi="Cambria Math" w:cs="Calibri"/>
            <w:sz w:val="22"/>
            <w:szCs w:val="22"/>
          </w:rPr>
          <m:t>(a)</m:t>
        </m:r>
      </m:oMath>
      <w:r w:rsidRPr="009E55C4">
        <w:rPr>
          <w:rFonts w:ascii="Calibri" w:hAnsi="Calibri" w:cs="Calibri"/>
          <w:sz w:val="22"/>
          <w:szCs w:val="22"/>
        </w:rPr>
        <w:t xml:space="preserve">, and travel duration </w:t>
      </w:r>
      <m:oMath>
        <m:r>
          <w:rPr>
            <w:rFonts w:ascii="Cambria Math" w:hAnsi="Cambria Math" w:cs="Calibri"/>
            <w:sz w:val="22"/>
            <w:szCs w:val="22"/>
          </w:rPr>
          <m:t>(d)</m:t>
        </m:r>
      </m:oMath>
      <w:r w:rsidRPr="009E55C4">
        <w:rPr>
          <w:rFonts w:ascii="Calibri" w:eastAsia="Malgun Gothic" w:hAnsi="Calibri" w:cs="Calibri"/>
          <w:sz w:val="22"/>
          <w:szCs w:val="22"/>
        </w:rPr>
        <w:t xml:space="preserve">. In the absence of empirical data on traveller-specific exposure or behavioural patterns, we assumed that travellers experienced the same daily infection risk as </w:t>
      </w:r>
      <w:proofErr w:type="gramStart"/>
      <w:r w:rsidRPr="009E55C4">
        <w:rPr>
          <w:rFonts w:ascii="Calibri" w:eastAsia="Malgun Gothic" w:hAnsi="Calibri" w:cs="Calibri"/>
          <w:sz w:val="22"/>
          <w:szCs w:val="22"/>
        </w:rPr>
        <w:t>local residents</w:t>
      </w:r>
      <w:proofErr w:type="gramEnd"/>
      <w:r w:rsidRPr="009E55C4">
        <w:rPr>
          <w:rFonts w:ascii="Calibri" w:eastAsia="Malgun Gothic" w:hAnsi="Calibri" w:cs="Calibri"/>
          <w:sz w:val="22"/>
          <w:szCs w:val="22"/>
        </w:rPr>
        <w:t xml:space="preserve">. Based on the current regulatory indication for travel vaccination, travellers were assumed to originate from regions without CHIKV transmission and to be fully seronegative </w:t>
      </w:r>
      <w:hyperlink r:id="rId8">
        <w:r w:rsidRPr="009E55C4">
          <w:rPr>
            <w:rFonts w:ascii="Calibri" w:hAnsi="Calibri" w:cs="Calibri"/>
            <w:sz w:val="22"/>
            <w:szCs w:val="22"/>
          </w:rPr>
          <w:t>(26)</w:t>
        </w:r>
      </w:hyperlink>
      <w:r w:rsidRPr="009E55C4">
        <w:rPr>
          <w:rFonts w:ascii="Calibri" w:eastAsia="Malgun Gothic" w:hAnsi="Calibri" w:cs="Calibri"/>
          <w:sz w:val="22"/>
          <w:szCs w:val="22"/>
        </w:rPr>
        <w:t xml:space="preserve">. </w:t>
      </w:r>
    </w:p>
    <w:p w14:paraId="73A6C1F4" w14:textId="77777777" w:rsidR="009B7902" w:rsidRPr="009E55C4" w:rsidRDefault="009B7902" w:rsidP="009B7902">
      <w:pPr>
        <w:spacing w:line="360" w:lineRule="auto"/>
        <w:rPr>
          <w:rFonts w:ascii="Calibri" w:eastAsia="Malgun Gothic" w:hAnsi="Calibri" w:cs="Calibri"/>
          <w:sz w:val="22"/>
          <w:szCs w:val="22"/>
        </w:rPr>
      </w:pPr>
    </w:p>
    <w:p w14:paraId="5F6BA36D" w14:textId="77777777" w:rsidR="009B7902" w:rsidRPr="009E55C4" w:rsidRDefault="009B7902" w:rsidP="009B7902">
      <w:pPr>
        <w:spacing w:line="360" w:lineRule="auto"/>
        <w:rPr>
          <w:rFonts w:ascii="Calibri" w:eastAsia="Malgun Gothic" w:hAnsi="Calibri" w:cs="Calibri"/>
          <w:sz w:val="22"/>
          <w:szCs w:val="22"/>
        </w:rPr>
      </w:pPr>
      <w:r w:rsidRPr="009E55C4">
        <w:rPr>
          <w:rFonts w:ascii="Calibri" w:eastAsia="Malgun Gothic" w:hAnsi="Calibri" w:cs="Calibri"/>
          <w:sz w:val="22"/>
          <w:szCs w:val="22"/>
        </w:rPr>
        <w:t xml:space="preserve">We used the state-specific daily force of infection (FOI) </w:t>
      </w:r>
      <m:oMath>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s,i</m:t>
            </m:r>
          </m:sub>
        </m:sSub>
        <m:r>
          <w:rPr>
            <w:rFonts w:ascii="Cambria Math" w:eastAsia="Malgun Gothic" w:hAnsi="Cambria Math" w:cs="Calibri"/>
            <w:sz w:val="22"/>
            <w:szCs w:val="22"/>
          </w:rPr>
          <m:t>)</m:t>
        </m:r>
      </m:oMath>
      <w:r w:rsidRPr="009E55C4">
        <w:rPr>
          <w:rFonts w:ascii="Calibri" w:eastAsia="Malgun Gothic" w:hAnsi="Calibri" w:cs="Calibri"/>
          <w:sz w:val="22"/>
          <w:szCs w:val="22"/>
        </w:rPr>
        <w:t xml:space="preserve"> to estimate travel-specific attack rate, </w:t>
      </w:r>
      <m:oMath>
        <m:r>
          <w:rPr>
            <w:rFonts w:ascii="Cambria Math" w:eastAsia="Malgun Gothic" w:hAnsi="Cambria Math" w:cs="Calibri"/>
            <w:sz w:val="22"/>
            <w:szCs w:val="22"/>
          </w:rPr>
          <m:t>A</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R</m:t>
            </m:r>
          </m:e>
          <m:sub>
            <m:r>
              <w:rPr>
                <w:rFonts w:ascii="Cambria Math" w:eastAsia="Malgun Gothic" w:hAnsi="Cambria Math" w:cs="Calibri"/>
                <w:sz w:val="22"/>
                <w:szCs w:val="22"/>
              </w:rPr>
              <m:t>s,d</m:t>
            </m:r>
          </m:sub>
        </m:sSub>
        <m:d>
          <m:dPr>
            <m:ctrlPr>
              <w:rPr>
                <w:rFonts w:ascii="Cambria Math" w:eastAsia="Malgun Gothic" w:hAnsi="Cambria Math" w:cs="Calibri"/>
                <w:i/>
                <w:sz w:val="22"/>
                <w:szCs w:val="22"/>
              </w:rPr>
            </m:ctrlPr>
          </m:dPr>
          <m:e>
            <m:r>
              <w:rPr>
                <w:rFonts w:ascii="Cambria Math" w:eastAsia="Malgun Gothic" w:hAnsi="Cambria Math" w:cs="Calibri"/>
                <w:sz w:val="22"/>
                <w:szCs w:val="22"/>
              </w:rPr>
              <m:t>t</m:t>
            </m:r>
          </m:e>
        </m:d>
      </m:oMath>
      <w:r w:rsidRPr="009E55C4">
        <w:rPr>
          <w:rFonts w:ascii="Calibri" w:eastAsia="Malgun Gothic" w:hAnsi="Calibri" w:cs="Calibri"/>
          <w:sz w:val="22"/>
          <w:szCs w:val="22"/>
        </w:rPr>
        <w:t xml:space="preserve">, as the infection risk accumulated over a travel period to state </w:t>
      </w:r>
      <m:oMath>
        <m:r>
          <w:rPr>
            <w:rFonts w:ascii="Cambria Math" w:hAnsi="Cambria Math" w:cs="Calibri"/>
            <w:sz w:val="22"/>
            <w:szCs w:val="22"/>
          </w:rPr>
          <m:t>s</m:t>
        </m:r>
      </m:oMath>
      <w:r w:rsidRPr="009E55C4">
        <w:rPr>
          <w:rFonts w:ascii="Calibri" w:hAnsi="Calibri" w:cs="Calibri"/>
          <w:sz w:val="22"/>
          <w:szCs w:val="22"/>
        </w:rPr>
        <w:t>, starting on day</w:t>
      </w:r>
      <m:oMath>
        <m:r>
          <w:rPr>
            <w:rFonts w:ascii="Cambria Math" w:hAnsi="Cambria Math" w:cs="Calibri"/>
            <w:sz w:val="22"/>
            <w:szCs w:val="22"/>
          </w:rPr>
          <m:t xml:space="preserve"> t</m:t>
        </m:r>
      </m:oMath>
      <w:r w:rsidRPr="009E55C4">
        <w:rPr>
          <w:rFonts w:ascii="Calibri" w:hAnsi="Calibri" w:cs="Calibri"/>
          <w:sz w:val="22"/>
          <w:szCs w:val="22"/>
        </w:rPr>
        <w:t xml:space="preserve"> and lasting </w:t>
      </w:r>
      <m:oMath>
        <m:r>
          <w:rPr>
            <w:rFonts w:ascii="Cambria Math" w:hAnsi="Cambria Math" w:cs="Calibri"/>
            <w:sz w:val="22"/>
            <w:szCs w:val="22"/>
          </w:rPr>
          <m:t>d</m:t>
        </m:r>
      </m:oMath>
      <w:r w:rsidRPr="009E55C4">
        <w:rPr>
          <w:rFonts w:ascii="Calibri" w:eastAsia="Malgun Gothic" w:hAnsi="Calibri" w:cs="Calibri"/>
          <w:sz w:val="22"/>
          <w:szCs w:val="22"/>
        </w:rPr>
        <w:t xml:space="preserve"> days, derived from the cumulative daily FOI over that period (Eq. 2).  </w:t>
      </w:r>
    </w:p>
    <w:p w14:paraId="3F697B1E" w14:textId="77777777" w:rsidR="009B7902" w:rsidRPr="009E55C4" w:rsidRDefault="009B7902" w:rsidP="009B7902">
      <w:pPr>
        <w:spacing w:line="360" w:lineRule="auto"/>
        <w:rPr>
          <w:rFonts w:ascii="Calibri" w:eastAsia="Malgun Gothic" w:hAnsi="Calibri" w:cs="Calibri"/>
          <w:sz w:val="22"/>
          <w:szCs w:val="22"/>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9"/>
        <w:gridCol w:w="1395"/>
      </w:tblGrid>
      <w:tr w:rsidR="009B7902" w:rsidRPr="009E55C4" w14:paraId="27DA33C1" w14:textId="77777777" w:rsidTr="00DD3874">
        <w:trPr>
          <w:trHeight w:val="843"/>
        </w:trPr>
        <w:tc>
          <w:tcPr>
            <w:tcW w:w="7513" w:type="dxa"/>
          </w:tcPr>
          <w:p w14:paraId="4CA504AA" w14:textId="77777777" w:rsidR="009B7902" w:rsidRPr="009E55C4" w:rsidRDefault="009B7902" w:rsidP="00DD3874">
            <w:pPr>
              <w:spacing w:line="360" w:lineRule="auto"/>
              <w:jc w:val="center"/>
              <w:rPr>
                <w:rFonts w:ascii="Calibri" w:eastAsia="Malgun Gothic" w:hAnsi="Calibri" w:cs="Calibri"/>
                <w:b/>
                <w:bCs/>
                <w:sz w:val="22"/>
                <w:szCs w:val="22"/>
              </w:rPr>
            </w:pPr>
            <m:oMathPara>
              <m:oMath>
                <m:r>
                  <w:rPr>
                    <w:rFonts w:ascii="Cambria Math" w:eastAsia="Malgun Gothic" w:hAnsi="Cambria Math" w:cs="Calibri"/>
                    <w:sz w:val="22"/>
                    <w:szCs w:val="22"/>
                  </w:rPr>
                  <m:t>A</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R</m:t>
                    </m:r>
                  </m:e>
                  <m:sub>
                    <m:r>
                      <w:rPr>
                        <w:rFonts w:ascii="Cambria Math" w:eastAsia="Malgun Gothic" w:hAnsi="Cambria Math" w:cs="Calibri"/>
                        <w:sz w:val="22"/>
                        <w:szCs w:val="22"/>
                      </w:rPr>
                      <m:t>s,d</m:t>
                    </m:r>
                  </m:sub>
                </m:sSub>
                <m:d>
                  <m:dPr>
                    <m:ctrlPr>
                      <w:rPr>
                        <w:rFonts w:ascii="Cambria Math" w:eastAsia="Malgun Gothic" w:hAnsi="Cambria Math" w:cs="Calibri"/>
                        <w:i/>
                        <w:sz w:val="22"/>
                        <w:szCs w:val="22"/>
                      </w:rPr>
                    </m:ctrlPr>
                  </m:dPr>
                  <m:e>
                    <m:r>
                      <w:rPr>
                        <w:rFonts w:ascii="Cambria Math" w:eastAsia="Malgun Gothic" w:hAnsi="Cambria Math" w:cs="Calibri"/>
                        <w:sz w:val="22"/>
                        <w:szCs w:val="22"/>
                      </w:rPr>
                      <m:t>t</m:t>
                    </m:r>
                  </m:e>
                </m:d>
                <m:r>
                  <w:rPr>
                    <w:rFonts w:ascii="Cambria Math" w:eastAsia="Malgun Gothic" w:hAnsi="Cambria Math" w:cs="Calibri"/>
                    <w:sz w:val="22"/>
                    <w:szCs w:val="22"/>
                  </w:rPr>
                  <m:t>=1-</m:t>
                </m:r>
                <m:r>
                  <m:rPr>
                    <m:sty m:val="p"/>
                  </m:rPr>
                  <w:rPr>
                    <w:rFonts w:ascii="Cambria Math" w:eastAsia="Malgun Gothic" w:hAnsi="Cambria Math" w:cs="Calibri"/>
                    <w:sz w:val="22"/>
                    <w:szCs w:val="22"/>
                  </w:rPr>
                  <m:t>exp⁡</m:t>
                </m:r>
                <m:r>
                  <w:rPr>
                    <w:rFonts w:ascii="Cambria Math" w:eastAsia="Malgun Gothic" w:hAnsi="Cambria Math" w:cs="Calibri"/>
                    <w:sz w:val="22"/>
                    <w:szCs w:val="22"/>
                  </w:rPr>
                  <m:t>(-</m:t>
                </m:r>
                <m:nary>
                  <m:naryPr>
                    <m:chr m:val="∑"/>
                    <m:limLoc m:val="undOvr"/>
                    <m:ctrlPr>
                      <w:rPr>
                        <w:rFonts w:ascii="Cambria Math" w:eastAsia="Malgun Gothic" w:hAnsi="Cambria Math" w:cs="Calibri"/>
                        <w:i/>
                        <w:sz w:val="22"/>
                        <w:szCs w:val="22"/>
                      </w:rPr>
                    </m:ctrlPr>
                  </m:naryPr>
                  <m:sub>
                    <m:r>
                      <w:rPr>
                        <w:rFonts w:ascii="Cambria Math" w:eastAsia="Malgun Gothic" w:hAnsi="Cambria Math" w:cs="Calibri"/>
                        <w:sz w:val="22"/>
                        <w:szCs w:val="22"/>
                      </w:rPr>
                      <m:t>i=t</m:t>
                    </m:r>
                  </m:sub>
                  <m:sup>
                    <m:r>
                      <w:rPr>
                        <w:rFonts w:ascii="Cambria Math" w:eastAsia="Malgun Gothic" w:hAnsi="Cambria Math" w:cs="Calibri"/>
                        <w:sz w:val="22"/>
                        <w:szCs w:val="22"/>
                      </w:rPr>
                      <m:t>t+d-1</m:t>
                    </m:r>
                  </m:sup>
                  <m:e>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s,i</m:t>
                        </m:r>
                      </m:sub>
                    </m:sSub>
                    <m:r>
                      <w:rPr>
                        <w:rFonts w:ascii="Cambria Math" w:eastAsia="Malgun Gothic" w:hAnsi="Cambria Math" w:cs="Calibri"/>
                        <w:sz w:val="22"/>
                        <w:szCs w:val="22"/>
                      </w:rPr>
                      <m:t>)</m:t>
                    </m:r>
                  </m:e>
                </m:nary>
              </m:oMath>
            </m:oMathPara>
          </w:p>
        </w:tc>
        <w:tc>
          <w:tcPr>
            <w:tcW w:w="1451" w:type="dxa"/>
            <w:vAlign w:val="center"/>
          </w:tcPr>
          <w:p w14:paraId="71B0D4A2" w14:textId="77777777" w:rsidR="009B7902" w:rsidRPr="009E55C4" w:rsidRDefault="009B7902" w:rsidP="00DD3874">
            <w:pPr>
              <w:spacing w:line="360" w:lineRule="auto"/>
              <w:jc w:val="center"/>
              <w:rPr>
                <w:rFonts w:ascii="Calibri" w:eastAsia="Malgun Gothic" w:hAnsi="Calibri" w:cs="Calibri"/>
                <w:b/>
                <w:bCs/>
                <w:sz w:val="22"/>
                <w:szCs w:val="22"/>
              </w:rPr>
            </w:pPr>
            <m:oMathPara>
              <m:oMathParaPr>
                <m:jc m:val="center"/>
              </m:oMathParaPr>
              <m:oMath>
                <m:r>
                  <w:rPr>
                    <w:rFonts w:ascii="Cambria Math" w:eastAsia="Malgun Gothic" w:hAnsi="Cambria Math" w:cs="Calibri"/>
                    <w:sz w:val="22"/>
                    <w:szCs w:val="22"/>
                  </w:rPr>
                  <m:t>Eq.2</m:t>
                </m:r>
              </m:oMath>
            </m:oMathPara>
          </w:p>
        </w:tc>
      </w:tr>
      <w:tr w:rsidR="009B7902" w:rsidRPr="009E55C4" w14:paraId="178A2CDF" w14:textId="77777777" w:rsidTr="00DD3874">
        <w:trPr>
          <w:trHeight w:val="555"/>
        </w:trPr>
        <w:tc>
          <w:tcPr>
            <w:tcW w:w="8964" w:type="dxa"/>
            <w:gridSpan w:val="2"/>
          </w:tcPr>
          <w:p w14:paraId="790031FA" w14:textId="77777777" w:rsidR="009B7902" w:rsidRPr="009E55C4" w:rsidRDefault="009B7902" w:rsidP="00DD3874">
            <w:pPr>
              <w:spacing w:line="360" w:lineRule="auto"/>
              <w:rPr>
                <w:rFonts w:ascii="Calibri" w:eastAsia="Malgun Gothic" w:hAnsi="Calibri" w:cs="Calibri"/>
                <w:bCs/>
                <w:sz w:val="22"/>
                <w:szCs w:val="22"/>
              </w:rPr>
            </w:pPr>
            <m:oMath>
              <m:r>
                <w:rPr>
                  <w:rFonts w:ascii="Cambria Math" w:hAnsi="Cambria Math" w:cs="Calibri"/>
                  <w:sz w:val="18"/>
                  <w:szCs w:val="18"/>
                </w:rPr>
                <m:t>AR</m:t>
              </m:r>
            </m:oMath>
            <w:r w:rsidRPr="009E55C4">
              <w:rPr>
                <w:rFonts w:ascii="Calibri" w:hAnsi="Calibri" w:cs="Calibri"/>
                <w:bCs/>
                <w:sz w:val="18"/>
                <w:szCs w:val="18"/>
              </w:rPr>
              <w:t>= attack rate;</w:t>
            </w:r>
            <m:oMath>
              <m:r>
                <w:rPr>
                  <w:rFonts w:ascii="Cambria Math" w:eastAsia="Malgun Gothic" w:hAnsi="Cambria Math" w:cs="Calibri"/>
                  <w:sz w:val="18"/>
                  <w:szCs w:val="18"/>
                </w:rPr>
                <m:t>s</m:t>
              </m:r>
            </m:oMath>
            <w:r w:rsidRPr="009E55C4">
              <w:rPr>
                <w:rFonts w:ascii="Calibri" w:eastAsia="Malgun Gothic" w:hAnsi="Calibri" w:cs="Calibri"/>
                <w:bCs/>
                <w:sz w:val="18"/>
                <w:szCs w:val="18"/>
              </w:rPr>
              <w:t xml:space="preserve"> = state; </w:t>
            </w:r>
            <m:oMath>
              <m:r>
                <w:rPr>
                  <w:rFonts w:ascii="Cambria Math" w:eastAsia="Malgun Gothic" w:hAnsi="Cambria Math" w:cs="Calibri"/>
                  <w:sz w:val="18"/>
                  <w:szCs w:val="18"/>
                </w:rPr>
                <m:t>a</m:t>
              </m:r>
            </m:oMath>
            <w:r w:rsidRPr="009E55C4">
              <w:rPr>
                <w:rFonts w:ascii="Calibri" w:eastAsia="Malgun Gothic" w:hAnsi="Calibri" w:cs="Calibri"/>
                <w:bCs/>
                <w:sz w:val="18"/>
                <w:szCs w:val="18"/>
              </w:rPr>
              <w:t xml:space="preserve">= age group; </w:t>
            </w:r>
            <m:oMath>
              <m:r>
                <w:rPr>
                  <w:rFonts w:ascii="Cambria Math" w:eastAsia="Malgun Gothic" w:hAnsi="Cambria Math" w:cs="Calibri"/>
                  <w:sz w:val="18"/>
                  <w:szCs w:val="18"/>
                </w:rPr>
                <m:t>d</m:t>
              </m:r>
            </m:oMath>
            <w:r w:rsidRPr="009E55C4">
              <w:rPr>
                <w:rFonts w:ascii="Calibri" w:eastAsia="Malgun Gothic" w:hAnsi="Calibri" w:cs="Calibri"/>
                <w:bCs/>
                <w:sz w:val="18"/>
                <w:szCs w:val="18"/>
              </w:rPr>
              <w:t xml:space="preserve">=travel duration; </w:t>
            </w:r>
            <m:oMath>
              <m:sSub>
                <m:sSubPr>
                  <m:ctrlPr>
                    <w:rPr>
                      <w:rFonts w:ascii="Cambria Math" w:eastAsia="Malgun Gothic" w:hAnsi="Cambria Math" w:cs="Calibri"/>
                      <w:bCs/>
                      <w:i/>
                      <w:sz w:val="18"/>
                      <w:szCs w:val="18"/>
                    </w:rPr>
                  </m:ctrlPr>
                </m:sSubPr>
                <m:e>
                  <m:r>
                    <w:rPr>
                      <w:rFonts w:ascii="Cambria Math" w:eastAsia="Malgun Gothic" w:hAnsi="Cambria Math" w:cs="Calibri"/>
                      <w:sz w:val="18"/>
                      <w:szCs w:val="18"/>
                    </w:rPr>
                    <m:t>λ</m:t>
                  </m:r>
                </m:e>
                <m:sub>
                  <m:r>
                    <w:rPr>
                      <w:rFonts w:ascii="Cambria Math" w:eastAsia="Malgun Gothic" w:hAnsi="Cambria Math" w:cs="Calibri"/>
                      <w:sz w:val="18"/>
                      <w:szCs w:val="18"/>
                    </w:rPr>
                    <m:t>s,i</m:t>
                  </m:r>
                </m:sub>
              </m:sSub>
            </m:oMath>
            <w:r w:rsidRPr="009E55C4">
              <w:rPr>
                <w:rFonts w:ascii="Calibri" w:eastAsia="Malgun Gothic" w:hAnsi="Calibri" w:cs="Calibri"/>
                <w:bCs/>
                <w:sz w:val="18"/>
                <w:szCs w:val="18"/>
              </w:rPr>
              <w:t xml:space="preserve">= daily FOI in state </w:t>
            </w:r>
            <m:oMath>
              <m:r>
                <w:rPr>
                  <w:rFonts w:ascii="Cambria Math" w:eastAsia="Malgun Gothic" w:hAnsi="Cambria Math" w:cs="Calibri"/>
                  <w:sz w:val="18"/>
                  <w:szCs w:val="18"/>
                </w:rPr>
                <m:t>s</m:t>
              </m:r>
            </m:oMath>
            <w:r w:rsidRPr="009E55C4">
              <w:rPr>
                <w:rFonts w:ascii="Calibri" w:eastAsia="Malgun Gothic" w:hAnsi="Calibri" w:cs="Calibri"/>
                <w:bCs/>
                <w:sz w:val="18"/>
                <w:szCs w:val="18"/>
              </w:rPr>
              <w:t xml:space="preserve"> on day </w:t>
            </w:r>
            <m:oMath>
              <m:r>
                <w:rPr>
                  <w:rFonts w:ascii="Cambria Math" w:eastAsia="Malgun Gothic" w:hAnsi="Cambria Math" w:cs="Calibri"/>
                  <w:sz w:val="18"/>
                  <w:szCs w:val="18"/>
                </w:rPr>
                <m:t>i</m:t>
              </m:r>
            </m:oMath>
            <w:r w:rsidRPr="009E55C4">
              <w:rPr>
                <w:rFonts w:ascii="Calibri" w:eastAsia="Malgun Gothic" w:hAnsi="Calibri" w:cs="Calibri"/>
                <w:bCs/>
                <w:sz w:val="18"/>
                <w:szCs w:val="18"/>
              </w:rPr>
              <w:t xml:space="preserve">; </w:t>
            </w:r>
            <m:oMath>
              <m:r>
                <w:rPr>
                  <w:rFonts w:ascii="Cambria Math" w:eastAsia="Malgun Gothic" w:hAnsi="Cambria Math" w:cs="Calibri"/>
                  <w:sz w:val="18"/>
                  <w:szCs w:val="18"/>
                </w:rPr>
                <m:t>t</m:t>
              </m:r>
            </m:oMath>
            <w:r w:rsidRPr="009E55C4">
              <w:rPr>
                <w:rFonts w:ascii="Calibri" w:eastAsia="Malgun Gothic" w:hAnsi="Calibri" w:cs="Calibri"/>
                <w:bCs/>
                <w:sz w:val="18"/>
                <w:szCs w:val="18"/>
              </w:rPr>
              <w:t>= sampled entry day. For each simulated trip, entry day (t) was sampled uniformly over the outbreak period to allow travel at any stage of the outbreak</w:t>
            </w:r>
            <w:r w:rsidRPr="009E55C4">
              <w:rPr>
                <w:rFonts w:ascii="Calibri" w:eastAsia="Malgun Gothic" w:hAnsi="Calibri" w:cs="Calibri"/>
                <w:sz w:val="18"/>
                <w:szCs w:val="18"/>
              </w:rPr>
              <w:t>.</w:t>
            </w:r>
          </w:p>
        </w:tc>
      </w:tr>
    </w:tbl>
    <w:p w14:paraId="2AE833F7" w14:textId="77777777" w:rsidR="009B7902" w:rsidRPr="009E55C4" w:rsidRDefault="009B7902" w:rsidP="009B7902">
      <w:pPr>
        <w:spacing w:line="360" w:lineRule="auto"/>
        <w:rPr>
          <w:rFonts w:ascii="Calibri" w:hAnsi="Calibri" w:cs="Calibri"/>
          <w:sz w:val="22"/>
          <w:szCs w:val="22"/>
        </w:rPr>
      </w:pPr>
    </w:p>
    <w:p w14:paraId="1EA54A51" w14:textId="60BD8426" w:rsidR="009B7902" w:rsidRDefault="009B7902" w:rsidP="009B7902">
      <w:pPr>
        <w:spacing w:line="360" w:lineRule="auto"/>
        <w:rPr>
          <w:rFonts w:ascii="Calibri" w:eastAsia="Malgun Gothic" w:hAnsi="Calibri" w:cs="Calibri"/>
          <w:sz w:val="22"/>
          <w:szCs w:val="22"/>
          <w:lang w:eastAsia="ko-KR"/>
        </w:rPr>
      </w:pPr>
      <w:r w:rsidRPr="009E55C4">
        <w:rPr>
          <w:rFonts w:ascii="Calibri" w:hAnsi="Calibri" w:cs="Calibri"/>
          <w:sz w:val="22"/>
          <w:szCs w:val="22"/>
        </w:rPr>
        <w:t xml:space="preserve">We estimated chikungunya-attributable hospitalisations, deaths, and DALYs among unvaccinated and vaccinated travellers using age-specific hospitalisation rates and case fatality rates </w:t>
      </w:r>
      <w:hyperlink r:id="rId9">
        <w:r w:rsidRPr="009E55C4">
          <w:rPr>
            <w:rFonts w:ascii="Calibri" w:hAnsi="Calibri" w:cs="Calibri"/>
            <w:sz w:val="22"/>
            <w:szCs w:val="22"/>
          </w:rPr>
          <w:t>(23,24)</w:t>
        </w:r>
      </w:hyperlink>
      <w:r w:rsidRPr="009E55C4">
        <w:rPr>
          <w:rFonts w:ascii="Calibri" w:hAnsi="Calibri" w:cs="Calibri"/>
          <w:sz w:val="22"/>
          <w:szCs w:val="22"/>
        </w:rPr>
        <w:t xml:space="preserve">. For vaccinated travellers, we assumed direct vaccine protection only, with no </w:t>
      </w:r>
      <w:r w:rsidRPr="009E55C4">
        <w:rPr>
          <w:rFonts w:ascii="Calibri" w:hAnsi="Calibri" w:cs="Calibri"/>
          <w:sz w:val="22"/>
          <w:szCs w:val="22"/>
        </w:rPr>
        <w:lastRenderedPageBreak/>
        <w:t>herd effect</w:t>
      </w:r>
      <w:r w:rsidRPr="009E55C4">
        <w:rPr>
          <w:rFonts w:ascii="Calibri" w:hAnsi="Calibri" w:cs="Calibri" w:hint="eastAsia"/>
          <w:sz w:val="22"/>
          <w:szCs w:val="22"/>
        </w:rPr>
        <w:t xml:space="preserve">. Reductions in infection-attributable </w:t>
      </w:r>
      <w:r w:rsidRPr="009E55C4">
        <w:rPr>
          <w:rFonts w:ascii="Calibri" w:hAnsi="Calibri" w:cs="Calibri"/>
          <w:sz w:val="22"/>
          <w:szCs w:val="22"/>
        </w:rPr>
        <w:t>hospitali</w:t>
      </w:r>
      <w:r w:rsidRPr="009E55C4">
        <w:rPr>
          <w:rFonts w:ascii="Calibri" w:hAnsi="Calibri" w:cs="Calibri" w:hint="eastAsia"/>
          <w:sz w:val="22"/>
          <w:szCs w:val="22"/>
        </w:rPr>
        <w:t>s</w:t>
      </w:r>
      <w:r w:rsidRPr="009E55C4">
        <w:rPr>
          <w:rFonts w:ascii="Calibri" w:hAnsi="Calibri" w:cs="Calibri"/>
          <w:sz w:val="22"/>
          <w:szCs w:val="22"/>
        </w:rPr>
        <w:t>ation</w:t>
      </w:r>
      <w:r w:rsidRPr="009E55C4">
        <w:rPr>
          <w:rFonts w:ascii="Calibri" w:hAnsi="Calibri" w:cs="Calibri" w:hint="eastAsia"/>
          <w:sz w:val="22"/>
          <w:szCs w:val="22"/>
        </w:rPr>
        <w:t xml:space="preserve"> and death were derived by applying the vaccine efficacy estimate to the age-specific </w:t>
      </w:r>
      <w:r w:rsidRPr="009E55C4">
        <w:rPr>
          <w:rFonts w:ascii="Calibri" w:hAnsi="Calibri" w:cs="Calibri"/>
          <w:sz w:val="22"/>
          <w:szCs w:val="22"/>
        </w:rPr>
        <w:t>hospitali</w:t>
      </w:r>
      <w:r w:rsidRPr="009E55C4">
        <w:rPr>
          <w:rFonts w:ascii="Calibri" w:hAnsi="Calibri" w:cs="Calibri" w:hint="eastAsia"/>
          <w:sz w:val="22"/>
          <w:szCs w:val="22"/>
        </w:rPr>
        <w:t>s</w:t>
      </w:r>
      <w:r w:rsidRPr="009E55C4">
        <w:rPr>
          <w:rFonts w:ascii="Calibri" w:hAnsi="Calibri" w:cs="Calibri"/>
          <w:sz w:val="22"/>
          <w:szCs w:val="22"/>
        </w:rPr>
        <w:t>ation</w:t>
      </w:r>
      <w:r w:rsidRPr="009E55C4">
        <w:rPr>
          <w:rFonts w:ascii="Calibri" w:hAnsi="Calibri" w:cs="Calibri" w:hint="eastAsia"/>
          <w:sz w:val="22"/>
          <w:szCs w:val="22"/>
        </w:rPr>
        <w:t xml:space="preserve"> and case fatality rates</w:t>
      </w:r>
      <w:r w:rsidRPr="009E55C4">
        <w:rPr>
          <w:rFonts w:ascii="Calibri" w:hAnsi="Calibri" w:cs="Calibri"/>
          <w:sz w:val="22"/>
          <w:szCs w:val="22"/>
        </w:rPr>
        <w:t xml:space="preserve"> </w:t>
      </w:r>
      <w:hyperlink r:id="rId10">
        <w:r w:rsidRPr="009E55C4">
          <w:rPr>
            <w:rFonts w:ascii="Calibri" w:hAnsi="Calibri" w:cs="Calibri"/>
            <w:sz w:val="22"/>
            <w:szCs w:val="22"/>
          </w:rPr>
          <w:t>(8)</w:t>
        </w:r>
      </w:hyperlink>
      <w:r w:rsidRPr="009E55C4">
        <w:t xml:space="preserve">. </w:t>
      </w:r>
      <w:r w:rsidRPr="009E55C4">
        <w:rPr>
          <w:rFonts w:ascii="Calibri" w:hAnsi="Calibri" w:cs="Calibri"/>
          <w:sz w:val="22"/>
          <w:szCs w:val="22"/>
        </w:rPr>
        <w:t>The benefit of vaccination</w:t>
      </w:r>
      <w:r w:rsidRPr="009E55C4">
        <w:rPr>
          <w:rFonts w:ascii="Calibri" w:hAnsi="Calibri" w:cs="Calibri" w:hint="eastAsia"/>
          <w:sz w:val="22"/>
          <w:szCs w:val="22"/>
        </w:rPr>
        <w:t xml:space="preserve"> was defined as</w:t>
      </w:r>
      <w:r w:rsidRPr="009E55C4">
        <w:rPr>
          <w:rFonts w:ascii="Calibri" w:hAnsi="Calibri" w:cs="Calibri"/>
          <w:sz w:val="22"/>
          <w:szCs w:val="22"/>
        </w:rPr>
        <w:t xml:space="preserve"> the difference in infection-attributable outcomes between unvaccinated and vaccinated travellers. Vaccine-attributable</w:t>
      </w:r>
      <w:r w:rsidRPr="009E55C4">
        <w:rPr>
          <w:rFonts w:ascii="Calibri" w:hAnsi="Calibri" w:cs="Calibri" w:hint="eastAsia"/>
          <w:sz w:val="22"/>
          <w:szCs w:val="22"/>
        </w:rPr>
        <w:t xml:space="preserve"> risks</w:t>
      </w:r>
      <w:r w:rsidRPr="009E55C4">
        <w:rPr>
          <w:rFonts w:ascii="Calibri" w:hAnsi="Calibri" w:cs="Calibri"/>
          <w:sz w:val="22"/>
          <w:szCs w:val="22"/>
        </w:rPr>
        <w:t xml:space="preserve"> were estimated using the </w:t>
      </w:r>
      <w:r w:rsidRPr="009E55C4">
        <w:rPr>
          <w:rFonts w:ascii="Calibri" w:hAnsi="Calibri" w:cs="Calibri" w:hint="eastAsia"/>
          <w:sz w:val="22"/>
          <w:szCs w:val="22"/>
        </w:rPr>
        <w:t>post-marketing safety probabilities (</w:t>
      </w:r>
      <w:r w:rsidRPr="009E55C4">
        <w:rPr>
          <w:rFonts w:ascii="Calibri" w:hAnsi="Calibri" w:cs="Calibri"/>
          <w:sz w:val="22"/>
          <w:szCs w:val="22"/>
        </w:rPr>
        <w:t xml:space="preserve">Table S1). </w:t>
      </w:r>
    </w:p>
    <w:p w14:paraId="0AD7D10C" w14:textId="77777777" w:rsidR="00337BA6" w:rsidRPr="008A3F4D" w:rsidRDefault="00337BA6" w:rsidP="00337BA6">
      <w:pPr>
        <w:pStyle w:val="a6"/>
        <w:numPr>
          <w:ilvl w:val="0"/>
          <w:numId w:val="3"/>
        </w:numPr>
        <w:spacing w:line="360" w:lineRule="auto"/>
        <w:rPr>
          <w:rFonts w:ascii="Calibri" w:hAnsi="Calibri" w:cs="Calibri"/>
          <w:sz w:val="22"/>
          <w:szCs w:val="22"/>
        </w:rPr>
      </w:pPr>
      <w:r>
        <w:rPr>
          <w:rFonts w:ascii="Calibri" w:hAnsi="Calibri" w:cs="Calibri" w:hint="eastAsia"/>
          <w:sz w:val="22"/>
          <w:szCs w:val="22"/>
        </w:rPr>
        <w:t>FOI scaling to the predicted true attack rate and estimation of travel-specific attack rates</w:t>
      </w:r>
    </w:p>
    <w:p w14:paraId="147B6C77" w14:textId="77777777" w:rsidR="00337BA6" w:rsidRDefault="00337BA6" w:rsidP="00337BA6">
      <w:pPr>
        <w:spacing w:line="360" w:lineRule="auto"/>
        <w:rPr>
          <w:rFonts w:ascii="Calibri" w:hAnsi="Calibri" w:cs="Calibri"/>
          <w:sz w:val="22"/>
          <w:szCs w:val="22"/>
        </w:rPr>
      </w:pPr>
      <w:r>
        <w:rPr>
          <w:rFonts w:ascii="Calibri" w:hAnsi="Calibri" w:cs="Calibri" w:hint="eastAsia"/>
          <w:sz w:val="22"/>
          <w:szCs w:val="22"/>
        </w:rPr>
        <w:t xml:space="preserve">We scaled the baseline daily FOI estimated from surveillance-based case counts to correct for underestimation. </w:t>
      </w:r>
    </w:p>
    <w:p w14:paraId="5DFCC00F" w14:textId="77777777" w:rsidR="00337BA6" w:rsidRDefault="00337BA6" w:rsidP="00337BA6">
      <w:pPr>
        <w:spacing w:line="360" w:lineRule="auto"/>
        <w:rPr>
          <w:rFonts w:ascii="Calibri" w:hAnsi="Calibri" w:cs="Calibri"/>
          <w:sz w:val="22"/>
          <w:szCs w:val="22"/>
        </w:rPr>
      </w:pPr>
    </w:p>
    <w:p w14:paraId="4460ED72" w14:textId="77777777" w:rsidR="00337BA6" w:rsidRDefault="00337BA6" w:rsidP="00337BA6">
      <w:pPr>
        <w:spacing w:line="360" w:lineRule="auto"/>
        <w:rPr>
          <w:rFonts w:ascii="Calibri" w:hAnsi="Calibri" w:cs="Calibri"/>
          <w:sz w:val="22"/>
          <w:szCs w:val="22"/>
        </w:rPr>
      </w:pPr>
      <w:r>
        <w:rPr>
          <w:rFonts w:ascii="Calibri" w:hAnsi="Calibri" w:cs="Calibri" w:hint="eastAsia"/>
          <w:sz w:val="22"/>
          <w:szCs w:val="22"/>
        </w:rPr>
        <w:t xml:space="preserve">Let </w:t>
      </w:r>
      <m:oMath>
        <m:sSubSup>
          <m:sSubSupPr>
            <m:ctrlPr>
              <w:rPr>
                <w:rFonts w:ascii="Cambria Math" w:hAnsi="Cambria Math" w:cs="Calibri"/>
                <w:i/>
                <w:sz w:val="22"/>
                <w:szCs w:val="22"/>
              </w:rPr>
            </m:ctrlPr>
          </m:sSubSupPr>
          <m:e>
            <m:r>
              <w:rPr>
                <w:rFonts w:ascii="Cambria Math" w:hAnsi="Cambria Math" w:cs="Calibri"/>
                <w:sz w:val="22"/>
                <w:szCs w:val="22"/>
              </w:rPr>
              <m:t>λ</m:t>
            </m:r>
          </m:e>
          <m:sub>
            <m:r>
              <w:rPr>
                <w:rFonts w:ascii="Cambria Math" w:hAnsi="Cambria Math" w:cs="Calibri"/>
                <w:sz w:val="22"/>
                <w:szCs w:val="22"/>
              </w:rPr>
              <m:t>r,t</m:t>
            </m:r>
          </m:sub>
          <m:sup>
            <m:r>
              <w:rPr>
                <w:rFonts w:ascii="Cambria Math" w:hAnsi="Cambria Math" w:cs="Calibri"/>
                <w:sz w:val="22"/>
                <w:szCs w:val="22"/>
              </w:rPr>
              <m:t>0</m:t>
            </m:r>
          </m:sup>
        </m:sSubSup>
      </m:oMath>
      <w:r>
        <w:rPr>
          <w:rFonts w:ascii="Calibri" w:hAnsi="Calibri" w:cs="Calibri" w:hint="eastAsia"/>
          <w:sz w:val="22"/>
          <w:szCs w:val="22"/>
        </w:rPr>
        <w:t xml:space="preserve"> denote the baseline daily FOI in state </w:t>
      </w:r>
      <m:oMath>
        <m:r>
          <w:rPr>
            <w:rFonts w:ascii="Cambria Math" w:hAnsi="Cambria Math" w:cs="Calibri"/>
            <w:sz w:val="22"/>
            <w:szCs w:val="22"/>
          </w:rPr>
          <m:t>r</m:t>
        </m:r>
      </m:oMath>
      <w:r>
        <w:rPr>
          <w:rFonts w:ascii="Calibri" w:hAnsi="Calibri" w:cs="Calibri" w:hint="eastAsia"/>
          <w:sz w:val="22"/>
          <w:szCs w:val="22"/>
        </w:rPr>
        <w:t xml:space="preserve"> on day </w:t>
      </w:r>
      <m:oMath>
        <m:r>
          <w:rPr>
            <w:rFonts w:ascii="Cambria Math" w:hAnsi="Cambria Math" w:cs="Calibri"/>
            <w:sz w:val="22"/>
            <w:szCs w:val="22"/>
          </w:rPr>
          <m:t>t</m:t>
        </m:r>
      </m:oMath>
      <w:r>
        <w:rPr>
          <w:rFonts w:ascii="Calibri" w:hAnsi="Calibri" w:cs="Calibri" w:hint="eastAsia"/>
          <w:sz w:val="22"/>
          <w:szCs w:val="22"/>
        </w:rPr>
        <w:t xml:space="preserve">, derived by distributing the weekly model-estimated FOI evenly across the 7 days within each epidemiological week. </w:t>
      </w:r>
    </w:p>
    <w:p w14:paraId="5581FAC4" w14:textId="77777777" w:rsidR="00337BA6" w:rsidRDefault="00337BA6" w:rsidP="00337BA6">
      <w:pPr>
        <w:spacing w:line="360" w:lineRule="auto"/>
        <w:rPr>
          <w:rFonts w:ascii="Calibri" w:hAnsi="Calibri" w:cs="Calibri"/>
          <w:sz w:val="22"/>
          <w:szCs w:val="22"/>
        </w:rPr>
      </w:pPr>
    </w:p>
    <w:p w14:paraId="767E0E90" w14:textId="77777777" w:rsidR="00337BA6" w:rsidRPr="00AF60FE" w:rsidRDefault="00337BA6" w:rsidP="00337BA6">
      <w:pPr>
        <w:spacing w:line="360" w:lineRule="auto"/>
        <w:rPr>
          <w:rFonts w:ascii="Calibri" w:hAnsi="Calibri" w:cs="Calibri"/>
          <w:sz w:val="22"/>
          <w:szCs w:val="22"/>
        </w:rPr>
      </w:pPr>
      <w:r>
        <w:rPr>
          <w:rFonts w:ascii="Calibri" w:hAnsi="Calibri" w:cs="Calibri" w:hint="eastAsia"/>
          <w:sz w:val="22"/>
          <w:szCs w:val="22"/>
        </w:rPr>
        <w:t xml:space="preserve"> Then the baseline cumulative hazard summed across the </w:t>
      </w:r>
      <w:r>
        <w:rPr>
          <w:rFonts w:ascii="Calibri" w:hAnsi="Calibri" w:cs="Calibri"/>
          <w:sz w:val="22"/>
          <w:szCs w:val="22"/>
        </w:rPr>
        <w:t>full</w:t>
      </w:r>
      <w:r>
        <w:rPr>
          <w:rFonts w:ascii="Calibri" w:hAnsi="Calibri" w:cs="Calibri" w:hint="eastAsia"/>
          <w:sz w:val="22"/>
          <w:szCs w:val="22"/>
        </w:rPr>
        <w:t xml:space="preserve"> outbreak period is</w:t>
      </w:r>
    </w:p>
    <w:p w14:paraId="5D019097" w14:textId="77777777" w:rsidR="00337BA6" w:rsidRDefault="00337BA6" w:rsidP="00337BA6">
      <w:pPr>
        <w:spacing w:line="360" w:lineRule="auto"/>
        <w:rPr>
          <w:rFonts w:ascii="Calibri" w:hAnsi="Calibri" w:cs="Calibri"/>
          <w:sz w:val="22"/>
          <w:szCs w:val="22"/>
        </w:rPr>
      </w:pPr>
    </w:p>
    <w:p w14:paraId="2014C873" w14:textId="77777777" w:rsidR="00337BA6" w:rsidRDefault="00337BA6" w:rsidP="00337BA6">
      <w:pPr>
        <w:spacing w:line="360" w:lineRule="auto"/>
        <w:rPr>
          <w:rFonts w:ascii="Calibri" w:hAnsi="Calibri" w:cs="Calibri"/>
          <w:sz w:val="22"/>
          <w:szCs w:val="22"/>
        </w:rPr>
      </w:pPr>
      <m:oMathPara>
        <m:oMath>
          <m:sSubSup>
            <m:sSubSupPr>
              <m:ctrlPr>
                <w:rPr>
                  <w:rFonts w:ascii="Cambria Math" w:hAnsi="Cambria Math" w:cs="Calibri"/>
                  <w:i/>
                  <w:sz w:val="22"/>
                  <w:szCs w:val="22"/>
                </w:rPr>
              </m:ctrlPr>
            </m:sSubSupPr>
            <m:e>
              <m:r>
                <w:rPr>
                  <w:rFonts w:ascii="Cambria Math" w:hAnsi="Cambria Math" w:cs="Calibri"/>
                  <w:sz w:val="22"/>
                  <w:szCs w:val="22"/>
                </w:rPr>
                <m:t>H</m:t>
              </m:r>
            </m:e>
            <m:sub>
              <m:r>
                <w:rPr>
                  <w:rFonts w:ascii="Cambria Math" w:hAnsi="Cambria Math" w:cs="Calibri"/>
                  <w:sz w:val="22"/>
                  <w:szCs w:val="22"/>
                </w:rPr>
                <m:t>r</m:t>
              </m:r>
            </m:sub>
            <m:sup>
              <m:r>
                <w:rPr>
                  <w:rFonts w:ascii="Cambria Math" w:hAnsi="Cambria Math" w:cs="Calibri"/>
                  <w:sz w:val="22"/>
                  <w:szCs w:val="22"/>
                </w:rPr>
                <m:t>(0)</m:t>
              </m:r>
            </m:sup>
          </m:sSubSup>
          <m:r>
            <w:rPr>
              <w:rFonts w:ascii="Cambria Math" w:hAnsi="Cambria Math" w:cs="Calibri"/>
              <w:sz w:val="22"/>
              <w:szCs w:val="22"/>
            </w:rPr>
            <m:t>=</m:t>
          </m:r>
          <m:nary>
            <m:naryPr>
              <m:chr m:val="∑"/>
              <m:limLoc m:val="undOvr"/>
              <m:supHide m:val="1"/>
              <m:ctrlPr>
                <w:rPr>
                  <w:rFonts w:ascii="Cambria Math" w:hAnsi="Cambria Math" w:cs="Calibri"/>
                  <w:i/>
                  <w:sz w:val="22"/>
                  <w:szCs w:val="22"/>
                </w:rPr>
              </m:ctrlPr>
            </m:naryPr>
            <m:sub>
              <m:r>
                <w:rPr>
                  <w:rFonts w:ascii="Cambria Math" w:hAnsi="Cambria Math" w:cs="Calibri"/>
                  <w:sz w:val="22"/>
                  <w:szCs w:val="22"/>
                </w:rPr>
                <m:t xml:space="preserve">t </m:t>
              </m:r>
            </m:sub>
            <m:sup/>
            <m:e>
              <m:sSubSup>
                <m:sSubSupPr>
                  <m:ctrlPr>
                    <w:rPr>
                      <w:rFonts w:ascii="Cambria Math" w:hAnsi="Cambria Math" w:cs="Calibri"/>
                      <w:i/>
                      <w:sz w:val="22"/>
                      <w:szCs w:val="22"/>
                    </w:rPr>
                  </m:ctrlPr>
                </m:sSubSupPr>
                <m:e>
                  <m:r>
                    <w:rPr>
                      <w:rFonts w:ascii="Cambria Math" w:hAnsi="Cambria Math" w:cs="Calibri"/>
                      <w:sz w:val="22"/>
                      <w:szCs w:val="22"/>
                    </w:rPr>
                    <m:t>λ</m:t>
                  </m:r>
                </m:e>
                <m:sub>
                  <m:r>
                    <w:rPr>
                      <w:rFonts w:ascii="Cambria Math" w:hAnsi="Cambria Math" w:cs="Calibri"/>
                      <w:sz w:val="22"/>
                      <w:szCs w:val="22"/>
                    </w:rPr>
                    <m:t>r,t</m:t>
                  </m:r>
                </m:sub>
                <m:sup>
                  <m:r>
                    <w:rPr>
                      <w:rFonts w:ascii="Cambria Math" w:hAnsi="Cambria Math" w:cs="Calibri"/>
                      <w:sz w:val="22"/>
                      <w:szCs w:val="22"/>
                    </w:rPr>
                    <m:t>0</m:t>
                  </m:r>
                </m:sup>
              </m:sSubSup>
            </m:e>
          </m:nary>
        </m:oMath>
      </m:oMathPara>
    </w:p>
    <w:p w14:paraId="585AA437" w14:textId="77777777" w:rsidR="00337BA6" w:rsidRDefault="00337BA6" w:rsidP="00337BA6">
      <w:pPr>
        <w:spacing w:line="360" w:lineRule="auto"/>
        <w:rPr>
          <w:rFonts w:ascii="Calibri" w:hAnsi="Calibri" w:cs="Calibri"/>
          <w:sz w:val="22"/>
          <w:szCs w:val="22"/>
        </w:rPr>
      </w:pPr>
    </w:p>
    <w:p w14:paraId="285AB3EA" w14:textId="77777777" w:rsidR="00337BA6" w:rsidRDefault="00337BA6" w:rsidP="00337BA6">
      <w:pPr>
        <w:spacing w:line="360" w:lineRule="auto"/>
        <w:rPr>
          <w:rFonts w:ascii="Calibri" w:hAnsi="Calibri" w:cs="Calibri"/>
          <w:sz w:val="22"/>
          <w:szCs w:val="22"/>
        </w:rPr>
      </w:pPr>
      <w:r>
        <w:rPr>
          <w:rFonts w:ascii="Calibri" w:hAnsi="Calibri" w:cs="Calibri" w:hint="eastAsia"/>
          <w:sz w:val="22"/>
          <w:szCs w:val="22"/>
        </w:rPr>
        <w:t xml:space="preserve">Using </w:t>
      </w:r>
      <m:oMath>
        <m:sSub>
          <m:sSubPr>
            <m:ctrlPr>
              <w:rPr>
                <w:rFonts w:ascii="Cambria Math" w:hAnsi="Cambria Math" w:cs="Calibri"/>
                <w:i/>
                <w:sz w:val="22"/>
                <w:szCs w:val="22"/>
              </w:rPr>
            </m:ctrlPr>
          </m:sSubPr>
          <m:e>
            <m:r>
              <w:rPr>
                <w:rFonts w:ascii="Cambria Math" w:hAnsi="Cambria Math" w:cs="Calibri"/>
                <w:sz w:val="22"/>
                <w:szCs w:val="22"/>
              </w:rPr>
              <m:t>a</m:t>
            </m:r>
          </m:e>
          <m:sub>
            <m:r>
              <w:rPr>
                <w:rFonts w:ascii="Cambria Math" w:hAnsi="Cambria Math" w:cs="Calibri"/>
                <w:sz w:val="22"/>
                <w:szCs w:val="22"/>
              </w:rPr>
              <m:t>r,j</m:t>
            </m:r>
          </m:sub>
        </m:sSub>
        <m:r>
          <w:rPr>
            <w:rFonts w:ascii="Cambria Math" w:hAnsi="Cambria Math" w:cs="Calibri"/>
            <w:sz w:val="22"/>
            <w:szCs w:val="22"/>
          </w:rPr>
          <m:t>∈(0,1)</m:t>
        </m:r>
      </m:oMath>
      <w:r>
        <w:rPr>
          <w:rFonts w:ascii="Calibri" w:hAnsi="Calibri" w:cs="Calibri" w:hint="eastAsia"/>
          <w:sz w:val="22"/>
          <w:szCs w:val="22"/>
        </w:rPr>
        <w:t xml:space="preserve"> as the draw-specific true attack rate target for state </w:t>
      </w:r>
      <m:oMath>
        <m:r>
          <w:rPr>
            <w:rFonts w:ascii="Cambria Math" w:hAnsi="Cambria Math" w:cs="Calibri"/>
            <w:sz w:val="22"/>
            <w:szCs w:val="22"/>
          </w:rPr>
          <m:t>r</m:t>
        </m:r>
      </m:oMath>
      <w:r>
        <w:rPr>
          <w:rFonts w:ascii="Calibri" w:hAnsi="Calibri" w:cs="Calibri" w:hint="eastAsia"/>
          <w:sz w:val="22"/>
          <w:szCs w:val="22"/>
        </w:rPr>
        <w:t xml:space="preserve"> (estimated from true infections as described above), we defined the target cumulative hazard as </w:t>
      </w:r>
    </w:p>
    <w:p w14:paraId="3AB4DAFF" w14:textId="77777777" w:rsidR="00337BA6" w:rsidRDefault="00337BA6" w:rsidP="00337BA6">
      <w:pPr>
        <w:spacing w:line="360" w:lineRule="auto"/>
        <w:rPr>
          <w:rFonts w:ascii="Calibri" w:hAnsi="Calibri" w:cs="Calibri"/>
          <w:sz w:val="22"/>
          <w:szCs w:val="22"/>
        </w:rPr>
      </w:pPr>
    </w:p>
    <w:p w14:paraId="47422AF3" w14:textId="77777777" w:rsidR="00337BA6" w:rsidRPr="00AB68F3" w:rsidRDefault="00337BA6" w:rsidP="00337BA6">
      <w:pPr>
        <w:spacing w:line="360" w:lineRule="auto"/>
        <w:rPr>
          <w:rFonts w:ascii="Calibri" w:hAnsi="Calibri" w:cs="Calibri"/>
          <w:sz w:val="22"/>
          <w:szCs w:val="22"/>
        </w:rPr>
      </w:pPr>
      <m:oMathPara>
        <m:oMath>
          <m:sSubSup>
            <m:sSubSupPr>
              <m:ctrlPr>
                <w:rPr>
                  <w:rFonts w:ascii="Cambria Math" w:hAnsi="Cambria Math" w:cs="Calibri"/>
                  <w:i/>
                  <w:sz w:val="22"/>
                  <w:szCs w:val="22"/>
                </w:rPr>
              </m:ctrlPr>
            </m:sSubSupPr>
            <m:e>
              <m:r>
                <w:rPr>
                  <w:rFonts w:ascii="Cambria Math" w:hAnsi="Cambria Math" w:cs="Calibri"/>
                  <w:sz w:val="22"/>
                  <w:szCs w:val="22"/>
                </w:rPr>
                <m:t>H</m:t>
              </m:r>
            </m:e>
            <m:sub>
              <m:r>
                <w:rPr>
                  <w:rFonts w:ascii="Cambria Math" w:hAnsi="Cambria Math" w:cs="Calibri"/>
                  <w:sz w:val="22"/>
                  <w:szCs w:val="22"/>
                </w:rPr>
                <m:t>r,j</m:t>
              </m:r>
            </m:sub>
            <m:sup>
              <m:r>
                <w:rPr>
                  <w:rFonts w:ascii="Cambria Math" w:hAnsi="Cambria Math" w:cs="Calibri"/>
                  <w:sz w:val="22"/>
                  <w:szCs w:val="22"/>
                </w:rPr>
                <m:t>*</m:t>
              </m:r>
            </m:sup>
          </m:sSubSup>
          <m:r>
            <w:rPr>
              <w:rFonts w:ascii="Cambria Math" w:hAnsi="Cambria Math" w:cs="Calibri"/>
              <w:sz w:val="22"/>
              <w:szCs w:val="22"/>
            </w:rPr>
            <m:t>=-</m:t>
          </m:r>
          <m:r>
            <m:rPr>
              <m:sty m:val="p"/>
            </m:rPr>
            <w:rPr>
              <w:rFonts w:ascii="Cambria Math" w:hAnsi="Cambria Math" w:cs="Calibri"/>
              <w:sz w:val="22"/>
              <w:szCs w:val="22"/>
            </w:rPr>
            <m:t>log⁡</m:t>
          </m:r>
          <m:r>
            <w:rPr>
              <w:rFonts w:ascii="Cambria Math" w:hAnsi="Cambria Math" w:cs="Calibri"/>
              <w:sz w:val="22"/>
              <w:szCs w:val="22"/>
            </w:rPr>
            <m:t>(1- A</m:t>
          </m:r>
          <m:sSub>
            <m:sSubPr>
              <m:ctrlPr>
                <w:rPr>
                  <w:rFonts w:ascii="Cambria Math" w:hAnsi="Cambria Math" w:cs="Calibri"/>
                  <w:i/>
                  <w:sz w:val="22"/>
                  <w:szCs w:val="22"/>
                </w:rPr>
              </m:ctrlPr>
            </m:sSubPr>
            <m:e>
              <m:r>
                <w:rPr>
                  <w:rFonts w:ascii="Cambria Math" w:hAnsi="Cambria Math" w:cs="Calibri"/>
                  <w:sz w:val="22"/>
                  <w:szCs w:val="22"/>
                </w:rPr>
                <m:t>R</m:t>
              </m:r>
            </m:e>
            <m:sub>
              <m:r>
                <w:rPr>
                  <w:rFonts w:ascii="Cambria Math" w:hAnsi="Cambria Math" w:cs="Calibri"/>
                  <w:sz w:val="22"/>
                  <w:szCs w:val="22"/>
                </w:rPr>
                <m:t>r,j</m:t>
              </m:r>
            </m:sub>
          </m:sSub>
          <m:r>
            <w:rPr>
              <w:rFonts w:ascii="Cambria Math" w:hAnsi="Cambria Math" w:cs="Calibri"/>
              <w:sz w:val="22"/>
              <w:szCs w:val="22"/>
            </w:rPr>
            <m:t>)</m:t>
          </m:r>
        </m:oMath>
      </m:oMathPara>
    </w:p>
    <w:p w14:paraId="50767C9A" w14:textId="77777777" w:rsidR="00337BA6" w:rsidRDefault="00337BA6" w:rsidP="00337BA6">
      <w:pPr>
        <w:spacing w:line="360" w:lineRule="auto"/>
        <w:rPr>
          <w:rFonts w:ascii="Calibri" w:hAnsi="Calibri" w:cs="Calibri"/>
          <w:sz w:val="22"/>
          <w:szCs w:val="22"/>
        </w:rPr>
      </w:pPr>
      <w:r>
        <w:rPr>
          <w:rFonts w:ascii="Calibri" w:hAnsi="Calibri" w:cs="Calibri" w:hint="eastAsia"/>
          <w:sz w:val="22"/>
          <w:szCs w:val="22"/>
        </w:rPr>
        <w:t xml:space="preserve">The scaling multiplier that matches the target hazard while </w:t>
      </w:r>
      <w:r>
        <w:rPr>
          <w:rFonts w:ascii="Calibri" w:hAnsi="Calibri" w:cs="Calibri"/>
          <w:sz w:val="22"/>
          <w:szCs w:val="22"/>
        </w:rPr>
        <w:t>preserving</w:t>
      </w:r>
      <w:r>
        <w:rPr>
          <w:rFonts w:ascii="Calibri" w:hAnsi="Calibri" w:cs="Calibri" w:hint="eastAsia"/>
          <w:sz w:val="22"/>
          <w:szCs w:val="22"/>
        </w:rPr>
        <w:t xml:space="preserve"> the baseline seasonal shape of transmission is </w:t>
      </w:r>
    </w:p>
    <w:p w14:paraId="6C96EEFE" w14:textId="77777777" w:rsidR="00337BA6" w:rsidRDefault="00337BA6" w:rsidP="00337BA6">
      <w:pPr>
        <w:spacing w:line="360" w:lineRule="auto"/>
        <w:rPr>
          <w:rFonts w:ascii="Calibri" w:hAnsi="Calibri" w:cs="Calibri"/>
          <w:sz w:val="22"/>
          <w:szCs w:val="22"/>
        </w:rPr>
      </w:pPr>
    </w:p>
    <w:p w14:paraId="755B7850" w14:textId="77777777" w:rsidR="00337BA6" w:rsidRPr="008375B0" w:rsidRDefault="00337BA6" w:rsidP="00337BA6">
      <w:pPr>
        <w:spacing w:line="360" w:lineRule="auto"/>
        <w:rPr>
          <w:rFonts w:ascii="Calibri" w:hAnsi="Calibri" w:cs="Calibri"/>
          <w:sz w:val="22"/>
          <w:szCs w:val="22"/>
        </w:rPr>
      </w:pPr>
      <m:oMathPara>
        <m:oMath>
          <m:sSub>
            <m:sSubPr>
              <m:ctrlPr>
                <w:rPr>
                  <w:rFonts w:ascii="Cambria Math" w:hAnsi="Cambria Math" w:cs="Calibri"/>
                  <w:i/>
                  <w:sz w:val="22"/>
                  <w:szCs w:val="22"/>
                </w:rPr>
              </m:ctrlPr>
            </m:sSubPr>
            <m:e>
              <m:r>
                <w:rPr>
                  <w:rFonts w:ascii="Cambria Math" w:hAnsi="Cambria Math" w:cs="Calibri"/>
                  <w:sz w:val="22"/>
                  <w:szCs w:val="22"/>
                </w:rPr>
                <m:t>m</m:t>
              </m:r>
            </m:e>
            <m:sub>
              <m:r>
                <w:rPr>
                  <w:rFonts w:ascii="Cambria Math" w:hAnsi="Cambria Math" w:cs="Calibri"/>
                  <w:sz w:val="22"/>
                  <w:szCs w:val="22"/>
                </w:rPr>
                <m:t>r</m:t>
              </m:r>
            </m:sub>
          </m:sSub>
          <m:r>
            <w:rPr>
              <w:rFonts w:ascii="Cambria Math" w:hAnsi="Cambria Math" w:cs="Calibri"/>
              <w:sz w:val="22"/>
              <w:szCs w:val="22"/>
            </w:rPr>
            <m:t>=</m:t>
          </m:r>
          <m:f>
            <m:fPr>
              <m:ctrlPr>
                <w:rPr>
                  <w:rFonts w:ascii="Cambria Math" w:hAnsi="Cambria Math" w:cs="Calibri"/>
                  <w:i/>
                  <w:sz w:val="22"/>
                  <w:szCs w:val="22"/>
                </w:rPr>
              </m:ctrlPr>
            </m:fPr>
            <m:num>
              <m:sSubSup>
                <m:sSubSupPr>
                  <m:ctrlPr>
                    <w:rPr>
                      <w:rFonts w:ascii="Cambria Math" w:hAnsi="Cambria Math" w:cs="Calibri"/>
                      <w:i/>
                      <w:sz w:val="22"/>
                      <w:szCs w:val="22"/>
                    </w:rPr>
                  </m:ctrlPr>
                </m:sSubSupPr>
                <m:e>
                  <m:r>
                    <w:rPr>
                      <w:rFonts w:ascii="Cambria Math" w:hAnsi="Cambria Math" w:cs="Calibri"/>
                      <w:sz w:val="22"/>
                      <w:szCs w:val="22"/>
                    </w:rPr>
                    <m:t>H</m:t>
                  </m:r>
                </m:e>
                <m:sub>
                  <m:r>
                    <w:rPr>
                      <w:rFonts w:ascii="Cambria Math" w:hAnsi="Cambria Math" w:cs="Calibri"/>
                      <w:sz w:val="22"/>
                      <w:szCs w:val="22"/>
                    </w:rPr>
                    <m:t>r</m:t>
                  </m:r>
                </m:sub>
                <m:sup>
                  <m:r>
                    <w:rPr>
                      <w:rFonts w:ascii="Cambria Math" w:hAnsi="Cambria Math" w:cs="Calibri"/>
                      <w:sz w:val="22"/>
                      <w:szCs w:val="22"/>
                    </w:rPr>
                    <m:t>*</m:t>
                  </m:r>
                </m:sup>
              </m:sSubSup>
            </m:num>
            <m:den>
              <m:sSubSup>
                <m:sSubSupPr>
                  <m:ctrlPr>
                    <w:rPr>
                      <w:rFonts w:ascii="Cambria Math" w:hAnsi="Cambria Math" w:cs="Calibri"/>
                      <w:i/>
                      <w:sz w:val="22"/>
                      <w:szCs w:val="22"/>
                    </w:rPr>
                  </m:ctrlPr>
                </m:sSubSupPr>
                <m:e>
                  <m:r>
                    <w:rPr>
                      <w:rFonts w:ascii="Cambria Math" w:hAnsi="Cambria Math" w:cs="Calibri"/>
                      <w:sz w:val="22"/>
                      <w:szCs w:val="22"/>
                    </w:rPr>
                    <m:t>H</m:t>
                  </m:r>
                </m:e>
                <m:sub>
                  <m:r>
                    <w:rPr>
                      <w:rFonts w:ascii="Cambria Math" w:hAnsi="Cambria Math" w:cs="Calibri"/>
                      <w:sz w:val="22"/>
                      <w:szCs w:val="22"/>
                    </w:rPr>
                    <m:t>r</m:t>
                  </m:r>
                </m:sub>
                <m:sup>
                  <m:r>
                    <w:rPr>
                      <w:rFonts w:ascii="Cambria Math" w:hAnsi="Cambria Math" w:cs="Calibri"/>
                      <w:sz w:val="22"/>
                      <w:szCs w:val="22"/>
                    </w:rPr>
                    <m:t>(0)</m:t>
                  </m:r>
                </m:sup>
              </m:sSubSup>
            </m:den>
          </m:f>
        </m:oMath>
      </m:oMathPara>
    </w:p>
    <w:p w14:paraId="51238095" w14:textId="77777777" w:rsidR="00337BA6" w:rsidRDefault="00337BA6" w:rsidP="00337BA6">
      <w:pPr>
        <w:spacing w:line="360" w:lineRule="auto"/>
        <w:rPr>
          <w:rFonts w:ascii="Calibri" w:hAnsi="Calibri" w:cs="Calibri"/>
          <w:sz w:val="22"/>
          <w:szCs w:val="22"/>
        </w:rPr>
      </w:pPr>
      <w:r>
        <w:rPr>
          <w:rFonts w:ascii="Calibri" w:hAnsi="Calibri" w:cs="Calibri" w:hint="eastAsia"/>
          <w:sz w:val="22"/>
          <w:szCs w:val="22"/>
        </w:rPr>
        <w:lastRenderedPageBreak/>
        <w:t>Then the adjusted daily FOI is</w:t>
      </w:r>
    </w:p>
    <w:p w14:paraId="5A08C724" w14:textId="77777777" w:rsidR="00337BA6" w:rsidRPr="003A109D" w:rsidRDefault="00337BA6" w:rsidP="00337BA6">
      <w:pPr>
        <w:spacing w:line="360" w:lineRule="auto"/>
        <w:rPr>
          <w:rFonts w:ascii="Calibri" w:hAnsi="Calibri" w:cs="Calibri"/>
          <w:sz w:val="22"/>
          <w:szCs w:val="22"/>
        </w:rPr>
      </w:pPr>
    </w:p>
    <w:p w14:paraId="1DCCA951" w14:textId="77777777" w:rsidR="00337BA6" w:rsidRPr="00762A12" w:rsidRDefault="00337BA6" w:rsidP="00337BA6">
      <w:pPr>
        <w:spacing w:line="360" w:lineRule="auto"/>
        <w:rPr>
          <w:rFonts w:ascii="Calibri" w:hAnsi="Calibri" w:cs="Calibri"/>
          <w:sz w:val="22"/>
          <w:szCs w:val="22"/>
        </w:rPr>
      </w:pPr>
      <m:oMathPara>
        <m:oMath>
          <m:sSub>
            <m:sSubPr>
              <m:ctrlPr>
                <w:rPr>
                  <w:rFonts w:ascii="Cambria Math" w:hAnsi="Cambria Math" w:cs="Calibri"/>
                  <w:i/>
                  <w:sz w:val="22"/>
                  <w:szCs w:val="22"/>
                </w:rPr>
              </m:ctrlPr>
            </m:sSubPr>
            <m:e>
              <m:sSubSup>
                <m:sSubSupPr>
                  <m:ctrlPr>
                    <w:rPr>
                      <w:rFonts w:ascii="Cambria Math" w:hAnsi="Cambria Math" w:cs="Calibri"/>
                      <w:i/>
                      <w:sz w:val="22"/>
                      <w:szCs w:val="22"/>
                    </w:rPr>
                  </m:ctrlPr>
                </m:sSubSupPr>
                <m:e>
                  <m:eqArr>
                    <m:eqArrPr>
                      <m:ctrlPr>
                        <w:rPr>
                          <w:rFonts w:ascii="Cambria Math" w:hAnsi="Cambria Math" w:cs="Calibri"/>
                          <w:i/>
                          <w:sz w:val="22"/>
                          <w:szCs w:val="22"/>
                        </w:rPr>
                      </m:ctrlPr>
                    </m:eqArrPr>
                    <m:e>
                      <m:r>
                        <w:rPr>
                          <w:rFonts w:ascii="Cambria Math" w:hAnsi="Cambria Math" w:cs="Calibri"/>
                          <w:sz w:val="22"/>
                          <w:szCs w:val="22"/>
                        </w:rPr>
                        <m:t xml:space="preserve">      </m:t>
                      </m:r>
                    </m:e>
                    <m:e>
                      <m:r>
                        <w:rPr>
                          <w:rFonts w:ascii="Cambria Math" w:hAnsi="Cambria Math" w:cs="Calibri"/>
                          <w:sz w:val="22"/>
                          <w:szCs w:val="22"/>
                        </w:rPr>
                        <m:t xml:space="preserve"> λ</m:t>
                      </m:r>
                    </m:e>
                  </m:eqArr>
                </m:e>
                <m:sub>
                  <m:r>
                    <w:rPr>
                      <w:rFonts w:ascii="Cambria Math" w:hAnsi="Cambria Math" w:cs="Calibri"/>
                      <w:sz w:val="22"/>
                      <w:szCs w:val="22"/>
                    </w:rPr>
                    <m:t>r,t</m:t>
                  </m:r>
                </m:sub>
                <m:sup>
                  <m:r>
                    <w:rPr>
                      <w:rFonts w:ascii="Cambria Math" w:hAnsi="Cambria Math" w:cs="Calibri"/>
                      <w:sz w:val="22"/>
                      <w:szCs w:val="22"/>
                    </w:rPr>
                    <m:t>adj</m:t>
                  </m:r>
                </m:sup>
              </m:sSubSup>
              <m:r>
                <w:rPr>
                  <w:rFonts w:ascii="Cambria Math" w:hAnsi="Cambria Math" w:cs="Calibri"/>
                  <w:sz w:val="22"/>
                  <w:szCs w:val="22"/>
                </w:rPr>
                <m:t>=m</m:t>
              </m:r>
            </m:e>
            <m:sub>
              <m:r>
                <w:rPr>
                  <w:rFonts w:ascii="Cambria Math" w:hAnsi="Cambria Math" w:cs="Calibri"/>
                  <w:sz w:val="22"/>
                  <w:szCs w:val="22"/>
                </w:rPr>
                <m:t>r,j</m:t>
              </m:r>
            </m:sub>
          </m:sSub>
          <m:r>
            <w:rPr>
              <w:rFonts w:ascii="Cambria Math" w:hAnsi="Cambria Math" w:cs="Calibri"/>
              <w:sz w:val="22"/>
              <w:szCs w:val="22"/>
            </w:rPr>
            <m:t xml:space="preserve"> ∙ </m:t>
          </m:r>
          <m:sSubSup>
            <m:sSubSupPr>
              <m:ctrlPr>
                <w:rPr>
                  <w:rFonts w:ascii="Cambria Math" w:hAnsi="Cambria Math" w:cs="Calibri"/>
                  <w:i/>
                  <w:sz w:val="22"/>
                  <w:szCs w:val="22"/>
                </w:rPr>
              </m:ctrlPr>
            </m:sSubSupPr>
            <m:e>
              <m:r>
                <w:rPr>
                  <w:rFonts w:ascii="Cambria Math" w:hAnsi="Cambria Math" w:cs="Calibri"/>
                  <w:sz w:val="22"/>
                  <w:szCs w:val="22"/>
                </w:rPr>
                <m:t>λ</m:t>
              </m:r>
            </m:e>
            <m:sub>
              <m:r>
                <w:rPr>
                  <w:rFonts w:ascii="Cambria Math" w:hAnsi="Cambria Math" w:cs="Calibri"/>
                  <w:sz w:val="22"/>
                  <w:szCs w:val="22"/>
                </w:rPr>
                <m:t>r,t</m:t>
              </m:r>
            </m:sub>
            <m:sup>
              <m:r>
                <w:rPr>
                  <w:rFonts w:ascii="Cambria Math" w:hAnsi="Cambria Math" w:cs="Calibri"/>
                  <w:sz w:val="22"/>
                  <w:szCs w:val="22"/>
                </w:rPr>
                <m:t>0</m:t>
              </m:r>
            </m:sup>
          </m:sSubSup>
        </m:oMath>
      </m:oMathPara>
    </w:p>
    <w:p w14:paraId="4F8837DB" w14:textId="77777777" w:rsidR="00337BA6" w:rsidRPr="00B21EE5" w:rsidRDefault="00337BA6" w:rsidP="00337BA6">
      <w:pPr>
        <w:pStyle w:val="a6"/>
        <w:numPr>
          <w:ilvl w:val="0"/>
          <w:numId w:val="2"/>
        </w:numPr>
        <w:spacing w:line="360" w:lineRule="auto"/>
        <w:rPr>
          <w:rFonts w:ascii="Calibri" w:hAnsi="Calibri" w:cs="Calibri"/>
          <w:sz w:val="22"/>
          <w:szCs w:val="22"/>
        </w:rPr>
      </w:pPr>
      <w:r>
        <w:rPr>
          <w:rFonts w:ascii="Calibri" w:hAnsi="Calibri" w:cs="Calibri" w:hint="eastAsia"/>
          <w:sz w:val="22"/>
          <w:szCs w:val="22"/>
        </w:rPr>
        <w:t>Travel-specific attack rate</w:t>
      </w:r>
    </w:p>
    <w:p w14:paraId="37D3A593" w14:textId="77777777" w:rsidR="00337BA6" w:rsidRPr="00B21EE5" w:rsidRDefault="00337BA6" w:rsidP="00337BA6">
      <w:pPr>
        <w:spacing w:line="360" w:lineRule="auto"/>
        <w:rPr>
          <w:rFonts w:ascii="Calibri" w:hAnsi="Calibri" w:cs="Calibri"/>
          <w:sz w:val="22"/>
          <w:szCs w:val="22"/>
        </w:rPr>
      </w:pPr>
      <w:r>
        <w:rPr>
          <w:rFonts w:ascii="Calibri" w:hAnsi="Calibri" w:cs="Calibri" w:hint="eastAsia"/>
          <w:sz w:val="22"/>
          <w:szCs w:val="22"/>
        </w:rPr>
        <w:t xml:space="preserve">For a trip of length </w:t>
      </w:r>
      <m:oMath>
        <m:r>
          <w:rPr>
            <w:rFonts w:ascii="Cambria Math" w:hAnsi="Cambria Math" w:cs="Calibri"/>
            <w:sz w:val="22"/>
            <w:szCs w:val="22"/>
          </w:rPr>
          <m:t>(D)</m:t>
        </m:r>
      </m:oMath>
      <w:r>
        <w:rPr>
          <w:rFonts w:ascii="Calibri" w:hAnsi="Calibri" w:cs="Calibri" w:hint="eastAsia"/>
          <w:sz w:val="22"/>
          <w:szCs w:val="22"/>
        </w:rPr>
        <w:t xml:space="preserve"> days starting on day </w:t>
      </w:r>
      <m:oMath>
        <m:sSup>
          <m:sSupPr>
            <m:ctrlPr>
              <w:rPr>
                <w:rFonts w:ascii="Cambria Math" w:hAnsi="Cambria Math" w:cs="Calibri"/>
                <w:i/>
                <w:sz w:val="22"/>
                <w:szCs w:val="22"/>
              </w:rPr>
            </m:ctrlPr>
          </m:sSupPr>
          <m:e>
            <m:r>
              <w:rPr>
                <w:rFonts w:ascii="Cambria Math" w:hAnsi="Cambria Math" w:cs="Calibri"/>
                <w:sz w:val="22"/>
                <w:szCs w:val="22"/>
              </w:rPr>
              <m:t>t</m:t>
            </m:r>
          </m:e>
          <m:sup>
            <m:r>
              <w:rPr>
                <w:rFonts w:ascii="Cambria Math" w:hAnsi="Cambria Math" w:cs="Calibri"/>
                <w:sz w:val="22"/>
                <w:szCs w:val="22"/>
              </w:rPr>
              <m:t>entry</m:t>
            </m:r>
          </m:sup>
        </m:sSup>
      </m:oMath>
      <w:r>
        <w:rPr>
          <w:rFonts w:ascii="Calibri" w:hAnsi="Calibri" w:cs="Calibri" w:hint="eastAsia"/>
          <w:sz w:val="22"/>
          <w:szCs w:val="22"/>
        </w:rPr>
        <w:t xml:space="preserve">, </w:t>
      </w:r>
      <w:r>
        <w:rPr>
          <w:rFonts w:ascii="Calibri" w:hAnsi="Calibri" w:cs="Calibri"/>
          <w:sz w:val="22"/>
          <w:szCs w:val="22"/>
        </w:rPr>
        <w:t>the</w:t>
      </w:r>
      <w:r>
        <w:rPr>
          <w:rFonts w:ascii="Calibri" w:hAnsi="Calibri" w:cs="Calibri" w:hint="eastAsia"/>
          <w:sz w:val="22"/>
          <w:szCs w:val="22"/>
        </w:rPr>
        <w:t xml:space="preserve"> travel specific cumulative hazard is </w:t>
      </w:r>
    </w:p>
    <w:p w14:paraId="4D83CA26" w14:textId="77777777" w:rsidR="00337BA6" w:rsidRDefault="00337BA6" w:rsidP="00337BA6">
      <w:pPr>
        <w:spacing w:line="360" w:lineRule="auto"/>
        <w:rPr>
          <w:rFonts w:ascii="Calibri" w:hAnsi="Calibri" w:cs="Calibri"/>
          <w:sz w:val="22"/>
          <w:szCs w:val="22"/>
        </w:rPr>
      </w:pPr>
    </w:p>
    <w:p w14:paraId="53EEF429" w14:textId="77777777" w:rsidR="00337BA6" w:rsidRPr="00B21EE5" w:rsidRDefault="00337BA6" w:rsidP="00337BA6">
      <w:pPr>
        <w:spacing w:line="360" w:lineRule="auto"/>
        <w:rPr>
          <w:rFonts w:ascii="Calibri" w:hAnsi="Calibri" w:cs="Calibri"/>
          <w:sz w:val="22"/>
          <w:szCs w:val="22"/>
        </w:rPr>
      </w:pPr>
      <m:oMathPara>
        <m:oMath>
          <m:sSubSup>
            <m:sSubSupPr>
              <m:ctrlPr>
                <w:rPr>
                  <w:rFonts w:ascii="Cambria Math" w:hAnsi="Cambria Math" w:cs="Calibri"/>
                  <w:i/>
                  <w:sz w:val="22"/>
                  <w:szCs w:val="22"/>
                </w:rPr>
              </m:ctrlPr>
            </m:sSubSupPr>
            <m:e>
              <m:r>
                <w:rPr>
                  <w:rFonts w:ascii="Cambria Math" w:hAnsi="Cambria Math" w:cs="Calibri"/>
                  <w:sz w:val="22"/>
                  <w:szCs w:val="22"/>
                </w:rPr>
                <m:t>H</m:t>
              </m:r>
            </m:e>
            <m:sub>
              <m:r>
                <w:rPr>
                  <w:rFonts w:ascii="Cambria Math" w:hAnsi="Cambria Math" w:cs="Calibri"/>
                  <w:sz w:val="22"/>
                  <w:szCs w:val="22"/>
                </w:rPr>
                <m:t>r</m:t>
              </m:r>
            </m:sub>
            <m:sup>
              <m:r>
                <w:rPr>
                  <w:rFonts w:ascii="Cambria Math" w:hAnsi="Cambria Math" w:cs="Calibri"/>
                  <w:sz w:val="22"/>
                  <w:szCs w:val="22"/>
                </w:rPr>
                <m:t>travel</m:t>
              </m:r>
            </m:sup>
          </m:sSubSup>
          <m:d>
            <m:dPr>
              <m:ctrlPr>
                <w:rPr>
                  <w:rFonts w:ascii="Cambria Math" w:hAnsi="Cambria Math" w:cs="Calibri"/>
                  <w:i/>
                  <w:sz w:val="22"/>
                  <w:szCs w:val="22"/>
                </w:rPr>
              </m:ctrlPr>
            </m:dPr>
            <m:e>
              <m:sSup>
                <m:sSupPr>
                  <m:ctrlPr>
                    <w:rPr>
                      <w:rFonts w:ascii="Cambria Math" w:hAnsi="Cambria Math" w:cs="Calibri"/>
                      <w:i/>
                      <w:sz w:val="22"/>
                      <w:szCs w:val="22"/>
                    </w:rPr>
                  </m:ctrlPr>
                </m:sSupPr>
                <m:e>
                  <m:r>
                    <w:rPr>
                      <w:rFonts w:ascii="Cambria Math" w:hAnsi="Cambria Math" w:cs="Calibri"/>
                      <w:sz w:val="22"/>
                      <w:szCs w:val="22"/>
                    </w:rPr>
                    <m:t>t</m:t>
                  </m:r>
                </m:e>
                <m:sup>
                  <m:r>
                    <w:rPr>
                      <w:rFonts w:ascii="Cambria Math" w:hAnsi="Cambria Math" w:cs="Calibri"/>
                      <w:sz w:val="22"/>
                      <w:szCs w:val="22"/>
                    </w:rPr>
                    <m:t>entry</m:t>
                  </m:r>
                </m:sup>
              </m:sSup>
              <m:r>
                <w:rPr>
                  <w:rFonts w:ascii="Cambria Math" w:hAnsi="Cambria Math" w:cs="Calibri"/>
                  <w:sz w:val="22"/>
                  <w:szCs w:val="22"/>
                </w:rPr>
                <m:t>, D</m:t>
              </m:r>
            </m:e>
          </m:d>
          <m:r>
            <w:rPr>
              <w:rFonts w:ascii="Cambria Math" w:hAnsi="Cambria Math" w:cs="Calibri"/>
              <w:sz w:val="22"/>
              <w:szCs w:val="22"/>
            </w:rPr>
            <m:t>=</m:t>
          </m:r>
          <m:nary>
            <m:naryPr>
              <m:chr m:val="∑"/>
              <m:limLoc m:val="undOvr"/>
              <m:ctrlPr>
                <w:rPr>
                  <w:rFonts w:ascii="Cambria Math" w:hAnsi="Cambria Math" w:cs="Calibri"/>
                  <w:i/>
                  <w:sz w:val="22"/>
                  <w:szCs w:val="22"/>
                </w:rPr>
              </m:ctrlPr>
            </m:naryPr>
            <m:sub>
              <m:r>
                <w:rPr>
                  <w:rFonts w:ascii="Cambria Math" w:hAnsi="Cambria Math" w:cs="Calibri"/>
                  <w:sz w:val="22"/>
                  <w:szCs w:val="22"/>
                </w:rPr>
                <m:t xml:space="preserve">t= </m:t>
              </m:r>
              <m:sSup>
                <m:sSupPr>
                  <m:ctrlPr>
                    <w:rPr>
                      <w:rFonts w:ascii="Cambria Math" w:hAnsi="Cambria Math" w:cs="Calibri"/>
                      <w:i/>
                      <w:sz w:val="22"/>
                      <w:szCs w:val="22"/>
                    </w:rPr>
                  </m:ctrlPr>
                </m:sSupPr>
                <m:e>
                  <m:r>
                    <w:rPr>
                      <w:rFonts w:ascii="Cambria Math" w:hAnsi="Cambria Math" w:cs="Calibri"/>
                      <w:sz w:val="22"/>
                      <w:szCs w:val="22"/>
                    </w:rPr>
                    <m:t>t</m:t>
                  </m:r>
                </m:e>
                <m:sup>
                  <m:r>
                    <w:rPr>
                      <w:rFonts w:ascii="Cambria Math" w:hAnsi="Cambria Math" w:cs="Calibri"/>
                      <w:sz w:val="22"/>
                      <w:szCs w:val="22"/>
                    </w:rPr>
                    <m:t>entry</m:t>
                  </m:r>
                </m:sup>
              </m:sSup>
            </m:sub>
            <m:sup>
              <m:sSup>
                <m:sSupPr>
                  <m:ctrlPr>
                    <w:rPr>
                      <w:rFonts w:ascii="Cambria Math" w:hAnsi="Cambria Math" w:cs="Calibri"/>
                      <w:i/>
                      <w:sz w:val="22"/>
                      <w:szCs w:val="22"/>
                    </w:rPr>
                  </m:ctrlPr>
                </m:sSupPr>
                <m:e>
                  <m:r>
                    <w:rPr>
                      <w:rFonts w:ascii="Cambria Math" w:hAnsi="Cambria Math" w:cs="Calibri"/>
                      <w:sz w:val="22"/>
                      <w:szCs w:val="22"/>
                    </w:rPr>
                    <m:t>t</m:t>
                  </m:r>
                </m:e>
                <m:sup>
                  <m:r>
                    <w:rPr>
                      <w:rFonts w:ascii="Cambria Math" w:hAnsi="Cambria Math" w:cs="Calibri"/>
                      <w:sz w:val="22"/>
                      <w:szCs w:val="22"/>
                    </w:rPr>
                    <m:t>entry</m:t>
                  </m:r>
                </m:sup>
              </m:sSup>
              <m:r>
                <w:rPr>
                  <w:rFonts w:ascii="Cambria Math" w:hAnsi="Cambria Math" w:cs="Calibri"/>
                  <w:sz w:val="22"/>
                  <w:szCs w:val="22"/>
                </w:rPr>
                <m:t>+D-1</m:t>
              </m:r>
            </m:sup>
            <m:e>
              <m:sSubSup>
                <m:sSubSupPr>
                  <m:ctrlPr>
                    <w:rPr>
                      <w:rFonts w:ascii="Cambria Math" w:hAnsi="Cambria Math" w:cs="Calibri"/>
                      <w:i/>
                      <w:sz w:val="22"/>
                      <w:szCs w:val="22"/>
                    </w:rPr>
                  </m:ctrlPr>
                </m:sSubSupPr>
                <m:e>
                  <m:r>
                    <w:rPr>
                      <w:rFonts w:ascii="Cambria Math" w:hAnsi="Cambria Math" w:cs="Calibri"/>
                      <w:sz w:val="22"/>
                      <w:szCs w:val="22"/>
                    </w:rPr>
                    <m:t>λ</m:t>
                  </m:r>
                </m:e>
                <m:sub>
                  <m:r>
                    <w:rPr>
                      <w:rFonts w:ascii="Cambria Math" w:hAnsi="Cambria Math" w:cs="Calibri"/>
                      <w:sz w:val="22"/>
                      <w:szCs w:val="22"/>
                    </w:rPr>
                    <m:t>r,t</m:t>
                  </m:r>
                </m:sub>
                <m:sup>
                  <m:r>
                    <w:rPr>
                      <w:rFonts w:ascii="Cambria Math" w:hAnsi="Cambria Math" w:cs="Calibri"/>
                      <w:sz w:val="22"/>
                      <w:szCs w:val="22"/>
                    </w:rPr>
                    <m:t>adj</m:t>
                  </m:r>
                </m:sup>
              </m:sSubSup>
            </m:e>
          </m:nary>
          <m:r>
            <w:rPr>
              <w:rFonts w:ascii="Cambria Math" w:hAnsi="Cambria Math" w:cs="Calibri"/>
              <w:sz w:val="22"/>
              <w:szCs w:val="22"/>
            </w:rPr>
            <m:t xml:space="preserve"> </m:t>
          </m:r>
        </m:oMath>
      </m:oMathPara>
    </w:p>
    <w:p w14:paraId="1119B95D" w14:textId="77777777" w:rsidR="00337BA6" w:rsidRDefault="00337BA6" w:rsidP="00337BA6">
      <w:pPr>
        <w:spacing w:line="360" w:lineRule="auto"/>
        <w:rPr>
          <w:rFonts w:ascii="Calibri" w:hAnsi="Calibri" w:cs="Calibri"/>
          <w:sz w:val="22"/>
          <w:szCs w:val="22"/>
        </w:rPr>
      </w:pPr>
      <w:r>
        <w:rPr>
          <w:rFonts w:ascii="Calibri" w:hAnsi="Calibri" w:cs="Calibri" w:hint="eastAsia"/>
          <w:sz w:val="22"/>
          <w:szCs w:val="22"/>
        </w:rPr>
        <w:t>The corresponding travel-specific attack rate is</w:t>
      </w:r>
    </w:p>
    <w:p w14:paraId="22E8F0EA" w14:textId="77777777" w:rsidR="00337BA6" w:rsidRDefault="00337BA6" w:rsidP="00337BA6">
      <w:pPr>
        <w:spacing w:line="360" w:lineRule="auto"/>
        <w:rPr>
          <w:rFonts w:ascii="Calibri" w:hAnsi="Calibri" w:cs="Calibri"/>
          <w:sz w:val="22"/>
          <w:szCs w:val="22"/>
        </w:rPr>
      </w:pPr>
    </w:p>
    <w:p w14:paraId="5D6F0976" w14:textId="77777777" w:rsidR="00337BA6" w:rsidRDefault="00337BA6" w:rsidP="00337BA6">
      <w:pPr>
        <w:spacing w:line="360" w:lineRule="auto"/>
        <w:rPr>
          <w:rFonts w:ascii="Calibri" w:hAnsi="Calibri" w:cs="Calibri"/>
          <w:sz w:val="22"/>
          <w:szCs w:val="22"/>
        </w:rPr>
      </w:pPr>
      <m:oMathPara>
        <m:oMath>
          <m:r>
            <w:rPr>
              <w:rFonts w:ascii="Cambria Math" w:hAnsi="Cambria Math" w:cs="Calibri"/>
              <w:sz w:val="22"/>
              <w:szCs w:val="22"/>
            </w:rPr>
            <m:t>A</m:t>
          </m:r>
          <m:sSub>
            <m:sSubPr>
              <m:ctrlPr>
                <w:rPr>
                  <w:rFonts w:ascii="Cambria Math" w:hAnsi="Cambria Math" w:cs="Calibri"/>
                  <w:i/>
                  <w:sz w:val="22"/>
                  <w:szCs w:val="22"/>
                </w:rPr>
              </m:ctrlPr>
            </m:sSubPr>
            <m:e>
              <m:r>
                <w:rPr>
                  <w:rFonts w:ascii="Cambria Math" w:hAnsi="Cambria Math" w:cs="Calibri"/>
                  <w:sz w:val="22"/>
                  <w:szCs w:val="22"/>
                </w:rPr>
                <m:t>R</m:t>
              </m:r>
            </m:e>
            <m:sub>
              <m:r>
                <w:rPr>
                  <w:rFonts w:ascii="Cambria Math" w:hAnsi="Cambria Math" w:cs="Calibri"/>
                  <w:sz w:val="22"/>
                  <w:szCs w:val="22"/>
                </w:rPr>
                <m:t>travel</m:t>
              </m:r>
            </m:sub>
          </m:sSub>
          <m:d>
            <m:dPr>
              <m:ctrlPr>
                <w:rPr>
                  <w:rFonts w:ascii="Cambria Math" w:hAnsi="Cambria Math" w:cs="Calibri"/>
                  <w:i/>
                  <w:sz w:val="22"/>
                  <w:szCs w:val="22"/>
                </w:rPr>
              </m:ctrlPr>
            </m:dPr>
            <m:e>
              <m:sSup>
                <m:sSupPr>
                  <m:ctrlPr>
                    <w:rPr>
                      <w:rFonts w:ascii="Cambria Math" w:hAnsi="Cambria Math" w:cs="Calibri"/>
                      <w:i/>
                      <w:sz w:val="22"/>
                      <w:szCs w:val="22"/>
                    </w:rPr>
                  </m:ctrlPr>
                </m:sSupPr>
                <m:e>
                  <m:r>
                    <w:rPr>
                      <w:rFonts w:ascii="Cambria Math" w:hAnsi="Cambria Math" w:cs="Calibri"/>
                      <w:sz w:val="22"/>
                      <w:szCs w:val="22"/>
                    </w:rPr>
                    <m:t>t</m:t>
                  </m:r>
                </m:e>
                <m:sup>
                  <m:r>
                    <w:rPr>
                      <w:rFonts w:ascii="Cambria Math" w:hAnsi="Cambria Math" w:cs="Calibri"/>
                      <w:sz w:val="22"/>
                      <w:szCs w:val="22"/>
                    </w:rPr>
                    <m:t>entry</m:t>
                  </m:r>
                </m:sup>
              </m:sSup>
              <m:r>
                <w:rPr>
                  <w:rFonts w:ascii="Cambria Math" w:hAnsi="Cambria Math" w:cs="Calibri"/>
                  <w:sz w:val="22"/>
                  <w:szCs w:val="22"/>
                </w:rPr>
                <m:t>, D</m:t>
              </m:r>
            </m:e>
          </m:d>
          <m:r>
            <w:rPr>
              <w:rFonts w:ascii="Cambria Math" w:hAnsi="Cambria Math" w:cs="Calibri"/>
              <w:sz w:val="22"/>
              <w:szCs w:val="22"/>
            </w:rPr>
            <m:t>=1-</m:t>
          </m:r>
          <m:r>
            <m:rPr>
              <m:sty m:val="p"/>
            </m:rPr>
            <w:rPr>
              <w:rFonts w:ascii="Cambria Math" w:hAnsi="Cambria Math" w:cs="Calibri"/>
              <w:sz w:val="22"/>
              <w:szCs w:val="22"/>
            </w:rPr>
            <m:t>exp⁡</m:t>
          </m:r>
          <m:r>
            <w:rPr>
              <w:rFonts w:ascii="Cambria Math" w:hAnsi="Cambria Math" w:cs="Calibri"/>
              <w:sz w:val="22"/>
              <w:szCs w:val="22"/>
            </w:rPr>
            <m:t>(-</m:t>
          </m:r>
          <m:sSubSup>
            <m:sSubSupPr>
              <m:ctrlPr>
                <w:rPr>
                  <w:rFonts w:ascii="Cambria Math" w:hAnsi="Cambria Math" w:cs="Calibri"/>
                  <w:i/>
                  <w:sz w:val="22"/>
                  <w:szCs w:val="22"/>
                </w:rPr>
              </m:ctrlPr>
            </m:sSubSupPr>
            <m:e>
              <m:r>
                <w:rPr>
                  <w:rFonts w:ascii="Cambria Math" w:hAnsi="Cambria Math" w:cs="Calibri"/>
                  <w:sz w:val="22"/>
                  <w:szCs w:val="22"/>
                </w:rPr>
                <m:t>H</m:t>
              </m:r>
            </m:e>
            <m:sub>
              <m:r>
                <w:rPr>
                  <w:rFonts w:ascii="Cambria Math" w:hAnsi="Cambria Math" w:cs="Calibri"/>
                  <w:sz w:val="22"/>
                  <w:szCs w:val="22"/>
                </w:rPr>
                <m:t>r</m:t>
              </m:r>
            </m:sub>
            <m:sup>
              <m:r>
                <w:rPr>
                  <w:rFonts w:ascii="Cambria Math" w:hAnsi="Cambria Math" w:cs="Calibri"/>
                  <w:sz w:val="22"/>
                  <w:szCs w:val="22"/>
                </w:rPr>
                <m:t>travel</m:t>
              </m:r>
            </m:sup>
          </m:sSubSup>
          <m:d>
            <m:dPr>
              <m:ctrlPr>
                <w:rPr>
                  <w:rFonts w:ascii="Cambria Math" w:hAnsi="Cambria Math" w:cs="Calibri"/>
                  <w:i/>
                  <w:sz w:val="22"/>
                  <w:szCs w:val="22"/>
                </w:rPr>
              </m:ctrlPr>
            </m:dPr>
            <m:e>
              <m:sSup>
                <m:sSupPr>
                  <m:ctrlPr>
                    <w:rPr>
                      <w:rFonts w:ascii="Cambria Math" w:hAnsi="Cambria Math" w:cs="Calibri"/>
                      <w:i/>
                      <w:sz w:val="22"/>
                      <w:szCs w:val="22"/>
                    </w:rPr>
                  </m:ctrlPr>
                </m:sSupPr>
                <m:e>
                  <m:r>
                    <w:rPr>
                      <w:rFonts w:ascii="Cambria Math" w:hAnsi="Cambria Math" w:cs="Calibri"/>
                      <w:sz w:val="22"/>
                      <w:szCs w:val="22"/>
                    </w:rPr>
                    <m:t>t</m:t>
                  </m:r>
                </m:e>
                <m:sup>
                  <m:r>
                    <w:rPr>
                      <w:rFonts w:ascii="Cambria Math" w:hAnsi="Cambria Math" w:cs="Calibri"/>
                      <w:sz w:val="22"/>
                      <w:szCs w:val="22"/>
                    </w:rPr>
                    <m:t>entry</m:t>
                  </m:r>
                </m:sup>
              </m:sSup>
              <m:r>
                <w:rPr>
                  <w:rFonts w:ascii="Cambria Math" w:hAnsi="Cambria Math" w:cs="Calibri"/>
                  <w:sz w:val="22"/>
                  <w:szCs w:val="22"/>
                </w:rPr>
                <m:t>, D</m:t>
              </m:r>
            </m:e>
          </m:d>
          <m:r>
            <w:rPr>
              <w:rFonts w:ascii="Cambria Math" w:hAnsi="Cambria Math" w:cs="Calibri"/>
              <w:sz w:val="22"/>
              <w:szCs w:val="22"/>
            </w:rPr>
            <m:t>)</m:t>
          </m:r>
        </m:oMath>
      </m:oMathPara>
    </w:p>
    <w:p w14:paraId="07CAE683" w14:textId="77777777" w:rsidR="00337BA6" w:rsidRDefault="00337BA6" w:rsidP="00337BA6">
      <w:pPr>
        <w:spacing w:line="360" w:lineRule="auto"/>
        <w:rPr>
          <w:rFonts w:ascii="Calibri" w:hAnsi="Calibri" w:cs="Calibri"/>
          <w:sz w:val="22"/>
          <w:szCs w:val="22"/>
        </w:rPr>
      </w:pPr>
    </w:p>
    <w:p w14:paraId="1E6459DA" w14:textId="4F9E2404" w:rsidR="00337BA6" w:rsidRPr="00337BA6" w:rsidRDefault="00337BA6" w:rsidP="009B7902">
      <w:pPr>
        <w:spacing w:line="360" w:lineRule="auto"/>
        <w:rPr>
          <w:rStyle w:val="a7"/>
          <w:rFonts w:ascii="Calibri" w:eastAsia="Malgun Gothic" w:hAnsi="Calibri" w:cs="Calibri" w:hint="eastAsia"/>
          <w:i w:val="0"/>
          <w:iCs w:val="0"/>
          <w:color w:val="auto"/>
          <w:sz w:val="22"/>
          <w:szCs w:val="22"/>
          <w:lang w:eastAsia="ko-KR"/>
        </w:rPr>
      </w:pPr>
      <w:r>
        <w:rPr>
          <w:rFonts w:ascii="Calibri" w:hAnsi="Calibri" w:cs="Calibri" w:hint="eastAsia"/>
          <w:sz w:val="22"/>
          <w:szCs w:val="22"/>
        </w:rPr>
        <w:t xml:space="preserve">Since the entry day is uncertain, we sampled 1000 entry days uniformly at random over all starting days within the outbreak window and took the median </w:t>
      </w:r>
      <m:oMath>
        <m:r>
          <w:rPr>
            <w:rFonts w:ascii="Cambria Math" w:hAnsi="Cambria Math" w:cs="Calibri"/>
            <w:sz w:val="22"/>
            <w:szCs w:val="22"/>
          </w:rPr>
          <m:t>A</m:t>
        </m:r>
        <m:sSub>
          <m:sSubPr>
            <m:ctrlPr>
              <w:rPr>
                <w:rFonts w:ascii="Cambria Math" w:hAnsi="Cambria Math" w:cs="Calibri"/>
                <w:i/>
                <w:sz w:val="22"/>
                <w:szCs w:val="22"/>
              </w:rPr>
            </m:ctrlPr>
          </m:sSubPr>
          <m:e>
            <m:r>
              <w:rPr>
                <w:rFonts w:ascii="Cambria Math" w:hAnsi="Cambria Math" w:cs="Calibri"/>
                <w:sz w:val="22"/>
                <w:szCs w:val="22"/>
              </w:rPr>
              <m:t>R</m:t>
            </m:r>
          </m:e>
          <m:sub>
            <m:r>
              <w:rPr>
                <w:rFonts w:ascii="Cambria Math" w:hAnsi="Cambria Math" w:cs="Calibri"/>
                <w:sz w:val="22"/>
                <w:szCs w:val="22"/>
              </w:rPr>
              <m:t>travel</m:t>
            </m:r>
          </m:sub>
        </m:sSub>
      </m:oMath>
      <w:r>
        <w:rPr>
          <w:rFonts w:ascii="Calibri" w:hAnsi="Calibri" w:cs="Calibri" w:hint="eastAsia"/>
          <w:sz w:val="22"/>
          <w:szCs w:val="22"/>
        </w:rPr>
        <w:t xml:space="preserve"> across these as the representative estimate for each probabilistic draw, </w:t>
      </w:r>
      <w:r>
        <w:rPr>
          <w:rFonts w:ascii="Calibri" w:hAnsi="Calibri" w:cs="Calibri"/>
          <w:sz w:val="22"/>
          <w:szCs w:val="22"/>
        </w:rPr>
        <w:t>state</w:t>
      </w:r>
      <w:r>
        <w:rPr>
          <w:rFonts w:ascii="Calibri" w:hAnsi="Calibri" w:cs="Calibri" w:hint="eastAsia"/>
          <w:sz w:val="22"/>
          <w:szCs w:val="22"/>
        </w:rPr>
        <w:t xml:space="preserve">, age group, and travel duration combination. </w:t>
      </w:r>
    </w:p>
    <w:p w14:paraId="4DB7F4B7" w14:textId="77777777" w:rsidR="009B7902" w:rsidRPr="009B7902" w:rsidRDefault="009B7902" w:rsidP="009B7902">
      <w:pPr>
        <w:rPr>
          <w:rStyle w:val="a7"/>
          <w:rFonts w:asciiTheme="majorHAnsi" w:eastAsia="Malgun Gothic" w:hAnsiTheme="majorHAnsi" w:cs="Calibri"/>
          <w:i w:val="0"/>
          <w:iCs w:val="0"/>
          <w:lang w:eastAsia="ko-KR"/>
        </w:rPr>
      </w:pPr>
      <w:r w:rsidRPr="009B7902">
        <w:rPr>
          <w:rStyle w:val="a7"/>
          <w:rFonts w:asciiTheme="majorHAnsi" w:hAnsiTheme="majorHAnsi" w:cs="Calibri"/>
          <w:i w:val="0"/>
          <w:iCs w:val="0"/>
          <w:lang w:eastAsia="ko-KR"/>
        </w:rPr>
        <w:t>Vaccine-attributable risk and serostatus adjustment</w:t>
      </w:r>
    </w:p>
    <w:p w14:paraId="57433456" w14:textId="5F8840E5" w:rsidR="009B7902" w:rsidRPr="009B7902" w:rsidRDefault="009B7902" w:rsidP="009B7902">
      <w:pPr>
        <w:tabs>
          <w:tab w:val="left" w:pos="7470"/>
        </w:tabs>
        <w:spacing w:line="360" w:lineRule="auto"/>
        <w:rPr>
          <w:rStyle w:val="a7"/>
          <w:rFonts w:ascii="Calibri" w:eastAsia="Malgun Gothic" w:hAnsi="Calibri" w:cs="Calibri" w:hint="eastAsia"/>
          <w:i w:val="0"/>
          <w:iCs w:val="0"/>
          <w:color w:val="auto"/>
          <w:sz w:val="22"/>
          <w:szCs w:val="22"/>
        </w:rPr>
      </w:pPr>
      <w:r w:rsidRPr="009B7902">
        <w:rPr>
          <w:rFonts w:ascii="Calibri" w:eastAsia="Malgun Gothic" w:hAnsi="Calibri" w:cs="Calibri"/>
          <w:sz w:val="22"/>
          <w:szCs w:val="22"/>
        </w:rPr>
        <w:t xml:space="preserve">We derived vaccine-attributable non-fatal SAE and death probabilities </w:t>
      </w:r>
      <w:r w:rsidRPr="009B7902">
        <w:rPr>
          <w:rFonts w:ascii="Calibri" w:eastAsia="Malgun Gothic" w:hAnsi="Calibri" w:cs="Calibri" w:hint="eastAsia"/>
          <w:sz w:val="22"/>
          <w:szCs w:val="22"/>
        </w:rPr>
        <w:t xml:space="preserve">from </w:t>
      </w:r>
      <w:r w:rsidRPr="009B7902">
        <w:rPr>
          <w:rFonts w:ascii="Calibri" w:eastAsia="Malgun Gothic" w:hAnsi="Calibri" w:cs="Calibri"/>
          <w:sz w:val="22"/>
          <w:szCs w:val="22"/>
        </w:rPr>
        <w:t>the US VAERS data</w:t>
      </w:r>
      <w:r w:rsidRPr="009B7902">
        <w:rPr>
          <w:rFonts w:ascii="Calibri" w:eastAsia="Malgun Gothic" w:hAnsi="Calibri" w:cs="Calibri" w:hint="eastAsia"/>
          <w:sz w:val="22"/>
          <w:szCs w:val="22"/>
        </w:rPr>
        <w:t xml:space="preserve"> by age group</w:t>
      </w:r>
      <w:r w:rsidRPr="009B7902">
        <w:rPr>
          <w:rFonts w:ascii="Calibri" w:eastAsia="Malgun Gothic" w:hAnsi="Calibri" w:cs="Calibri"/>
          <w:sz w:val="22"/>
          <w:szCs w:val="22"/>
        </w:rPr>
        <w:t xml:space="preserve"> </w:t>
      </w:r>
      <w:hyperlink r:id="rId11">
        <w:r w:rsidRPr="009B7902">
          <w:rPr>
            <w:rFonts w:ascii="Calibri" w:hAnsi="Calibri" w:cs="Calibri"/>
            <w:sz w:val="22"/>
            <w:szCs w:val="22"/>
          </w:rPr>
          <w:t>(11)</w:t>
        </w:r>
      </w:hyperlink>
      <w:r w:rsidRPr="009B7902">
        <w:rPr>
          <w:rFonts w:ascii="Calibri" w:eastAsia="Malgun Gothic" w:hAnsi="Calibri" w:cs="Calibri"/>
          <w:sz w:val="22"/>
          <w:szCs w:val="22"/>
        </w:rPr>
        <w:t>. As of August 15,</w:t>
      </w:r>
      <w:r w:rsidRPr="009B7902">
        <w:rPr>
          <w:rFonts w:ascii="Calibri" w:eastAsia="Malgun Gothic" w:hAnsi="Calibri" w:cs="Calibri" w:hint="eastAsia"/>
          <w:sz w:val="22"/>
          <w:szCs w:val="22"/>
        </w:rPr>
        <w:t xml:space="preserve"> </w:t>
      </w:r>
      <w:r w:rsidRPr="009B7902">
        <w:rPr>
          <w:rFonts w:ascii="Calibri" w:eastAsia="Malgun Gothic" w:hAnsi="Calibri" w:cs="Calibri"/>
          <w:sz w:val="22"/>
          <w:szCs w:val="22"/>
        </w:rPr>
        <w:t xml:space="preserve">2025, </w:t>
      </w:r>
      <w:r w:rsidRPr="009B7902">
        <w:rPr>
          <w:rFonts w:ascii="Calibri" w:eastAsia="Malgun Gothic" w:hAnsi="Calibri" w:cs="Calibri" w:hint="eastAsia"/>
          <w:sz w:val="22"/>
          <w:szCs w:val="22"/>
        </w:rPr>
        <w:t xml:space="preserve">among 32,949 vaccinated adults aged 18-64 years, six vaccine-attributable non-fatal SAEs and no deaths were reported. Among 18,445 vaccinated older adults aged </w:t>
      </w:r>
      <w:r w:rsidRPr="009B7902">
        <w:rPr>
          <w:rFonts w:ascii="Calibri" w:eastAsia="Malgun Gothic" w:hAnsi="Calibri" w:cs="Calibri"/>
          <w:sz w:val="22"/>
          <w:szCs w:val="22"/>
        </w:rPr>
        <w:t>≥65 years</w:t>
      </w:r>
      <w:r w:rsidRPr="009B7902">
        <w:rPr>
          <w:rFonts w:ascii="Calibri" w:eastAsia="Malgun Gothic" w:hAnsi="Calibri" w:cs="Calibri" w:hint="eastAsia"/>
          <w:sz w:val="22"/>
          <w:szCs w:val="22"/>
        </w:rPr>
        <w:t xml:space="preserve">, </w:t>
      </w:r>
      <w:r w:rsidRPr="009B7902">
        <w:rPr>
          <w:rFonts w:ascii="Calibri" w:eastAsia="Malgun Gothic" w:hAnsi="Calibri" w:cs="Calibri"/>
          <w:sz w:val="22"/>
          <w:szCs w:val="22"/>
        </w:rPr>
        <w:t>19 vaccine-attributable SAEs and one death were reported.</w:t>
      </w:r>
      <w:r w:rsidRPr="009B7902">
        <w:rPr>
          <w:rFonts w:ascii="Calibri" w:eastAsia="Malgun Gothic" w:hAnsi="Calibri" w:cs="Calibri" w:hint="eastAsia"/>
          <w:sz w:val="22"/>
          <w:szCs w:val="22"/>
        </w:rPr>
        <w:t xml:space="preserve"> In the absence of clinical efficacy estimates, w</w:t>
      </w:r>
      <w:r w:rsidRPr="009B7902">
        <w:rPr>
          <w:rFonts w:ascii="Calibri" w:eastAsia="Malgun Gothic" w:hAnsi="Calibri" w:cs="Calibri"/>
          <w:sz w:val="22"/>
          <w:szCs w:val="22"/>
        </w:rPr>
        <w:t xml:space="preserve">e </w:t>
      </w:r>
      <w:r w:rsidRPr="009B7902">
        <w:rPr>
          <w:rFonts w:ascii="Calibri" w:eastAsia="Malgun Gothic" w:hAnsi="Calibri" w:cs="Calibri" w:hint="eastAsia"/>
          <w:sz w:val="22"/>
          <w:szCs w:val="22"/>
        </w:rPr>
        <w:t xml:space="preserve">applied the Phase 3 </w:t>
      </w:r>
      <w:proofErr w:type="spellStart"/>
      <w:r w:rsidRPr="009B7902">
        <w:rPr>
          <w:rFonts w:ascii="Calibri" w:eastAsia="Malgun Gothic" w:hAnsi="Calibri" w:cs="Calibri" w:hint="eastAsia"/>
          <w:sz w:val="22"/>
          <w:szCs w:val="22"/>
        </w:rPr>
        <w:t>seroresponse</w:t>
      </w:r>
      <w:proofErr w:type="spellEnd"/>
      <w:r w:rsidRPr="009B7902">
        <w:rPr>
          <w:rFonts w:ascii="Calibri" w:eastAsia="Malgun Gothic" w:hAnsi="Calibri" w:cs="Calibri" w:hint="eastAsia"/>
          <w:sz w:val="22"/>
          <w:szCs w:val="22"/>
        </w:rPr>
        <w:t xml:space="preserve"> rate</w:t>
      </w:r>
      <w:r w:rsidRPr="009B7902">
        <w:rPr>
          <w:rFonts w:ascii="Calibri" w:eastAsia="Malgun Gothic" w:hAnsi="Calibri" w:cs="Calibri"/>
          <w:sz w:val="22"/>
          <w:szCs w:val="22"/>
        </w:rPr>
        <w:t xml:space="preserve"> 98.9% (95% CI: 96.7-99.8)</w:t>
      </w:r>
      <w:r w:rsidRPr="009B7902">
        <w:rPr>
          <w:rFonts w:ascii="Calibri" w:eastAsia="Malgun Gothic" w:hAnsi="Calibri" w:cs="Calibri" w:hint="eastAsia"/>
          <w:sz w:val="22"/>
          <w:szCs w:val="22"/>
        </w:rPr>
        <w:t xml:space="preserve"> as a proxy for vaccine efficacy </w:t>
      </w:r>
      <w:r w:rsidRPr="009B7902">
        <w:rPr>
          <w:rFonts w:ascii="Calibri" w:eastAsia="Malgun Gothic" w:hAnsi="Calibri" w:cs="Calibri"/>
          <w:sz w:val="22"/>
          <w:szCs w:val="22"/>
        </w:rPr>
        <w:t>against</w:t>
      </w:r>
      <w:r w:rsidRPr="009B7902">
        <w:rPr>
          <w:rFonts w:ascii="Calibri" w:eastAsia="Malgun Gothic" w:hAnsi="Calibri" w:cs="Calibri" w:hint="eastAsia"/>
          <w:sz w:val="22"/>
          <w:szCs w:val="22"/>
        </w:rPr>
        <w:t xml:space="preserve"> disease only, and against disease and infection</w:t>
      </w:r>
      <w:r w:rsidRPr="009B7902">
        <w:rPr>
          <w:rFonts w:ascii="Calibri" w:eastAsia="Malgun Gothic" w:hAnsi="Calibri" w:cs="Calibri"/>
          <w:sz w:val="22"/>
          <w:szCs w:val="22"/>
        </w:rPr>
        <w:t xml:space="preserve"> </w:t>
      </w:r>
      <w:hyperlink r:id="rId12">
        <w:r w:rsidRPr="009B7902">
          <w:rPr>
            <w:rFonts w:ascii="Calibri" w:hAnsi="Calibri" w:cs="Calibri"/>
            <w:sz w:val="22"/>
            <w:szCs w:val="22"/>
          </w:rPr>
          <w:t>(8)</w:t>
        </w:r>
      </w:hyperlink>
      <w:r w:rsidRPr="009B7902">
        <w:rPr>
          <w:rFonts w:ascii="Calibri" w:eastAsia="Malgun Gothic" w:hAnsi="Calibri" w:cs="Calibri"/>
          <w:sz w:val="22"/>
          <w:szCs w:val="22"/>
        </w:rPr>
        <w:t xml:space="preserve"> (Section S4, Table S1, Figure S6). </w:t>
      </w:r>
    </w:p>
    <w:p w14:paraId="13D307B8" w14:textId="19C8F6FD" w:rsidR="009B7902" w:rsidRDefault="009B7902" w:rsidP="009B7902">
      <w:pPr>
        <w:rPr>
          <w:rStyle w:val="a7"/>
          <w:rFonts w:asciiTheme="majorHAnsi" w:eastAsia="Malgun Gothic" w:hAnsiTheme="majorHAnsi" w:cs="Calibri"/>
          <w:i w:val="0"/>
          <w:iCs w:val="0"/>
          <w:lang w:eastAsia="ko-KR"/>
        </w:rPr>
      </w:pPr>
      <w:r w:rsidRPr="009B7902">
        <w:rPr>
          <w:rStyle w:val="a7"/>
          <w:rFonts w:asciiTheme="majorHAnsi" w:hAnsiTheme="majorHAnsi" w:cs="Calibri"/>
          <w:i w:val="0"/>
          <w:iCs w:val="0"/>
          <w:lang w:eastAsia="ko-KR"/>
        </w:rPr>
        <w:t>Health outcomes and DALY estimation</w:t>
      </w:r>
    </w:p>
    <w:p w14:paraId="68DB284E" w14:textId="77777777" w:rsidR="009B7902" w:rsidRPr="009E55C4" w:rsidRDefault="009B7902" w:rsidP="009B7902">
      <w:pPr>
        <w:spacing w:line="360" w:lineRule="auto"/>
        <w:rPr>
          <w:rFonts w:ascii="Calibri" w:eastAsia="Malgun Gothic" w:hAnsi="Calibri" w:cs="Calibri"/>
          <w:sz w:val="22"/>
          <w:szCs w:val="22"/>
        </w:rPr>
      </w:pPr>
      <w:r w:rsidRPr="009E55C4">
        <w:rPr>
          <w:rFonts w:ascii="Calibri" w:eastAsia="Malgun Gothic" w:hAnsi="Calibri" w:cs="Calibri"/>
          <w:sz w:val="22"/>
          <w:szCs w:val="22"/>
        </w:rPr>
        <w:lastRenderedPageBreak/>
        <w:t>We estimated benefits and risks of vaccination per 10,000 vaccinated individuals for SAEs, deaths, and DALYs. Chikungunya infection-attributable SAEs were defined as hospitalisations and deaths, and vaccine-attributable SAEs</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were defined as non-fatal SAEs and deaths. We included vaccine-attributable SAEs and deaths with reported symptoms consistent with chikungunya-like illness following vaccination or testing PCR-positive for the vaccine strain.</w:t>
      </w:r>
    </w:p>
    <w:p w14:paraId="3AA619D1" w14:textId="77777777" w:rsidR="009B7902" w:rsidRPr="009E55C4" w:rsidRDefault="009B7902" w:rsidP="009B7902">
      <w:pPr>
        <w:spacing w:line="360" w:lineRule="auto"/>
        <w:rPr>
          <w:rFonts w:ascii="Calibri" w:eastAsia="Malgun Gothic" w:hAnsi="Calibri" w:cs="Calibri"/>
          <w:sz w:val="22"/>
          <w:szCs w:val="22"/>
        </w:rPr>
      </w:pPr>
    </w:p>
    <w:p w14:paraId="11394CD5" w14:textId="77777777" w:rsidR="009B7902" w:rsidRPr="009E55C4" w:rsidRDefault="009B7902" w:rsidP="009B7902">
      <w:pPr>
        <w:spacing w:line="360" w:lineRule="auto"/>
        <w:rPr>
          <w:rFonts w:ascii="Calibri" w:eastAsia="Malgun Gothic" w:hAnsi="Calibri" w:cs="Calibri"/>
          <w:sz w:val="22"/>
          <w:szCs w:val="22"/>
        </w:rPr>
      </w:pPr>
      <w:r w:rsidRPr="009E55C4">
        <w:rPr>
          <w:rFonts w:ascii="Calibri" w:eastAsia="Malgun Gothic" w:hAnsi="Calibri" w:cs="Calibri"/>
          <w:sz w:val="22"/>
          <w:szCs w:val="22"/>
        </w:rPr>
        <w:t>For each outcome, benefits were defined as the reduction in chikungunya-attributable outcomes under vaccination compared with no vaccination, and risks were defined as the vaccine-attributable outcomes. Benefit–risk ratios (BRRs) were calculated as:</w:t>
      </w:r>
    </w:p>
    <w:p w14:paraId="5E453C0D" w14:textId="77777777" w:rsidR="009B7902" w:rsidRPr="009E55C4" w:rsidRDefault="009B7902" w:rsidP="009B7902">
      <w:pPr>
        <w:spacing w:line="360" w:lineRule="auto"/>
        <w:rPr>
          <w:rFonts w:ascii="Calibri" w:hAnsi="Calibri" w:cs="Calibri"/>
        </w:rPr>
      </w:pPr>
    </w:p>
    <w:tbl>
      <w:tblPr>
        <w:tblStyle w:val="aa"/>
        <w:tblW w:w="9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3"/>
        <w:gridCol w:w="1379"/>
      </w:tblGrid>
      <w:tr w:rsidR="009B7902" w:rsidRPr="009E55C4" w14:paraId="2C74EE65" w14:textId="77777777" w:rsidTr="00DD3874">
        <w:trPr>
          <w:trHeight w:val="918"/>
        </w:trPr>
        <w:tc>
          <w:tcPr>
            <w:tcW w:w="8043" w:type="dxa"/>
          </w:tcPr>
          <w:p w14:paraId="211DB32A" w14:textId="77777777" w:rsidR="009B7902" w:rsidRPr="009E55C4" w:rsidRDefault="009B7902" w:rsidP="00DD3874">
            <w:pPr>
              <w:spacing w:line="360" w:lineRule="auto"/>
              <w:jc w:val="center"/>
              <w:rPr>
                <w:rFonts w:ascii="Calibri" w:hAnsi="Calibri" w:cs="Calibri"/>
              </w:rPr>
            </w:pPr>
            <m:oMathPara>
              <m:oMathParaPr>
                <m:jc m:val="center"/>
              </m:oMathParaPr>
              <m:oMath>
                <m:r>
                  <w:rPr>
                    <w:rFonts w:ascii="Cambria Math" w:hAnsi="Cambria Math" w:cs="Calibri"/>
                  </w:rPr>
                  <m:t>BRR=</m:t>
                </m:r>
                <m:f>
                  <m:fPr>
                    <m:ctrlPr>
                      <w:rPr>
                        <w:rFonts w:ascii="Cambria Math" w:hAnsi="Cambria Math" w:cs="Calibri"/>
                        <w:i/>
                        <w:sz w:val="20"/>
                        <w:szCs w:val="20"/>
                      </w:rPr>
                    </m:ctrlPr>
                  </m:fPr>
                  <m:num>
                    <m:r>
                      <w:rPr>
                        <w:rFonts w:ascii="Cambria Math" w:hAnsi="Cambria Math" w:cs="Calibri"/>
                        <w:sz w:val="20"/>
                        <w:szCs w:val="20"/>
                      </w:rPr>
                      <m:t>benefit</m:t>
                    </m:r>
                  </m:num>
                  <m:den>
                    <m:r>
                      <w:rPr>
                        <w:rFonts w:ascii="Cambria Math" w:hAnsi="Cambria Math" w:cs="Calibri"/>
                        <w:sz w:val="20"/>
                        <w:szCs w:val="20"/>
                      </w:rPr>
                      <m:t>risk</m:t>
                    </m:r>
                  </m:den>
                </m:f>
                <m:r>
                  <w:rPr>
                    <w:rFonts w:ascii="Cambria Math" w:hAnsi="Cambria Math" w:cs="Calibri"/>
                  </w:rPr>
                  <m:t>=</m:t>
                </m:r>
                <m:f>
                  <m:fPr>
                    <m:ctrlPr>
                      <w:rPr>
                        <w:rFonts w:ascii="Cambria Math" w:hAnsi="Cambria Math" w:cs="Calibri"/>
                        <w:i/>
                      </w:rPr>
                    </m:ctrlPr>
                  </m:fPr>
                  <m:num>
                    <m:sSub>
                      <m:sSubPr>
                        <m:ctrlPr>
                          <w:rPr>
                            <w:rFonts w:ascii="Cambria Math" w:hAnsi="Cambria Math" w:cs="Calibri"/>
                            <w:i/>
                          </w:rPr>
                        </m:ctrlPr>
                      </m:sSubPr>
                      <m:e>
                        <m:r>
                          <w:rPr>
                            <w:rFonts w:ascii="Cambria Math" w:hAnsi="Cambria Math" w:cs="Calibri"/>
                          </w:rPr>
                          <m:t>O</m:t>
                        </m:r>
                      </m:e>
                      <m:sub>
                        <m:r>
                          <w:rPr>
                            <w:rFonts w:ascii="Cambria Math" w:hAnsi="Cambria Math" w:cs="Calibri"/>
                          </w:rPr>
                          <m:t>unvacc</m:t>
                        </m:r>
                      </m:sub>
                    </m:sSub>
                    <m:r>
                      <w:rPr>
                        <w:rFonts w:ascii="Cambria Math" w:hAnsi="Cambria Math" w:cs="Calibri"/>
                      </w:rPr>
                      <m:t>-</m:t>
                    </m:r>
                    <m:sSub>
                      <m:sSubPr>
                        <m:ctrlPr>
                          <w:rPr>
                            <w:rFonts w:ascii="Cambria Math" w:hAnsi="Cambria Math" w:cs="Calibri"/>
                            <w:i/>
                          </w:rPr>
                        </m:ctrlPr>
                      </m:sSubPr>
                      <m:e>
                        <m:r>
                          <w:rPr>
                            <w:rFonts w:ascii="Cambria Math" w:hAnsi="Cambria Math" w:cs="Calibri"/>
                          </w:rPr>
                          <m:t>O</m:t>
                        </m:r>
                      </m:e>
                      <m:sub>
                        <m:r>
                          <w:rPr>
                            <w:rFonts w:ascii="Cambria Math" w:hAnsi="Cambria Math" w:cs="Calibri"/>
                          </w:rPr>
                          <m:t>vacc</m:t>
                        </m:r>
                      </m:sub>
                    </m:sSub>
                  </m:num>
                  <m:den>
                    <m:sSub>
                      <m:sSubPr>
                        <m:ctrlPr>
                          <w:rPr>
                            <w:rFonts w:ascii="Cambria Math" w:hAnsi="Cambria Math" w:cs="Calibri"/>
                            <w:i/>
                          </w:rPr>
                        </m:ctrlPr>
                      </m:sSubPr>
                      <m:e>
                        <m:r>
                          <w:rPr>
                            <w:rFonts w:ascii="Cambria Math" w:hAnsi="Cambria Math" w:cs="Calibri"/>
                          </w:rPr>
                          <m:t>R</m:t>
                        </m:r>
                      </m:e>
                      <m:sub>
                        <m:r>
                          <w:rPr>
                            <w:rFonts w:ascii="Cambria Math" w:hAnsi="Cambria Math" w:cs="Calibri"/>
                          </w:rPr>
                          <m:t>vacc</m:t>
                        </m:r>
                      </m:sub>
                    </m:sSub>
                  </m:den>
                </m:f>
                <m:r>
                  <w:rPr>
                    <w:rFonts w:ascii="Cambria Math" w:hAnsi="Cambria Math" w:cs="Calibri"/>
                  </w:rPr>
                  <m:t xml:space="preserve"> </m:t>
                </m:r>
              </m:oMath>
            </m:oMathPara>
          </w:p>
          <w:p w14:paraId="0B6F1014" w14:textId="77777777" w:rsidR="009B7902" w:rsidRPr="009E55C4" w:rsidRDefault="009B7902" w:rsidP="00DD3874">
            <w:pPr>
              <w:spacing w:line="360" w:lineRule="auto"/>
              <w:rPr>
                <w:rFonts w:ascii="Calibri" w:hAnsi="Calibri" w:cs="Calibri"/>
              </w:rPr>
            </w:pPr>
          </w:p>
        </w:tc>
        <w:tc>
          <w:tcPr>
            <w:tcW w:w="1379" w:type="dxa"/>
            <w:vAlign w:val="center"/>
          </w:tcPr>
          <w:p w14:paraId="3EC87D1F" w14:textId="77777777" w:rsidR="009B7902" w:rsidRPr="009E55C4" w:rsidRDefault="009B7902" w:rsidP="00DD3874">
            <w:pPr>
              <w:spacing w:line="360" w:lineRule="auto"/>
              <w:jc w:val="center"/>
              <w:rPr>
                <w:rFonts w:ascii="Calibri" w:hAnsi="Calibri" w:cs="Calibri"/>
              </w:rPr>
            </w:pPr>
            <m:oMathPara>
              <m:oMath>
                <m:r>
                  <w:rPr>
                    <w:rFonts w:ascii="Cambria Math" w:hAnsi="Cambria Math" w:cs="Calibri"/>
                  </w:rPr>
                  <m:t>Eq. 1</m:t>
                </m:r>
              </m:oMath>
            </m:oMathPara>
          </w:p>
        </w:tc>
      </w:tr>
      <w:tr w:rsidR="009B7902" w:rsidRPr="009E55C4" w14:paraId="697ABA1A" w14:textId="77777777" w:rsidTr="00DD3874">
        <w:trPr>
          <w:trHeight w:val="323"/>
        </w:trPr>
        <w:tc>
          <w:tcPr>
            <w:tcW w:w="9422" w:type="dxa"/>
            <w:gridSpan w:val="2"/>
          </w:tcPr>
          <w:p w14:paraId="1CEA7442" w14:textId="77777777" w:rsidR="009B7902" w:rsidRPr="009E55C4" w:rsidRDefault="009B7902" w:rsidP="00DD3874">
            <w:pPr>
              <w:spacing w:line="360" w:lineRule="auto"/>
              <w:rPr>
                <w:rFonts w:ascii="Calibri" w:hAnsi="Calibri" w:cs="Calibri"/>
                <w:sz w:val="20"/>
                <w:szCs w:val="20"/>
              </w:rPr>
            </w:pPr>
            <m:oMath>
              <m:sSub>
                <m:sSubPr>
                  <m:ctrlPr>
                    <w:rPr>
                      <w:rFonts w:ascii="Cambria Math" w:hAnsi="Cambria Math" w:cs="Calibri"/>
                      <w:i/>
                      <w:sz w:val="20"/>
                      <w:szCs w:val="20"/>
                    </w:rPr>
                  </m:ctrlPr>
                </m:sSubPr>
                <m:e>
                  <m:r>
                    <w:rPr>
                      <w:rFonts w:ascii="Cambria Math" w:hAnsi="Cambria Math" w:cs="Calibri"/>
                      <w:sz w:val="20"/>
                      <w:szCs w:val="20"/>
                    </w:rPr>
                    <m:t>O</m:t>
                  </m:r>
                </m:e>
                <m:sub>
                  <m:r>
                    <w:rPr>
                      <w:rFonts w:ascii="Cambria Math" w:hAnsi="Cambria Math" w:cs="Calibri"/>
                      <w:sz w:val="20"/>
                      <w:szCs w:val="20"/>
                    </w:rPr>
                    <m:t>unvacc</m:t>
                  </m:r>
                </m:sub>
              </m:sSub>
            </m:oMath>
            <w:r w:rsidRPr="009E55C4">
              <w:rPr>
                <w:rFonts w:ascii="Calibri" w:hAnsi="Calibri" w:cs="Calibri"/>
                <w:sz w:val="20"/>
                <w:szCs w:val="20"/>
              </w:rPr>
              <w:t xml:space="preserve">= outcomes (SAEs/deaths/DALYs) in the no-vaccination scenario, </w:t>
            </w:r>
            <m:oMath>
              <m:sSub>
                <m:sSubPr>
                  <m:ctrlPr>
                    <w:rPr>
                      <w:rFonts w:ascii="Cambria Math" w:hAnsi="Cambria Math" w:cs="Calibri"/>
                      <w:i/>
                      <w:sz w:val="20"/>
                      <w:szCs w:val="20"/>
                    </w:rPr>
                  </m:ctrlPr>
                </m:sSubPr>
                <m:e>
                  <m:r>
                    <w:rPr>
                      <w:rFonts w:ascii="Cambria Math" w:hAnsi="Cambria Math" w:cs="Calibri"/>
                      <w:sz w:val="20"/>
                      <w:szCs w:val="20"/>
                    </w:rPr>
                    <m:t>O</m:t>
                  </m:r>
                </m:e>
                <m:sub>
                  <m:r>
                    <w:rPr>
                      <w:rFonts w:ascii="Cambria Math" w:hAnsi="Cambria Math" w:cs="Calibri"/>
                      <w:sz w:val="20"/>
                      <w:szCs w:val="20"/>
                    </w:rPr>
                    <m:t>vacc</m:t>
                  </m:r>
                </m:sub>
              </m:sSub>
            </m:oMath>
            <w:r w:rsidRPr="009E55C4">
              <w:rPr>
                <w:rFonts w:ascii="Calibri" w:hAnsi="Calibri" w:cs="Calibri"/>
                <w:sz w:val="20"/>
                <w:szCs w:val="20"/>
              </w:rPr>
              <w:t xml:space="preserve"> = outcomes (SAEs/deaths/DALYs) in the vaccination scenario, </w:t>
            </w:r>
            <m:oMath>
              <m:sSub>
                <m:sSubPr>
                  <m:ctrlPr>
                    <w:rPr>
                      <w:rFonts w:ascii="Cambria Math" w:hAnsi="Cambria Math" w:cs="Calibri"/>
                      <w:i/>
                      <w:sz w:val="20"/>
                      <w:szCs w:val="20"/>
                    </w:rPr>
                  </m:ctrlPr>
                </m:sSubPr>
                <m:e>
                  <m:r>
                    <w:rPr>
                      <w:rFonts w:ascii="Cambria Math" w:hAnsi="Cambria Math" w:cs="Calibri"/>
                      <w:sz w:val="20"/>
                      <w:szCs w:val="20"/>
                    </w:rPr>
                    <m:t>R</m:t>
                  </m:r>
                </m:e>
                <m:sub>
                  <m:r>
                    <w:rPr>
                      <w:rFonts w:ascii="Cambria Math" w:hAnsi="Cambria Math" w:cs="Calibri"/>
                      <w:sz w:val="20"/>
                      <w:szCs w:val="20"/>
                    </w:rPr>
                    <m:t>vacc</m:t>
                  </m:r>
                </m:sub>
              </m:sSub>
            </m:oMath>
            <w:r w:rsidRPr="009E55C4">
              <w:rPr>
                <w:rFonts w:ascii="Calibri" w:hAnsi="Calibri" w:cs="Calibri"/>
                <w:sz w:val="20"/>
                <w:szCs w:val="20"/>
              </w:rPr>
              <w:t>= adverse events (SAEs/deaths/DALYs) attributable to vaccination.</w:t>
            </w:r>
          </w:p>
        </w:tc>
      </w:tr>
    </w:tbl>
    <w:p w14:paraId="175667DC" w14:textId="77777777" w:rsidR="009B7902" w:rsidRPr="009B7902" w:rsidRDefault="009B7902" w:rsidP="009B7902">
      <w:pPr>
        <w:rPr>
          <w:rStyle w:val="a7"/>
          <w:rFonts w:asciiTheme="majorHAnsi" w:eastAsia="Malgun Gothic" w:hAnsiTheme="majorHAnsi" w:cs="Calibri" w:hint="eastAsia"/>
          <w:i w:val="0"/>
          <w:iCs w:val="0"/>
          <w:lang w:eastAsia="ko-KR"/>
        </w:rPr>
      </w:pPr>
    </w:p>
    <w:p w14:paraId="21DBD7EA" w14:textId="77777777" w:rsidR="009B7902" w:rsidRPr="009B7902" w:rsidRDefault="009B7902" w:rsidP="009B7902">
      <w:pPr>
        <w:rPr>
          <w:rStyle w:val="a7"/>
          <w:rFonts w:asciiTheme="majorHAnsi" w:hAnsiTheme="majorHAnsi" w:cs="Calibri"/>
          <w:i w:val="0"/>
          <w:iCs w:val="0"/>
          <w:lang w:eastAsia="ko-KR"/>
        </w:rPr>
      </w:pPr>
      <w:r w:rsidRPr="009B7902">
        <w:rPr>
          <w:rStyle w:val="a7"/>
          <w:rFonts w:asciiTheme="majorHAnsi" w:hAnsiTheme="majorHAnsi" w:cs="Calibri"/>
          <w:i w:val="0"/>
          <w:iCs w:val="0"/>
          <w:lang w:eastAsia="ko-KR"/>
        </w:rPr>
        <w:t>Benefit-risk ratio definition and probabilistic sensitivity analysis</w:t>
      </w:r>
    </w:p>
    <w:p w14:paraId="09F6FD15" w14:textId="42E603C4" w:rsidR="009B7902" w:rsidRPr="009B7902" w:rsidRDefault="009B7902" w:rsidP="009B7902">
      <w:pPr>
        <w:rPr>
          <w:rStyle w:val="a7"/>
          <w:rFonts w:asciiTheme="majorHAnsi" w:hAnsiTheme="majorHAnsi" w:cs="Calibri"/>
          <w:i w:val="0"/>
          <w:iCs w:val="0"/>
          <w:lang w:eastAsia="ko-KR"/>
        </w:rPr>
      </w:pPr>
      <w:r w:rsidRPr="009B7902">
        <w:rPr>
          <w:rStyle w:val="a7"/>
          <w:rFonts w:asciiTheme="majorHAnsi" w:hAnsiTheme="majorHAnsi" w:cs="Calibri"/>
          <w:i w:val="0"/>
          <w:iCs w:val="0"/>
          <w:lang w:eastAsia="ko-KR"/>
        </w:rPr>
        <w:t xml:space="preserve">Decision-surface estimation </w:t>
      </w:r>
    </w:p>
    <w:p w14:paraId="6357D6A2" w14:textId="77777777" w:rsidR="009B7902" w:rsidRPr="009B7902" w:rsidRDefault="009B7902" w:rsidP="009B7902">
      <w:pPr>
        <w:rPr>
          <w:rStyle w:val="a7"/>
          <w:rFonts w:asciiTheme="majorHAnsi" w:hAnsiTheme="majorHAnsi" w:cs="Calibri"/>
          <w:i w:val="0"/>
          <w:iCs w:val="0"/>
          <w:lang w:eastAsia="ko-KR"/>
        </w:rPr>
      </w:pPr>
      <w:r w:rsidRPr="009B7902">
        <w:rPr>
          <w:rStyle w:val="a7"/>
          <w:rFonts w:asciiTheme="majorHAnsi" w:hAnsiTheme="majorHAnsi" w:cs="Calibri"/>
          <w:i w:val="0"/>
          <w:iCs w:val="0"/>
          <w:lang w:eastAsia="ko-KR"/>
        </w:rPr>
        <w:t>Sensitivity analyses</w:t>
      </w:r>
    </w:p>
    <w:p w14:paraId="5B96D20B" w14:textId="77777777" w:rsidR="009B7902" w:rsidRPr="009B7902" w:rsidRDefault="009B7902" w:rsidP="009B7902">
      <w:pPr>
        <w:rPr>
          <w:rStyle w:val="a7"/>
          <w:rFonts w:asciiTheme="majorHAnsi" w:eastAsia="Malgun Gothic" w:hAnsiTheme="majorHAnsi" w:cs="Calibri"/>
          <w:i w:val="0"/>
          <w:iCs w:val="0"/>
          <w:lang w:eastAsia="ko-KR"/>
        </w:rPr>
      </w:pPr>
      <w:r w:rsidRPr="009B7902">
        <w:rPr>
          <w:rStyle w:val="a7"/>
          <w:rFonts w:asciiTheme="majorHAnsi" w:hAnsiTheme="majorHAnsi" w:cs="Calibri"/>
          <w:i w:val="0"/>
          <w:iCs w:val="0"/>
          <w:lang w:eastAsia="ko-KR"/>
        </w:rPr>
        <w:t xml:space="preserve">Statistical analysis </w:t>
      </w:r>
    </w:p>
    <w:p w14:paraId="4C49B04A" w14:textId="4404E4CF" w:rsidR="004F5B65" w:rsidRPr="009B7902" w:rsidRDefault="009B7902" w:rsidP="009B7902">
      <w:pPr>
        <w:rPr>
          <w:rStyle w:val="a7"/>
          <w:rFonts w:asciiTheme="majorHAnsi" w:hAnsiTheme="majorHAnsi" w:cs="Calibri"/>
          <w:i w:val="0"/>
          <w:iCs w:val="0"/>
          <w:lang w:eastAsia="ko-KR"/>
        </w:rPr>
      </w:pPr>
      <w:r w:rsidRPr="009B7902">
        <w:rPr>
          <w:rStyle w:val="a7"/>
          <w:rFonts w:asciiTheme="majorHAnsi" w:eastAsia="Malgun Gothic" w:hAnsiTheme="majorHAnsi" w:cs="Calibri" w:hint="eastAsia"/>
          <w:i w:val="0"/>
          <w:iCs w:val="0"/>
          <w:lang w:eastAsia="ko-KR"/>
        </w:rPr>
        <w:t>C</w:t>
      </w:r>
      <w:r w:rsidRPr="009B7902">
        <w:rPr>
          <w:rStyle w:val="a7"/>
          <w:rFonts w:asciiTheme="majorHAnsi" w:hAnsiTheme="majorHAnsi" w:cs="Calibri"/>
          <w:i w:val="0"/>
          <w:iCs w:val="0"/>
          <w:lang w:eastAsia="ko-KR"/>
        </w:rPr>
        <w:t>ode availability</w:t>
      </w:r>
    </w:p>
    <w:p w14:paraId="11292C8D" w14:textId="77777777" w:rsidR="004F5B65" w:rsidRPr="009B7902" w:rsidRDefault="004F5B65">
      <w:pPr>
        <w:rPr>
          <w:rFonts w:asciiTheme="majorHAnsi" w:eastAsia="Malgun Gothic" w:hAnsiTheme="majorHAnsi" w:cs="Calibri"/>
          <w:lang w:eastAsia="ko-KR"/>
        </w:rPr>
      </w:pPr>
    </w:p>
    <w:p w14:paraId="30236468" w14:textId="77777777" w:rsidR="004F5B65" w:rsidRPr="009B7902" w:rsidRDefault="004F5B65">
      <w:pPr>
        <w:rPr>
          <w:rFonts w:asciiTheme="majorHAnsi" w:eastAsia="Malgun Gothic" w:hAnsiTheme="majorHAnsi" w:cs="Calibri"/>
          <w:lang w:eastAsia="ko-KR"/>
        </w:rPr>
      </w:pPr>
    </w:p>
    <w:p w14:paraId="326BA0A5" w14:textId="77777777" w:rsidR="004F5B65" w:rsidRPr="009B7902" w:rsidRDefault="004F5B65">
      <w:pPr>
        <w:rPr>
          <w:rFonts w:asciiTheme="majorHAnsi" w:eastAsia="Malgun Gothic" w:hAnsiTheme="majorHAnsi" w:cs="Calibri"/>
          <w:lang w:eastAsia="ko-KR"/>
        </w:rPr>
      </w:pPr>
    </w:p>
    <w:p w14:paraId="06D2167C" w14:textId="3A6CC368" w:rsidR="003A113E" w:rsidRPr="009B7902" w:rsidRDefault="003A113E">
      <w:pPr>
        <w:rPr>
          <w:rFonts w:asciiTheme="majorHAnsi" w:eastAsia="Malgun Gothic" w:hAnsiTheme="majorHAnsi" w:cs="Calibri"/>
          <w:lang w:eastAsia="ko-KR"/>
        </w:rPr>
      </w:pPr>
      <w:r w:rsidRPr="009B7902">
        <w:rPr>
          <w:rFonts w:asciiTheme="majorHAnsi" w:eastAsia="Malgun Gothic" w:hAnsiTheme="majorHAnsi" w:cs="Calibri"/>
          <w:lang w:eastAsia="ko-KR"/>
        </w:rPr>
        <w:t>Data availability</w:t>
      </w:r>
    </w:p>
    <w:p w14:paraId="5582D11B" w14:textId="41701D0B" w:rsidR="003A113E" w:rsidRPr="009B7902" w:rsidRDefault="003A113E">
      <w:pPr>
        <w:rPr>
          <w:rFonts w:asciiTheme="majorHAnsi" w:eastAsia="Malgun Gothic" w:hAnsiTheme="majorHAnsi" w:cs="Calibri"/>
          <w:lang w:eastAsia="ko-KR"/>
        </w:rPr>
      </w:pPr>
    </w:p>
    <w:p w14:paraId="5E4ADBF7" w14:textId="7AECF3AB" w:rsidR="003A113E" w:rsidRPr="009B7902" w:rsidRDefault="003A113E">
      <w:pPr>
        <w:rPr>
          <w:rFonts w:asciiTheme="majorHAnsi" w:eastAsia="Malgun Gothic" w:hAnsiTheme="majorHAnsi" w:cs="Calibri"/>
          <w:lang w:eastAsia="ko-KR"/>
        </w:rPr>
      </w:pPr>
      <w:r w:rsidRPr="009B7902">
        <w:rPr>
          <w:rFonts w:asciiTheme="majorHAnsi" w:eastAsia="Malgun Gothic" w:hAnsiTheme="majorHAnsi" w:cs="Calibri"/>
          <w:lang w:eastAsia="ko-KR"/>
        </w:rPr>
        <w:t>Code availability</w:t>
      </w:r>
    </w:p>
    <w:p w14:paraId="3A778ED2" w14:textId="77777777" w:rsidR="003A113E" w:rsidRPr="009B7902" w:rsidRDefault="003A113E">
      <w:pPr>
        <w:rPr>
          <w:rFonts w:asciiTheme="majorHAnsi" w:eastAsia="Malgun Gothic" w:hAnsiTheme="majorHAnsi" w:cs="Calibri"/>
          <w:lang w:eastAsia="ko-KR"/>
        </w:rPr>
      </w:pPr>
    </w:p>
    <w:p w14:paraId="2B65532A" w14:textId="61D4E7BE" w:rsidR="003A113E" w:rsidRPr="009B7902" w:rsidRDefault="003A113E">
      <w:pPr>
        <w:rPr>
          <w:rFonts w:asciiTheme="majorHAnsi" w:eastAsia="Malgun Gothic" w:hAnsiTheme="majorHAnsi" w:cs="Calibri"/>
          <w:lang w:eastAsia="ko-KR"/>
        </w:rPr>
      </w:pPr>
      <w:r w:rsidRPr="009B7902">
        <w:rPr>
          <w:rFonts w:asciiTheme="majorHAnsi" w:eastAsia="Malgun Gothic" w:hAnsiTheme="majorHAnsi" w:cs="Calibri"/>
          <w:lang w:eastAsia="ko-KR"/>
        </w:rPr>
        <w:lastRenderedPageBreak/>
        <w:t>References</w:t>
      </w:r>
    </w:p>
    <w:p w14:paraId="77E52158" w14:textId="77777777" w:rsidR="003A113E" w:rsidRPr="009B7902" w:rsidRDefault="003A113E">
      <w:pPr>
        <w:rPr>
          <w:rFonts w:asciiTheme="majorHAnsi" w:eastAsia="Malgun Gothic" w:hAnsiTheme="majorHAnsi" w:cs="Calibri"/>
          <w:lang w:eastAsia="ko-KR"/>
        </w:rPr>
      </w:pPr>
    </w:p>
    <w:p w14:paraId="40CFD02E" w14:textId="52E07690" w:rsidR="003A113E" w:rsidRPr="009B7902" w:rsidRDefault="003A113E">
      <w:pPr>
        <w:rPr>
          <w:rFonts w:asciiTheme="majorHAnsi" w:eastAsia="Malgun Gothic" w:hAnsiTheme="majorHAnsi" w:cs="Calibri"/>
          <w:lang w:eastAsia="ko-KR"/>
        </w:rPr>
      </w:pPr>
      <w:r w:rsidRPr="009B7902">
        <w:rPr>
          <w:rFonts w:asciiTheme="majorHAnsi" w:eastAsia="Malgun Gothic" w:hAnsiTheme="majorHAnsi" w:cs="Calibri"/>
          <w:lang w:eastAsia="ko-KR"/>
        </w:rPr>
        <w:t>Methods</w:t>
      </w:r>
    </w:p>
    <w:p w14:paraId="685FAD86" w14:textId="77777777" w:rsidR="003A113E" w:rsidRPr="009B7902" w:rsidRDefault="003A113E">
      <w:pPr>
        <w:rPr>
          <w:rFonts w:asciiTheme="majorHAnsi" w:eastAsia="Malgun Gothic" w:hAnsiTheme="majorHAnsi" w:cs="Calibri"/>
          <w:lang w:eastAsia="ko-KR"/>
        </w:rPr>
      </w:pPr>
    </w:p>
    <w:p w14:paraId="24EF32DA" w14:textId="77777777" w:rsidR="003A113E" w:rsidRPr="009B7902" w:rsidRDefault="003A113E">
      <w:pPr>
        <w:rPr>
          <w:rFonts w:asciiTheme="majorHAnsi" w:eastAsia="Malgun Gothic" w:hAnsiTheme="majorHAnsi" w:cs="Calibri"/>
          <w:lang w:eastAsia="ko-KR"/>
        </w:rPr>
      </w:pPr>
    </w:p>
    <w:p w14:paraId="20CEAC4C" w14:textId="77777777" w:rsidR="003A113E" w:rsidRPr="009B7902" w:rsidRDefault="003A113E">
      <w:pPr>
        <w:rPr>
          <w:rFonts w:asciiTheme="majorHAnsi" w:eastAsia="Malgun Gothic" w:hAnsiTheme="majorHAnsi" w:cs="Calibri"/>
          <w:lang w:eastAsia="ko-KR"/>
        </w:rPr>
      </w:pPr>
    </w:p>
    <w:sectPr w:rsidR="003A113E" w:rsidRPr="009B7902">
      <w:pgSz w:w="11906" w:h="16838"/>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E51417"/>
    <w:multiLevelType w:val="multilevel"/>
    <w:tmpl w:val="F8767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C37C1A"/>
    <w:multiLevelType w:val="hybridMultilevel"/>
    <w:tmpl w:val="9828C170"/>
    <w:lvl w:ilvl="0" w:tplc="0409001B">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4EB2669"/>
    <w:multiLevelType w:val="hybridMultilevel"/>
    <w:tmpl w:val="89144B6A"/>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11626226">
    <w:abstractNumId w:val="0"/>
  </w:num>
  <w:num w:numId="2" w16cid:durableId="274334389">
    <w:abstractNumId w:val="1"/>
  </w:num>
  <w:num w:numId="3" w16cid:durableId="16839723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13E"/>
    <w:rsid w:val="00337BA6"/>
    <w:rsid w:val="003A113E"/>
    <w:rsid w:val="004F5B65"/>
    <w:rsid w:val="007D683D"/>
    <w:rsid w:val="009B790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6EBF8"/>
  <w15:chartTrackingRefBased/>
  <w15:docId w15:val="{DA597E34-5251-4307-B2F9-DFF859551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3A11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3A11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3A113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3A113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3A113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A113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A113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A113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A113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A113E"/>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rsid w:val="003A113E"/>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3A113E"/>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3A113E"/>
    <w:rPr>
      <w:rFonts w:eastAsiaTheme="majorEastAsia" w:cstheme="majorBidi"/>
      <w:i/>
      <w:iCs/>
      <w:color w:val="0F4761" w:themeColor="accent1" w:themeShade="BF"/>
    </w:rPr>
  </w:style>
  <w:style w:type="character" w:customStyle="1" w:styleId="5Char">
    <w:name w:val="제목 5 Char"/>
    <w:basedOn w:val="a0"/>
    <w:link w:val="5"/>
    <w:uiPriority w:val="9"/>
    <w:semiHidden/>
    <w:rsid w:val="003A113E"/>
    <w:rPr>
      <w:rFonts w:eastAsiaTheme="majorEastAsia" w:cstheme="majorBidi"/>
      <w:color w:val="0F4761" w:themeColor="accent1" w:themeShade="BF"/>
    </w:rPr>
  </w:style>
  <w:style w:type="character" w:customStyle="1" w:styleId="6Char">
    <w:name w:val="제목 6 Char"/>
    <w:basedOn w:val="a0"/>
    <w:link w:val="6"/>
    <w:uiPriority w:val="9"/>
    <w:semiHidden/>
    <w:rsid w:val="003A113E"/>
    <w:rPr>
      <w:rFonts w:eastAsiaTheme="majorEastAsia" w:cstheme="majorBidi"/>
      <w:i/>
      <w:iCs/>
      <w:color w:val="595959" w:themeColor="text1" w:themeTint="A6"/>
    </w:rPr>
  </w:style>
  <w:style w:type="character" w:customStyle="1" w:styleId="7Char">
    <w:name w:val="제목 7 Char"/>
    <w:basedOn w:val="a0"/>
    <w:link w:val="7"/>
    <w:uiPriority w:val="9"/>
    <w:semiHidden/>
    <w:rsid w:val="003A113E"/>
    <w:rPr>
      <w:rFonts w:eastAsiaTheme="majorEastAsia" w:cstheme="majorBidi"/>
      <w:color w:val="595959" w:themeColor="text1" w:themeTint="A6"/>
    </w:rPr>
  </w:style>
  <w:style w:type="character" w:customStyle="1" w:styleId="8Char">
    <w:name w:val="제목 8 Char"/>
    <w:basedOn w:val="a0"/>
    <w:link w:val="8"/>
    <w:uiPriority w:val="9"/>
    <w:semiHidden/>
    <w:rsid w:val="003A113E"/>
    <w:rPr>
      <w:rFonts w:eastAsiaTheme="majorEastAsia" w:cstheme="majorBidi"/>
      <w:i/>
      <w:iCs/>
      <w:color w:val="272727" w:themeColor="text1" w:themeTint="D8"/>
    </w:rPr>
  </w:style>
  <w:style w:type="character" w:customStyle="1" w:styleId="9Char">
    <w:name w:val="제목 9 Char"/>
    <w:basedOn w:val="a0"/>
    <w:link w:val="9"/>
    <w:uiPriority w:val="9"/>
    <w:semiHidden/>
    <w:rsid w:val="003A113E"/>
    <w:rPr>
      <w:rFonts w:eastAsiaTheme="majorEastAsia" w:cstheme="majorBidi"/>
      <w:color w:val="272727" w:themeColor="text1" w:themeTint="D8"/>
    </w:rPr>
  </w:style>
  <w:style w:type="paragraph" w:styleId="a3">
    <w:name w:val="Title"/>
    <w:basedOn w:val="a"/>
    <w:next w:val="a"/>
    <w:link w:val="Char"/>
    <w:uiPriority w:val="10"/>
    <w:qFormat/>
    <w:rsid w:val="003A1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A113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A113E"/>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3A113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A113E"/>
    <w:pPr>
      <w:spacing w:before="160"/>
      <w:jc w:val="center"/>
    </w:pPr>
    <w:rPr>
      <w:i/>
      <w:iCs/>
      <w:color w:val="404040" w:themeColor="text1" w:themeTint="BF"/>
    </w:rPr>
  </w:style>
  <w:style w:type="character" w:customStyle="1" w:styleId="Char1">
    <w:name w:val="인용 Char"/>
    <w:basedOn w:val="a0"/>
    <w:link w:val="a5"/>
    <w:uiPriority w:val="29"/>
    <w:rsid w:val="003A113E"/>
    <w:rPr>
      <w:i/>
      <w:iCs/>
      <w:color w:val="404040" w:themeColor="text1" w:themeTint="BF"/>
    </w:rPr>
  </w:style>
  <w:style w:type="paragraph" w:styleId="a6">
    <w:name w:val="List Paragraph"/>
    <w:basedOn w:val="a"/>
    <w:uiPriority w:val="34"/>
    <w:qFormat/>
    <w:rsid w:val="003A113E"/>
    <w:pPr>
      <w:ind w:left="720"/>
      <w:contextualSpacing/>
    </w:pPr>
  </w:style>
  <w:style w:type="character" w:styleId="a7">
    <w:name w:val="Intense Emphasis"/>
    <w:basedOn w:val="a0"/>
    <w:uiPriority w:val="21"/>
    <w:qFormat/>
    <w:rsid w:val="003A113E"/>
    <w:rPr>
      <w:i/>
      <w:iCs/>
      <w:color w:val="0F4761" w:themeColor="accent1" w:themeShade="BF"/>
    </w:rPr>
  </w:style>
  <w:style w:type="paragraph" w:styleId="a8">
    <w:name w:val="Intense Quote"/>
    <w:basedOn w:val="a"/>
    <w:next w:val="a"/>
    <w:link w:val="Char2"/>
    <w:uiPriority w:val="30"/>
    <w:qFormat/>
    <w:rsid w:val="003A11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A113E"/>
    <w:rPr>
      <w:i/>
      <w:iCs/>
      <w:color w:val="0F4761" w:themeColor="accent1" w:themeShade="BF"/>
    </w:rPr>
  </w:style>
  <w:style w:type="character" w:styleId="a9">
    <w:name w:val="Intense Reference"/>
    <w:basedOn w:val="a0"/>
    <w:uiPriority w:val="32"/>
    <w:qFormat/>
    <w:rsid w:val="003A113E"/>
    <w:rPr>
      <w:b/>
      <w:bCs/>
      <w:smallCaps/>
      <w:color w:val="0F4761" w:themeColor="accent1" w:themeShade="BF"/>
      <w:spacing w:val="5"/>
    </w:rPr>
  </w:style>
  <w:style w:type="table" w:styleId="aa">
    <w:name w:val="Table Grid"/>
    <w:basedOn w:val="a1"/>
    <w:uiPriority w:val="59"/>
    <w:rsid w:val="009B7902"/>
    <w:pPr>
      <w:spacing w:after="0" w:line="240" w:lineRule="auto"/>
    </w:pPr>
    <w:rPr>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Grid Table Light"/>
    <w:basedOn w:val="a1"/>
    <w:uiPriority w:val="40"/>
    <w:rsid w:val="009B7902"/>
    <w:pPr>
      <w:spacing w:after="0" w:line="240" w:lineRule="auto"/>
    </w:pPr>
    <w:rPr>
      <w:lang w:eastAsia="ko-K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wheel.com/work/citation?ids=18551857&amp;pre=&amp;suf=&amp;sa=0&amp;dbf=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ciwheel.com/work/citation?ids=16033691&amp;pre=&amp;suf=&amp;sa=0&amp;dbf=0" TargetMode="External"/><Relationship Id="rId12" Type="http://schemas.openxmlformats.org/officeDocument/2006/relationships/hyperlink" Target="https://sciwheel.com/work/citation?ids=15078716&amp;pre=&amp;suf=&amp;sa=0&amp;dbf=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iwheel.com/work/citation?ids=18538180&amp;pre=&amp;suf=&amp;sa=0&amp;dbf=0" TargetMode="External"/><Relationship Id="rId11" Type="http://schemas.openxmlformats.org/officeDocument/2006/relationships/hyperlink" Target="https://sciwheel.com/work/citation?ids=18551749&amp;pre=&amp;suf=&amp;sa=0&amp;dbf=0" TargetMode="External"/><Relationship Id="rId5" Type="http://schemas.openxmlformats.org/officeDocument/2006/relationships/hyperlink" Target="https://sciwheel.com/work/citation?ids=15078716&amp;pre=&amp;suf=&amp;sa=0&amp;dbf=0" TargetMode="External"/><Relationship Id="rId10" Type="http://schemas.openxmlformats.org/officeDocument/2006/relationships/hyperlink" Target="https://sciwheel.com/work/citation?ids=15078716&amp;pre=&amp;suf=&amp;sa=0&amp;dbf=0" TargetMode="External"/><Relationship Id="rId4" Type="http://schemas.openxmlformats.org/officeDocument/2006/relationships/webSettings" Target="webSettings.xml"/><Relationship Id="rId9" Type="http://schemas.openxmlformats.org/officeDocument/2006/relationships/hyperlink" Target="https://sciwheel.com/work/citation?ids=16987000,18670440&amp;pre=&amp;pre=&amp;suf=&amp;suf=&amp;sa=0,0&amp;dbf=0&amp;dbf=0"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1870</Words>
  <Characters>10664</Characters>
  <Application>Microsoft Office Word</Application>
  <DocSecurity>0</DocSecurity>
  <Lines>88</Lines>
  <Paragraphs>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효림 강</dc:creator>
  <cp:keywords/>
  <dc:description/>
  <cp:lastModifiedBy>효림 강</cp:lastModifiedBy>
  <cp:revision>3</cp:revision>
  <dcterms:created xsi:type="dcterms:W3CDTF">2026-08-18T22:40:00Z</dcterms:created>
  <dcterms:modified xsi:type="dcterms:W3CDTF">2026-08-18T23:17:00Z</dcterms:modified>
</cp:coreProperties>
</file>