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Benefit-Risk Ratio (BRR) by Setting and Age group -- SAE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7"/>
        <w:gridCol w:w="1211"/>
        <w:gridCol w:w="1300"/>
        <w:gridCol w:w="1300"/>
        <w:gridCol w:w="1300"/>
        <w:gridCol w:w="1273"/>
        <w:gridCol w:w="1184"/>
        <w:gridCol w:w="1300"/>
        <w:gridCol w:w="1300"/>
        <w:gridCol w:w="1300"/>
        <w:gridCol w:w="1273"/>
        <w:gridCol w:w="1184"/>
      </w:tblGrid>
      <w:tr>
        <w:trPr>
          <w:trHeight w:val="561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blocking only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and infection blocking</w:t>
            </w:r>
          </w:p>
        </w:tc>
      </w:tr>
      <w:tr>
        <w:trPr>
          <w:trHeight w:val="711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</w:tr>
      <w:tr>
        <w:trPr>
          <w:trHeight w:val="678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(1.6–9.7)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(0.7–3.4)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(0.7–7.7)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(0.8–8.2)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(7.6–45.9)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(0.6–3.0)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(3.2–35.2)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(4.2–43.8)</w:t>
            </w:r>
          </w:p>
        </w:tc>
      </w:tr>
      <w:tr>
        <w:trPr>
          <w:trHeight w:val="678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(3.6–21.2)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(6.8–16.0)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(14.8–99.4)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(5.8–13.9)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(1.6–11.4)</w:t>
            </w:r>
          </w:p>
        </w:tc>
      </w:tr>
      <w:tr>
        <w:trPr>
          <w:trHeight w:val="678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(0.5–2.6)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(0.7–3.5)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(0.2–2.3)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(2.0–11.0)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(0.9–9.4)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(1.1–11.5)</w:t>
            </w:r>
          </w:p>
        </w:tc>
      </w:tr>
      <w:tr>
        <w:trPr>
          <w:trHeight w:val="678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(6.8–16.2)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(3.9–22.2)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(5.9–14.0)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(0.4–2.7)</w:t>
            </w:r>
          </w:p>
        </w:tc>
      </w:tr>
      <w:tr>
        <w:trPr>
          <w:trHeight w:val="678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(0.7–3.5)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(0.5–9.8)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(0.2–7.6)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(0.3–9.4)</w:t>
            </w:r>
          </w:p>
        </w:tc>
      </w:tr>
      <w:tr>
        <w:trPr>
          <w:trHeight w:val="678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(0.3–4.9)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(6.9–16.2)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(1.1–23.1)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(5.9–14.0)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(0.1–2.7)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2026-08-31T00:31:40Z</dcterms:modified>
  <cp:category/>
</cp:coreProperties>
</file>