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Benefit-Risk Ratio (BRR) by Setting and Age group -- SAE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7"/>
        <w:gridCol w:w="1211"/>
        <w:gridCol w:w="1300"/>
        <w:gridCol w:w="1300"/>
        <w:gridCol w:w="1300"/>
        <w:gridCol w:w="1273"/>
        <w:gridCol w:w="1184"/>
        <w:gridCol w:w="1300"/>
        <w:gridCol w:w="1300"/>
        <w:gridCol w:w="1300"/>
        <w:gridCol w:w="1273"/>
        <w:gridCol w:w="1184"/>
      </w:tblGrid>
      <w:tr>
        <w:trPr>
          <w:trHeight w:val="561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Disease blocking only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Disease and infection blocking</w:t>
            </w:r>
          </w:p>
        </w:tc>
      </w:tr>
      <w:tr>
        <w:trPr>
          <w:trHeight w:val="711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(base)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(adj.)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(base)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(adj.)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(adj.)</w:t>
            </w:r>
          </w:p>
        </w:tc>
      </w:tr>
      <w:tr>
        <w:trPr>
          <w:trHeight w:val="678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(1.4–9.4)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(0.7–3.4)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(0.6–7.3)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(0.7–7.7)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(6.7–45.2)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(0.6–3.0)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(2.8–34.2)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(3.8–42.0)</w:t>
            </w:r>
          </w:p>
        </w:tc>
      </w:tr>
      <w:tr>
        <w:trPr>
          <w:trHeight w:val="678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(3.2–20.2)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(6.7–16.1)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(13.1–98.1)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(5.8–13.9)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(1.0–9.1)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(1.4–11.2)</w:t>
            </w:r>
          </w:p>
        </w:tc>
      </w:tr>
      <w:tr>
        <w:trPr>
          <w:trHeight w:val="678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(0.6–3.1)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(0.7–3.4)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(0.2–2.6)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(2.4–13.3)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(0.6–3.0)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(1.0–11.1)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(1.3–13.8)</w:t>
            </w:r>
          </w:p>
        </w:tc>
      </w:tr>
      <w:tr>
        <w:trPr>
          <w:trHeight w:val="678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(1.2–6.8)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(6.7–16.2)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(4.6–27.3)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(5.8–14.0)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(0.4–2.7)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(0.5–3.4)</w:t>
            </w:r>
          </w:p>
        </w:tc>
      </w:tr>
      <w:tr>
        <w:trPr>
          <w:trHeight w:val="678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(0.7–3.4)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(0.5–9.6)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(0.6–3.0)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(0.2–7.3)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(0.3–9.0)</w:t>
            </w:r>
          </w:p>
        </w:tc>
      </w:tr>
      <w:tr>
        <w:trPr>
          <w:trHeight w:val="678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(0.3–4.7)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(7.5–17.5)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(6.8–16.1)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(1.1–22.4)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(7.5–17.5)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(5.9–14.1)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(0.1–2.6)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2026-09-06T12:25:28Z</dcterms:modified>
  <cp:category/>
</cp:coreProperties>
</file>