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Benefit-Risk Ratio (BRR) by Setting and Age group -- DALY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7"/>
        <w:gridCol w:w="1211"/>
        <w:gridCol w:w="1300"/>
        <w:gridCol w:w="1300"/>
        <w:gridCol w:w="1300"/>
        <w:gridCol w:w="1318"/>
        <w:gridCol w:w="1318"/>
        <w:gridCol w:w="1318"/>
        <w:gridCol w:w="1300"/>
        <w:gridCol w:w="1300"/>
        <w:gridCol w:w="1407"/>
        <w:gridCol w:w="1496"/>
      </w:tblGrid>
      <w:tr>
        <w:trPr>
          <w:trHeight w:val="56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blocking only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Disease and infection blocking</w:t>
            </w:r>
          </w:p>
        </w:tc>
      </w:tr>
      <w:tr>
        <w:trPr>
          <w:trHeight w:val="711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Benefit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(base)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Risk (adj.)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(per 10,000)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BRR (adj.)</w:t>
            </w:r>
          </w:p>
        </w:tc>
      </w:tr>
      <w:tr>
        <w:trPr>
          <w:trHeight w:val="678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(6.9–41.9)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(30.6–451.9)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(35.4–484.8)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(22.1–126.4)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358.3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(94.3–1381.3)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(125.3–1726.6)</w:t>
            </w:r>
          </w:p>
        </w:tc>
      </w:tr>
      <w:tr>
        <w:trPr>
          <w:trHeight w:val="678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(10.3–61.3)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(1.2–24.7)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(40.5–271.2)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(4.5–104.8)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(5.9–130.3)</w:t>
            </w:r>
          </w:p>
        </w:tc>
      </w:tr>
      <w:tr>
        <w:trPr>
          <w:trHeight w:val="678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(2.1–11.1)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(9.1–138.9)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(10.4–148.9)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(6.1–31.2)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(26.3–393.8)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(34.3–486.7)</w:t>
            </w:r>
          </w:p>
        </w:tc>
      </w:tr>
      <w:tr>
        <w:trPr>
          <w:trHeight w:val="678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(3.1–16.2)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(10.7–60.4)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(1.2–25.8)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(1.5–31.9)</w:t>
            </w:r>
          </w:p>
        </w:tc>
      </w:tr>
      <w:tr>
        <w:trPr>
          <w:trHeight w:val="678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(0.6–9.5)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(2.6–102.2)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(2.9–109.4)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(1.7–28.2)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(0.0–0.3)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(7.1–319.4)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(9.2–394.9)</w:t>
            </w:r>
          </w:p>
        </w:tc>
      </w:tr>
      <w:tr>
        <w:trPr>
          <w:trHeight w:val="67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(0.9–13.9)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(1.3–15.7)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(0.1–5.2)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(0.1–5.6)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(3.0–64.0)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(1.4–16.9)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(1.1–13.6)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(0.3–23.9)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(0.4–29.8)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2026-08-31T00:31:39Z</dcterms:modified>
  <cp:category/>
</cp:coreProperties>
</file>