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EA19" w14:textId="77777777" w:rsidR="00244A0A" w:rsidRDefault="00000000">
      <w:pPr>
        <w:pStyle w:val="2"/>
      </w:pPr>
      <w:r>
        <w:t>Supplementary Table: Benefit-Risk Ratio (BRR) by Outcome, Setting, Age group, and Mechanism (full breakdown)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81"/>
        <w:gridCol w:w="961"/>
        <w:gridCol w:w="774"/>
        <w:gridCol w:w="1768"/>
        <w:gridCol w:w="1208"/>
        <w:gridCol w:w="1430"/>
        <w:gridCol w:w="1430"/>
        <w:gridCol w:w="1581"/>
        <w:gridCol w:w="1581"/>
        <w:gridCol w:w="1161"/>
        <w:gridCol w:w="1131"/>
      </w:tblGrid>
      <w:tr w:rsidR="00244A0A" w14:paraId="0E3CEA25" w14:textId="77777777" w:rsidTr="008E7BEA">
        <w:trPr>
          <w:tblHeader/>
          <w:jc w:val="center"/>
        </w:trPr>
        <w:tc>
          <w:tcPr>
            <w:tcW w:w="27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1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Outcome</w:t>
            </w:r>
          </w:p>
        </w:tc>
        <w:tc>
          <w:tcPr>
            <w:tcW w:w="27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1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Setting</w:t>
            </w:r>
          </w:p>
        </w:tc>
        <w:tc>
          <w:tcPr>
            <w:tcW w:w="30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1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65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1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Vaccine protection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mechanism</w:t>
            </w:r>
          </w:p>
        </w:tc>
        <w:tc>
          <w:tcPr>
            <w:tcW w:w="45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1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Outcomes averted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53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1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(base):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Outcomes attributable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53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(adjusted):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Outcomes attributable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(per 10,000)</w:t>
            </w:r>
          </w:p>
        </w:tc>
        <w:tc>
          <w:tcPr>
            <w:tcW w:w="59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(base):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(Prevented per 1 caused)</w:t>
            </w:r>
          </w:p>
        </w:tc>
        <w:tc>
          <w:tcPr>
            <w:tcW w:w="59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(adjusted):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(Prevented per 1 caused)</w:t>
            </w:r>
          </w:p>
        </w:tc>
        <w:tc>
          <w:tcPr>
            <w:tcW w:w="40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Probability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BRR_base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&gt; 1)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36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Probability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BRR_adj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&gt; 1)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br/>
              <w:t>(%)</w:t>
            </w:r>
          </w:p>
        </w:tc>
      </w:tr>
      <w:tr w:rsidR="00244A0A" w14:paraId="0E3CEA31" w14:textId="77777777" w:rsidTr="008E7BEA">
        <w:trPr>
          <w:jc w:val="center"/>
        </w:trPr>
        <w:tc>
          <w:tcPr>
            <w:tcW w:w="276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2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DALY</w:t>
            </w:r>
          </w:p>
        </w:tc>
        <w:tc>
          <w:tcPr>
            <w:tcW w:w="272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2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04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2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(6.2–40.2)</w:t>
            </w:r>
          </w:p>
        </w:tc>
        <w:tc>
          <w:tcPr>
            <w:tcW w:w="53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3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9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107.7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(26.6–454.9)</w:t>
            </w:r>
          </w:p>
        </w:tc>
        <w:tc>
          <w:tcPr>
            <w:tcW w:w="59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(31.1–487.2)</w:t>
            </w:r>
          </w:p>
        </w:tc>
        <w:tc>
          <w:tcPr>
            <w:tcW w:w="40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2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3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3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3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3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(19.6–124.5)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327.1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(86.5–1392.4)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413.7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(115.0–1724.9)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3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4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3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3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4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(9.1–58.4)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(1.4–16.9)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(1.3–15.4)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(1.0–24.2)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(1.1–25.9)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98%</w:t>
            </w:r>
          </w:p>
        </w:tc>
      </w:tr>
      <w:tr w:rsidR="00244A0A" w14:paraId="0E3CEA5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4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4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4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92.9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(35.8–267.3)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4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(1.4–16.9)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(1.1–13.3)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(3.8–100.8)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(5.1–124.8)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61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56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5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5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(2.4–13.3)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(10.1–162.5)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(11.6–173.0)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5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6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6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6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6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(7.2–37.7)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117.0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(29.5–467.5)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145.7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(38.9–579.9)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6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7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6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6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7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(3.6–19.5)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(1.4–16.9)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(1.3–15.6)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(0.4–8.4)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(0.4–8.7)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79%</w:t>
            </w:r>
          </w:p>
        </w:tc>
      </w:tr>
      <w:tr w:rsidR="00244A0A" w14:paraId="0E3CEA8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7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7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7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(12.8–74.2)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7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(1.4–16.9)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(1.1–13.4)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(1.4–30.6)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(1.8–37.6)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91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86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8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8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(0.6–9.1)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(2.5–98.4)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(2.8–105.4)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8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9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9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9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9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(1.6–27.5)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(7.0–300.1)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(9.0–368.9)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9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AA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9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9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A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(0.8–13.5)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(1.4–16.9)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(1.3–15.7)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(0.1–5.0)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(0.1–5.3)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37%</w:t>
            </w:r>
          </w:p>
        </w:tc>
      </w:tr>
      <w:tr w:rsidR="00244A0A" w14:paraId="0E3CEAB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A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A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A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(3.0–62.2)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A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(1.4–16.9)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(1.1–13.5)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(0.3–22.8)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(0.4–28.3)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83%</w:t>
            </w:r>
          </w:p>
        </w:tc>
      </w:tr>
      <w:tr w:rsidR="00244A0A" w14:paraId="0E3CEAC1" w14:textId="77777777" w:rsidTr="008E7BEA">
        <w:trPr>
          <w:jc w:val="center"/>
        </w:trPr>
        <w:tc>
          <w:tcPr>
            <w:tcW w:w="276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B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B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B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(0.0–0.1)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B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244A0A" w14:paraId="0E3CEAC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C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C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C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(0.1–0.5)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C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244A0A" w14:paraId="0E3CEAD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C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C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D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(0.2–1.2)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(0.1–10.8)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(0.2–11.8)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46%</w:t>
            </w:r>
          </w:p>
        </w:tc>
      </w:tr>
      <w:tr w:rsidR="00244A0A" w14:paraId="0E3CEAE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D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D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D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(0.4–2.2)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D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(0.0–2.0)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(0.3–20.3)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(0.4–25.4)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76%</w:t>
            </w:r>
          </w:p>
        </w:tc>
      </w:tr>
      <w:tr w:rsidR="00244A0A" w14:paraId="0E3CEAF1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E6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E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E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E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244A0A" w14:paraId="0E3CEAF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F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F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F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(0.0–0.1)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AF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244A0A" w14:paraId="0E3CEB0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F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AF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0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(0.1–0.4)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(0.1–3.4)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(0.1–3.6)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15%</w:t>
            </w:r>
          </w:p>
        </w:tc>
      </w:tr>
      <w:tr w:rsidR="00244A0A" w14:paraId="0E3CEB1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0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0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0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(0.1–0.7)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(0.0–2.0)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(0.1–6.2)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(0.1–7.7)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35%</w:t>
            </w:r>
          </w:p>
        </w:tc>
      </w:tr>
      <w:tr w:rsidR="00244A0A" w14:paraId="0E3CEB21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16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1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1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1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244A0A" w14:paraId="0E3CEB2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2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2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2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(0.0–0.1)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2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beneficial</w:t>
            </w:r>
          </w:p>
        </w:tc>
      </w:tr>
      <w:tr w:rsidR="00244A0A" w14:paraId="0E3CEB3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2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2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3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(0.0–0.3)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(0.0–1.8)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(0.0–2.0)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6%</w:t>
            </w:r>
          </w:p>
        </w:tc>
      </w:tr>
      <w:tr w:rsidR="00244A0A" w14:paraId="0E3CEB4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3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3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3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3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(0.0–2.0)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(0.0–3.6)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(0.0–4.5)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17%</w:t>
            </w:r>
          </w:p>
        </w:tc>
      </w:tr>
      <w:tr w:rsidR="00244A0A" w14:paraId="0E3CEB51" w14:textId="77777777" w:rsidTr="008E7BEA">
        <w:trPr>
          <w:jc w:val="center"/>
        </w:trPr>
        <w:tc>
          <w:tcPr>
            <w:tcW w:w="276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4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SAE</w:t>
            </w: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4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4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(1.4–9.4)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(0.8–3.7)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(0.7–3.4)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(0.6–7.3)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(0.7–7.7)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4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91%</w:t>
            </w:r>
          </w:p>
        </w:tc>
      </w:tr>
      <w:tr w:rsidR="00244A0A" w14:paraId="0E3CEB5D" w14:textId="77777777" w:rsidTr="008E7BEA">
        <w:trPr>
          <w:jc w:val="center"/>
        </w:trPr>
        <w:tc>
          <w:tcPr>
            <w:tcW w:w="276" w:type="pct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5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5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5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(6.7–45.2)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(0.8–3.7)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(0.6–3.0)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(2.8–34.2)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(3.8–42.0)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5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  <w:tr w:rsidR="00244A0A" w14:paraId="0E3CEB6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5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5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6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(3.2–20.2)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(7.5–17.5)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(6.7–16.1)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(0.2–2.0)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(0.3–2.1)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34%</w:t>
            </w:r>
          </w:p>
        </w:tc>
      </w:tr>
      <w:tr w:rsidR="00244A0A" w14:paraId="0E3CEB7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6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6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6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(13.1–98.1)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6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(7.5–17.5)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(5.8–13.9)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(1.0–9.1)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(1.4–11.2)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99%</w:t>
            </w:r>
          </w:p>
        </w:tc>
      </w:tr>
      <w:tr w:rsidR="00244A0A" w14:paraId="0E3CEB81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76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7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7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(0.6–3.1)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(0.8–3.7)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(0.7–3.4)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(0.2–2.6)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(0.3–2.8)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7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40%</w:t>
            </w:r>
          </w:p>
        </w:tc>
      </w:tr>
      <w:tr w:rsidR="00244A0A" w14:paraId="0E3CEB8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8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8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8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(2.4–13.3)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(0.8–3.7)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(0.6–3.0)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(1.0–11.1)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(1.3–13.8)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8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99%</w:t>
            </w:r>
          </w:p>
        </w:tc>
      </w:tr>
      <w:tr w:rsidR="00244A0A" w14:paraId="0E3CEB9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8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8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9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(1.2–6.8)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(7.5–17.5)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(6.7–16.2)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(0.1–0.7)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(0.1–0.7)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0%</w:t>
            </w:r>
          </w:p>
        </w:tc>
      </w:tr>
      <w:tr w:rsidR="00244A0A" w14:paraId="0E3CEBA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9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9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9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(4.6–27.3)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9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(7.5–17.5)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(5.8–14.0)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(0.4–2.7)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(0.5–3.4)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68%</w:t>
            </w:r>
          </w:p>
        </w:tc>
      </w:tr>
      <w:tr w:rsidR="00244A0A" w14:paraId="0E3CEBB1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A6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A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A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18-64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(0.1–2.1)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(0.8–3.7)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(0.7–3.4)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(0.1–1.6)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(0.1–1.7)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A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12%</w:t>
            </w:r>
          </w:p>
        </w:tc>
      </w:tr>
      <w:tr w:rsidR="00244A0A" w14:paraId="0E3CEBBD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B2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B3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B4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(0.5–9.6)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(0.8–3.7)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(0.6–3.0)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9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(0.2–7.3)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A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(0.3–9.0)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B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BC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59%</w:t>
            </w:r>
          </w:p>
        </w:tc>
      </w:tr>
      <w:tr w:rsidR="00244A0A" w14:paraId="0E3CEBC9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BE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BF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C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blocking only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(0.3–4.7)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(7.5–17.5)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10.8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(6.8–16.1)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5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(0.0–0.4)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6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(0.0–0.5)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7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8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0%</w:t>
            </w:r>
          </w:p>
        </w:tc>
      </w:tr>
      <w:tr w:rsidR="00244A0A" w14:paraId="0E3CEBD5" w14:textId="77777777" w:rsidTr="008E7BEA">
        <w:trPr>
          <w:jc w:val="center"/>
        </w:trPr>
        <w:tc>
          <w:tcPr>
            <w:tcW w:w="276" w:type="pct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CA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CB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4" w:type="pct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EBCC" w14:textId="77777777" w:rsidR="00244A0A" w:rsidRDefault="00244A0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D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Disease and infection blocking</w:t>
            </w:r>
          </w:p>
        </w:tc>
        <w:tc>
          <w:tcPr>
            <w:tcW w:w="45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E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(1.1–22.4)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CF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(7.5–17.5)</w:t>
            </w:r>
          </w:p>
        </w:tc>
        <w:tc>
          <w:tcPr>
            <w:tcW w:w="53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D0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9.3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(5.9–14.1)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D1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(0.1–2.1)</w:t>
            </w:r>
          </w:p>
        </w:tc>
        <w:tc>
          <w:tcPr>
            <w:tcW w:w="59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D2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(0.1–2.6)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D3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26%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D4" w14:textId="77777777" w:rsidR="00244A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35%</w:t>
            </w:r>
          </w:p>
        </w:tc>
      </w:tr>
    </w:tbl>
    <w:p w14:paraId="0E3CEBD6" w14:textId="77777777" w:rsidR="00545696" w:rsidRDefault="00545696"/>
    <w:sectPr w:rsidR="00545696" w:rsidSect="008E7BEA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1334" w14:textId="77777777" w:rsidR="00545696" w:rsidRDefault="00545696" w:rsidP="008E7BEA">
      <w:r>
        <w:separator/>
      </w:r>
    </w:p>
  </w:endnote>
  <w:endnote w:type="continuationSeparator" w:id="0">
    <w:p w14:paraId="235C77B7" w14:textId="77777777" w:rsidR="00545696" w:rsidRDefault="00545696" w:rsidP="008E7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DE728" w14:textId="77777777" w:rsidR="00545696" w:rsidRDefault="00545696" w:rsidP="008E7BEA">
      <w:r>
        <w:separator/>
      </w:r>
    </w:p>
  </w:footnote>
  <w:footnote w:type="continuationSeparator" w:id="0">
    <w:p w14:paraId="55280321" w14:textId="77777777" w:rsidR="00545696" w:rsidRDefault="00545696" w:rsidP="008E7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0189295">
    <w:abstractNumId w:val="1"/>
  </w:num>
  <w:num w:numId="2" w16cid:durableId="713892345">
    <w:abstractNumId w:val="2"/>
  </w:num>
  <w:num w:numId="3" w16cid:durableId="13076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0A"/>
    <w:rsid w:val="00244A0A"/>
    <w:rsid w:val="00545696"/>
    <w:rsid w:val="0055272A"/>
    <w:rsid w:val="008E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CEA19"/>
  <w15:docId w15:val="{86D41B90-1BB6-404A-A0D6-CF5893A4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8E7BEA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8E7BEA"/>
  </w:style>
  <w:style w:type="paragraph" w:styleId="a6">
    <w:name w:val="footer"/>
    <w:basedOn w:val="a"/>
    <w:link w:val="Char1"/>
    <w:uiPriority w:val="99"/>
    <w:unhideWhenUsed/>
    <w:rsid w:val="008E7BEA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8E7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2026-09-06T07:47:00Z</dcterms:modified>
  <cp:category/>
</cp:coreProperties>
</file>