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Main Table 1 (SAE)</w:t>
      </w:r>
    </w:p>
    <w:p>
      <w:pPr>
        <w:pStyle w:val="Titre2"/>
      </w:pPr>
      <w:r>
        <w:t xml:space="preserve">Absolute SAE benefits and vaccine-attributable risks for outbreak-response immunisation under the reference scenario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Absolute SAE benefits and vaccine-attributable risks for outbreak-response immunisation under the reference scenario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1"/>
        <w:gridCol w:w="1311"/>
        <w:gridCol w:w="1531"/>
        <w:gridCol w:w="1632"/>
        <w:gridCol w:w="1632"/>
        <w:gridCol w:w="1431"/>
        <w:gridCol w:w="1431"/>
        <w:gridCol w:w="1732"/>
        <w:gridCol w:w="1632"/>
        <w:gridCol w:w="1531"/>
        <w:gridCol w:w="1632"/>
        <w:gridCol w:w="1632"/>
      </w:tblGrid>
      <w:tr>
        <w:trPr>
          <w:trHeight w:val="580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 (DB)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 (D+I)</w:t>
            </w:r>
          </w:p>
        </w:tc>
      </w:tr>
      <w:tr>
        <w:trPr>
          <w:trHeight w:val="580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Transmission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Benefit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(base)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(adj.)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 (base)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 (adj.)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Benefit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(base)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(adj.)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 (base)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 (adj.)</w:t>
            </w:r>
          </w:p>
        </w:tc>
      </w:tr>
      <w:tr>
        <w:trPr>
          <w:trHeight w:val="58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 (0.1–2.2)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 (0.8–3.7)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 (0.7–3.5)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 (0.1–1.7)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 (0.1–1.8)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 (0.5–9.8)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 (0.8–3.7)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 (0.6–3.0)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 (0.2–7.6)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 (0.3–9.4)</w:t>
            </w:r>
          </w:p>
        </w:tc>
      </w:tr>
      <w:tr>
        <w:trPr>
          <w:trHeight w:val="58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 (0.3–4.9)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 (7.5–17.5)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10.8 (6.9–16.2)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 (0.0–0.5)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 (0.0–0.5)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 (1.1–23.1)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 (7.5–17.5)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9.3 (5.9–14.0)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 (0.1–2.2)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 (0.1–2.7)</w:t>
            </w:r>
          </w:p>
        </w:tc>
      </w:tr>
      <w:tr>
        <w:trPr>
          <w:trHeight w:val="58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 (0.5–2.6)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 (0.8–3.7)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 (0.7–3.5)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 (0.2–2.2)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 (0.2–2.3)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 (2.0–11.0)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 (0.8–3.7)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 (0.6–3.0)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 (0.9–9.4)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 (1.1–11.5)</w:t>
            </w:r>
          </w:p>
        </w:tc>
      </w:tr>
      <w:tr>
        <w:trPr>
          <w:trHeight w:val="58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 (1.1–5.6)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 (7.5–17.5)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10.8 (6.8–16.2)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 (0.1–0.6)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 (0.1–0.6)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 (3.9–22.2)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 (7.5–17.5)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 (5.9–14.0)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 (0.3–2.2)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 (0.4–2.7)</w:t>
            </w:r>
          </w:p>
        </w:tc>
      </w:tr>
      <w:tr>
        <w:trPr>
          <w:trHeight w:val="580" w:hRule="auto"/>
        </w:trPr>
        body5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 (1.6–9.7)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 (0.8–3.7)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 (0.7–3.4)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 (0.7–7.7)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 (0.8–8.2)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19.1 (7.6–45.9)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 (0.8–3.7)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 (0.6–3.0)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 (3.2–35.2)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13.3 (4.2–43.8)</w:t>
            </w:r>
          </w:p>
        </w:tc>
      </w:tr>
      <w:tr>
        <w:trPr>
          <w:trHeight w:val="580" w:hRule="auto"/>
        </w:trPr>
        body6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9.6 (3.6–21.2)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 (7.5–17.5)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10.7 (6.8–16.0)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 (0.3–2.0)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 (0.3–2.1)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37.8 (14.8–99.4)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 (7.5–17.5)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9.3 (5.8–13.9)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 (1.1–9.4)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 (1.6–11.4)</w:t>
            </w:r>
          </w:p>
        </w:tc>
      </w:tr>
    </w:tbl>
    <w:p>
      <w:pPr>
        <w:pStyle w:val="Normal"/>
      </w:pPr>
      <w:r>
        <w:t xml:space="preserve">DB = disease blocking only; D+I = disease and infection blocking. Reference scenario = outbreak-response vaccination campaign starting week 2 at 50% coverage. Values are median (95% uncertainty interval) across 1000 posterior draws, per 10,000 vaccinated. Benefit = SAEs averted. Risk (base) = vaccine-attributable SAEs unadjusted for recipient serostatus (identical for DB and D+I within an age group -- vaccine safety does not depend on outbreak intensity or protection mechanism). Risk (adj.) = serostatus-adjusted (seropositive vaccinees assumed zero vaccine-attributable risk beyond this scenario's baseline); this DOES differ by mechanism. BRR (base)/(adj.) = benefit-risk ratio (SAEs averted / SAEs caused) using the correspondingly-adjusted risk denominator; summarised across draws directly (not the ratio of the two columns' medians).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2026-08-31T00:32:58Z</dcterms:modified>
  <cp:category/>
</cp:coreProperties>
</file>