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Predicted reporting rate by state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Predicted reporting rate by state, and the resulting inferred attack rate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71"/>
        <w:gridCol w:w="2072"/>
        <w:gridCol w:w="3471"/>
        <w:gridCol w:w="4992"/>
      </w:tblGrid>
      <w:tr>
        <w:trPr>
          <w:trHeight w:val="58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Predicted reporting rate, % (95% UI)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Resulting cumulative infection attack rate, % (95% UI)</w:t>
            </w:r>
          </w:p>
        </w:tc>
      </w:tr>
      <w:tr>
        <w:trPr>
          <w:trHeight w:val="580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Goiás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 (9.6–17.9)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 (0.4–0.7)</w:t>
            </w:r>
          </w:p>
        </w:tc>
      </w:tr>
      <w:tr>
        <w:trPr>
          <w:trHeight w:val="58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Minas Gerais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 (8.1–17.8)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 (0.4–0.9)</w:t>
            </w:r>
          </w:p>
        </w:tc>
      </w:tr>
      <w:tr>
        <w:trPr>
          <w:trHeight w:val="58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14.5 (10.3–19.6)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 (0.6–1.2)</w:t>
            </w:r>
          </w:p>
        </w:tc>
      </w:tr>
      <w:tr>
        <w:trPr>
          <w:trHeight w:val="58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Rio Grande do Norte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 (8.0–17.3)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 (1.0–2.1)</w:t>
            </w:r>
          </w:p>
        </w:tc>
      </w:tr>
      <w:tr>
        <w:trPr>
          <w:trHeight w:val="58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Sergipe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10.3 (6.9–15.1)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 (1.4–3.1)</w:t>
            </w:r>
          </w:p>
        </w:tc>
      </w:tr>
      <w:tr>
        <w:trPr>
          <w:trHeight w:val="58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Pernambuco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10.6 (6.7–15.2)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 (1.1–2.5)</w:t>
            </w:r>
          </w:p>
        </w:tc>
      </w:tr>
      <w:tr>
        <w:trPr>
          <w:trHeight w:val="58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Tocantins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12.2 (8.1–17.3)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 (1.6–3.6)</w:t>
            </w:r>
          </w:p>
        </w:tc>
      </w:tr>
      <w:tr>
        <w:trPr>
          <w:trHeight w:val="580" w:hRule="auto"/>
        </w:trPr>
        body 8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Piauí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 (6.9–15.6)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 (2.2–5.1)</w:t>
            </w:r>
          </w:p>
        </w:tc>
      </w:tr>
      <w:tr>
        <w:trPr>
          <w:trHeight w:val="580" w:hRule="auto"/>
        </w:trPr>
        body 9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Alagoas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 (6.5–15.1)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 (2.5–5.9)</w:t>
            </w:r>
          </w:p>
        </w:tc>
      </w:tr>
      <w:tr>
        <w:trPr>
          <w:trHeight w:val="58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Paraíba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11.1 (7.4–15.4)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 (3.2–6.7)</w:t>
            </w:r>
          </w:p>
        </w:tc>
      </w:tr>
      <w:tr>
        <w:trPr>
          <w:trHeight w:val="580" w:hRule="auto"/>
        </w:trPr>
        body11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Ceará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10.6 (6.7–15.4)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 (4.4–10.3)</w:t>
            </w:r>
          </w:p>
        </w:tc>
      </w:tr>
    </w:tbl>
    <w:p>
      <w:pPr>
        <w:pStyle w:val="Normal"/>
      </w:pPr>
      <w:r>
        <w:t xml:space="preserve">Reporting rate (rho) is a state-specific parameter fitted jointly with the transmission model in Stan, representing the fraction of true infections captured by the reported case surveillance data; median and 95% uncertainty interval across 1000 posterior draws. True (reporting-adjusted) incidence = reported cases / rho, and the cumulative infection attack rate reported here and in Figure 1 / Table_S_state_outbreak_summary is derived from this reporting-adjusted incidence (1 - exp(-cumulative fitted weekly hazard)). States are ordered by transmission setting, then by attack rate within each setting, matching Figure 1 and Table_S_state_outbreak_summary.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2026-08-31T14:09:51Z</dcterms:modified>
  <cp:category/>
</cp:coreProperties>
</file>