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Outbreak-response vaccination: headline benefit-risk summary, by mechanism (disease-blocking only vs. disease and infection blocking). Base case = fixed week-2/50%-coverage scenario, seroadjusted (seropositive vaccinees assumed zero vaccine-attributable risk). Benefit/Risk/BRR = median across 1000 posterior draws; Pr(BRR&gt;1) = draw-level probability.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03"/>
        <w:gridCol w:w="1340"/>
        <w:gridCol w:w="1426"/>
        <w:gridCol w:w="3382"/>
        <w:gridCol w:w="2270"/>
        <w:gridCol w:w="1952"/>
        <w:gridCol w:w="2515"/>
        <w:gridCol w:w="1493"/>
      </w:tblGrid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Setting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Mechanism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Benefit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 per 10,000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Pr(BRR&gt;1)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(0.1–2.2)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(0.7–3.5)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(0.1–1.8)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14%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(0.5–9.8)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(0.6–3.0)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(0.3–9.4)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62%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(0.3–4.9)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 (6.9–16.2)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 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 (1.1–23.1)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 (5.9–14.0)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(0.1–2.7)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37%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 (0.5–2.6)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(0.7–3.5)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 (0.2–2.3)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28%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 (2.0–11.0)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(0.6–3.0)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 (1.1–11.5)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</w:t>
            </w:r>
          </w:p>
        </w:tc>
      </w:tr>
      <w:tr>
        <w:trPr>
          <w:trHeight w:val="617" w:hRule="auto"/>
        </w:trPr>
        body 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 (1.1–5.6)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 (6.8–16.2)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(0.1–0.6)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0%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 (3.9–22.2)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 (5.9–14.0)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(0.4–2.7)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56%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 (1.6–9.7)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(0.7–3.4)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 (0.8–8.2)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94%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19.1 (7.6–45.9)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 (0.6–3.0)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 (4.2–43.8)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body11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 (3.6–21.2)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 (6.8–16.0)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 (0.3–2.1)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41%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37.8 (14.8–99.4)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9.3 (5.8–13.9)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(1.6–11.4)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body13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(0.1–2.3)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7%</w:t>
            </w:r>
          </w:p>
        </w:tc>
      </w:tr>
      <w:tr>
        <w:trPr>
          <w:trHeight w:val="617" w:hRule="auto"/>
        </w:trPr>
        body14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(0.0–2.0)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(0.0–4.8)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18%</w:t>
            </w:r>
          </w:p>
        </w:tc>
      </w:tr>
      <w:tr>
        <w:trPr>
          <w:trHeight w:val="617" w:hRule="auto"/>
        </w:trPr>
        body15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 (0.1–0.3)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(0.1–2.3)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(0.0–3.1)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12%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 (0.1–0.6)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(0.0–2.0)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(0.1–6.5)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29%</w:t>
            </w:r>
          </w:p>
        </w:tc>
      </w:tr>
      <w:tr>
        <w:trPr>
          <w:trHeight w:val="617" w:hRule="auto"/>
        </w:trPr>
        body17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(0.2–1.2)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 (0.1–2.3)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 (0.2–11.8)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49%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 (0.4–2.2)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 (0.0–2.0)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 (0.4–24.9)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80%</w:t>
            </w:r>
          </w:p>
        </w:tc>
      </w:tr>
      <w:tr>
        <w:trPr>
          <w:trHeight w:val="617" w:hRule="auto"/>
        </w:trPr>
        body19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DALY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(0.6–9.5)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16.2 (2.9–109.4)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 (1.7–28.2)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 (9.2–394.9)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body21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 (0.9–13.9)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(1.3–15.7)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 (0.1–5.6)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39%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 (3.0–64.0)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 (1.1–13.6)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 (0.4–29.8)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84%</w:t>
            </w:r>
          </w:p>
        </w:tc>
      </w:tr>
      <w:tr>
        <w:trPr>
          <w:trHeight w:val="617" w:hRule="auto"/>
        </w:trPr>
        body23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 (2.1–11.1)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36.0 (10.4–148.9)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 (6.1–31.2)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119.5 (34.3–486.7)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body25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 (3.1–16.2)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(1.3–15.5)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 (0.4–7.2)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72%</w:t>
            </w:r>
          </w:p>
        </w:tc>
      </w:tr>
      <w:tr>
        <w:trPr>
          <w:trHeight w:val="617" w:hRule="auto"/>
        </w:trPr>
        body26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 (10.7–60.4)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 (1.1–13.3)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 (1.5–31.9)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</w:t>
            </w:r>
          </w:p>
        </w:tc>
      </w:tr>
      <w:tr>
        <w:trPr>
          <w:trHeight w:val="617" w:hRule="auto"/>
        </w:trPr>
        body27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vMerge w:val="restart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 (6.9–41.9)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129.6 (35.4–484.8)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body28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 (22.1–126.4)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 (0.0–0.3)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452.1 (125.3–1726.6)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  <w:tr>
        <w:trPr>
          <w:trHeight w:val="617" w:hRule="auto"/>
        </w:trPr>
        body29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65+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blocking only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 (10.3–61.3)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 (1.3–15.5)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 (1.3–26.0)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99%</w:t>
            </w:r>
          </w:p>
        </w:tc>
      </w:tr>
      <w:tr>
        <w:trPr>
          <w:trHeight w:val="617" w:hRule="auto"/>
        </w:trPr>
        body30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Disease and infection blocking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104.0 (40.5–271.2)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 (1.1–13.4)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26.0 (5.9–130.3)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100%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2026-08-31T00:33:22Z</dcterms:modified>
  <cp:category/>
</cp:coreProperties>
</file>