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Travel vaccination: headline benefit-risk summary by duration -- Death.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585"/>
        <w:gridCol w:w="1585"/>
        <w:gridCol w:w="1585"/>
        <w:gridCol w:w="1585"/>
        <w:gridCol w:w="1585"/>
        <w:gridCol w:w="1585"/>
        <w:gridCol w:w="1585"/>
        <w:gridCol w:w="1585"/>
        <w:gridCol w:w="1585"/>
        <w:gridCol w:w="1585"/>
        <w:gridCol w:w="1585"/>
        <w:gridCol w:w="1585"/>
      </w:tblGrid>
      <w:tr>
        <w:trPr>
          <w:trHeight w:val="52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90d</w:t>
            </w:r>
          </w:p>
        </w:tc>
      </w:tr>
      <w:tr>
        <w:trPr>
          <w:trHeight w:val="67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</w:tr>
      <w:tr>
        <w:trPr>
          <w:trHeight w:val="561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</w:tr>
      <w:tr>
        <w:trPr>
          <w:trHeight w:val="561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(0.00–0.46)</w:t>
            </w:r>
          </w:p>
        </w:tc>
      </w:tr>
      <w:tr>
        <w:trPr>
          <w:trHeight w:val="561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(0.01–0.04)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</w:tr>
      <w:tr>
        <w:trPr>
          <w:trHeight w:val="561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 (0.01–0.09)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 (0.01–0.79)</w:t>
            </w:r>
          </w:p>
        </w:tc>
      </w:tr>
      <w:tr>
        <w:trPr>
          <w:trHeight w:val="561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(0.01–0.12)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(NA–NA)</w:t>
            </w:r>
          </w:p>
        </w:tc>
      </w:tr>
      <w:tr>
        <w:trPr>
          <w:trHeight w:val="561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(0.00–0.41)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 (0.03–0.26)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(0.03–2.04)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2026-08-31T00:33:24Z</dcterms:modified>
  <cp:category/>
</cp:coreProperties>
</file>