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Travel vaccination: headline benefit-risk summary by duration -- SAE.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585"/>
        <w:gridCol w:w="1763"/>
        <w:gridCol w:w="1585"/>
        <w:gridCol w:w="1585"/>
        <w:gridCol w:w="1763"/>
        <w:gridCol w:w="1585"/>
        <w:gridCol w:w="1585"/>
        <w:gridCol w:w="1763"/>
        <w:gridCol w:w="1585"/>
        <w:gridCol w:w="1585"/>
        <w:gridCol w:w="1763"/>
        <w:gridCol w:w="1585"/>
      </w:tblGrid>
      <w:tr>
        <w:trPr>
          <w:trHeight w:val="52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90d</w:t>
            </w:r>
          </w:p>
        </w:tc>
      </w:tr>
      <w:tr>
        <w:trPr>
          <w:trHeight w:val="67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</w:tr>
      <w:tr>
        <w:trPr>
          <w:trHeight w:val="561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(0.02–0.35)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(0.06–1.20)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 (0.03–0.95)</w:t>
            </w:r>
          </w:p>
        </w:tc>
      </w:tr>
      <w:tr>
        <w:trPr>
          <w:trHeight w:val="561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 (0.03–0.58)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(0.00–0.06)</w:t>
            </w:r>
          </w:p>
        </w:tc>
      </w:tr>
      <w:tr>
        <w:trPr>
          <w:trHeight w:val="561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 (0.03–0.12)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 (0.06–0.27)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 (0.02–0.22)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 (0.23–1.51)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 (0.10–1.20)</w:t>
            </w:r>
          </w:p>
        </w:tc>
      </w:tr>
      <w:tr>
        <w:trPr>
          <w:trHeight w:val="561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(0.01–0.03)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 (0.03–0.13)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 (0.11–0.72)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(0.01–0.07)</w:t>
            </w:r>
          </w:p>
        </w:tc>
      </w:tr>
      <w:tr>
        <w:trPr>
          <w:trHeight w:val="561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 (0.01–0.18)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(0.00–0.14)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 (0.02–0.38)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 (0.01–0.30)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 (0.06–0.91)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(0.03–0.71)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 (0.52–4.37)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 (0.23–3.36)</w:t>
            </w:r>
          </w:p>
        </w:tc>
      </w:tr>
      <w:tr>
        <w:trPr>
          <w:trHeight w:val="561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(0.00–0.09)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 (0.01–0.18)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(0.03–0.43)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 (0.23–2.02)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 (0.02–0.21)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2026-08-31T00:33:24Z</dcterms:modified>
  <cp:category/>
</cp:coreProperties>
</file>