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0F50" w14:textId="77777777" w:rsidR="00AD1457" w:rsidRDefault="00BC15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State-level posterior summary from the m3 refit (rho = </w:t>
      </w:r>
      <w:proofErr w:type="spellStart"/>
      <w:r>
        <w:t>p_sym</w:t>
      </w:r>
      <w:proofErr w:type="spellEnd"/>
      <w:r>
        <w:t xml:space="preserve"> * </w:t>
      </w:r>
      <w:proofErr w:type="spellStart"/>
      <w:r>
        <w:t>rho_sym</w:t>
      </w:r>
      <w:proofErr w:type="spellEnd"/>
      <w:r>
        <w:t xml:space="preserve">, </w:t>
      </w:r>
      <w:proofErr w:type="spellStart"/>
      <w:r>
        <w:t>p_sym</w:t>
      </w:r>
      <w:proofErr w:type="spellEnd"/>
      <w:r>
        <w:t xml:space="preserve"> = 0.524 fixed). AR is 1-exp(-sum(</w:t>
      </w:r>
      <w:proofErr w:type="spellStart"/>
      <w:r>
        <w:t>phi_pred</w:t>
      </w:r>
      <w:proofErr w:type="spellEnd"/>
      <w:r>
        <w:t xml:space="preserve">)), the Stan fit's own internally self-consistent attack rate (matches </w:t>
      </w:r>
      <w:proofErr w:type="spellStart"/>
      <w:r>
        <w:t>new_exposed</w:t>
      </w:r>
      <w:proofErr w:type="spellEnd"/>
      <w:r>
        <w:t>/</w:t>
      </w:r>
      <w:proofErr w:type="spellStart"/>
      <w:r>
        <w:t>S_start</w:t>
      </w:r>
      <w:proofErr w:type="spellEnd"/>
      <w:r>
        <w:t xml:space="preserve"> exactly, see 09_diagnose_ar_incidence_vs_</w:t>
      </w:r>
      <w:proofErr w:type="gramStart"/>
      <w:r>
        <w:t>hazard.R</w:t>
      </w:r>
      <w:proofErr w:type="gramEnd"/>
      <w:r>
        <w:t>) -- no external target-AR rescaling.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41"/>
        <w:gridCol w:w="2392"/>
        <w:gridCol w:w="3975"/>
        <w:gridCol w:w="3358"/>
      </w:tblGrid>
      <w:tr w:rsidR="00AD1457" w14:paraId="4F1A0F55" w14:textId="77777777">
        <w:trPr>
          <w:tblHeader/>
          <w:jc w:val="center"/>
        </w:trPr>
        <w:tc>
          <w:tcPr>
            <w:tcW w:w="24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1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Region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2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rho_sym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[95% UI]</w:t>
            </w:r>
          </w:p>
        </w:tc>
        <w:tc>
          <w:tcPr>
            <w:tcW w:w="39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3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rho_eff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p_sym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x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rho_sym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[95% UI]</w:t>
            </w:r>
          </w:p>
        </w:tc>
        <w:tc>
          <w:tcPr>
            <w:tcW w:w="33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4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AR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phi_pred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-based) [95% UI]</w:t>
            </w:r>
          </w:p>
        </w:tc>
      </w:tr>
      <w:tr w:rsidR="00AD1457" w14:paraId="4F1A0F5A" w14:textId="77777777">
        <w:trPr>
          <w:jc w:val="center"/>
        </w:trPr>
        <w:tc>
          <w:tcPr>
            <w:tcW w:w="244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6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Ceará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7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0.202 (0.128–0.294)</w:t>
            </w:r>
          </w:p>
        </w:tc>
        <w:tc>
          <w:tcPr>
            <w:tcW w:w="397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8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0.106 (0.067–0.154)</w:t>
            </w:r>
          </w:p>
        </w:tc>
        <w:tc>
          <w:tcPr>
            <w:tcW w:w="335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9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6.48% (4.40–10.32%)</w:t>
            </w:r>
          </w:p>
        </w:tc>
      </w:tr>
      <w:tr w:rsidR="00AD1457" w14:paraId="4F1A0F5F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B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Paraíba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C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0.212 (0.141–0.294)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D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0.111 (0.074–0.154)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5E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4.46% (3.18–6.67%)</w:t>
            </w:r>
          </w:p>
        </w:tc>
      </w:tr>
      <w:tr w:rsidR="00AD1457" w14:paraId="4F1A0F64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0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Alagoas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1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0.200 (0.124–0.289)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2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 (0.065–0.151)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3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3.69% (2.53–5.91%)</w:t>
            </w:r>
          </w:p>
        </w:tc>
      </w:tr>
      <w:tr w:rsidR="00AD1457" w14:paraId="4F1A0F69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5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Piauí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6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0.200 (0.132–0.298)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7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 (0.069–0.156)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8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3.30% (2.22–5.05%)</w:t>
            </w:r>
          </w:p>
        </w:tc>
      </w:tr>
      <w:tr w:rsidR="00AD1457" w14:paraId="4F1A0F6E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A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Tocantins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B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0.233 (0.155–0.330)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C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0.122 (0.081–0.173)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D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2.29% (1.61–3.49%)</w:t>
            </w:r>
          </w:p>
        </w:tc>
      </w:tr>
      <w:tr w:rsidR="00AD1457" w14:paraId="4F1A0F73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6F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Sergipe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0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0.197 (0.131–0.289)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1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 (0.069–0.151)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2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1.98% (1.35–3.04%)</w:t>
            </w:r>
          </w:p>
        </w:tc>
      </w:tr>
      <w:tr w:rsidR="00AD1457" w14:paraId="4F1A0F78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4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Pernambuco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5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0.201 (0.129–0.290)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6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0.106 (0.067–0.152)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7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1.58% (1.09–2.49%)</w:t>
            </w:r>
          </w:p>
        </w:tc>
      </w:tr>
      <w:tr w:rsidR="00AD1457" w14:paraId="4F1A0F7D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9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Rio Grande do Norte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A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0.234 (0.153–0.330)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B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 (0.080–0.173)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C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1.37% (0.96–2.10%)</w:t>
            </w:r>
          </w:p>
        </w:tc>
      </w:tr>
      <w:tr w:rsidR="00AD1457" w14:paraId="4F1A0F82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E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Bahia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7F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0.276 (0.197–0.374)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0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0.145 (0.103–0.196)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1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0.83% (0.61–1.18%)</w:t>
            </w:r>
          </w:p>
        </w:tc>
      </w:tr>
      <w:tr w:rsidR="00AD1457" w14:paraId="4F1A0F87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3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Minas Gerais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4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0.240 (0.154–0.339)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5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0.126 (0.081–0.178)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6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0.59% (0.41–0.94%)</w:t>
            </w:r>
          </w:p>
        </w:tc>
      </w:tr>
      <w:tr w:rsidR="00AD1457" w14:paraId="4F1A0F8C" w14:textId="77777777">
        <w:trPr>
          <w:jc w:val="center"/>
        </w:trPr>
        <w:tc>
          <w:tcPr>
            <w:tcW w:w="244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8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Goiás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9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0.257 (0.183–0.341)</w:t>
            </w:r>
          </w:p>
        </w:tc>
        <w:tc>
          <w:tcPr>
            <w:tcW w:w="397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A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0.135 (0.096–0.179)</w:t>
            </w:r>
          </w:p>
        </w:tc>
        <w:tc>
          <w:tcPr>
            <w:tcW w:w="335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0F8B" w14:textId="77777777" w:rsidR="00AD1457" w:rsidRDefault="00BC15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0.47% (0.35–0.66%)</w:t>
            </w:r>
          </w:p>
        </w:tc>
      </w:tr>
    </w:tbl>
    <w:p w14:paraId="4F1A0F8D" w14:textId="77777777" w:rsidR="00BC1505" w:rsidRDefault="00BC1505"/>
    <w:sectPr w:rsidR="00BC1505" w:rsidSect="005E3A1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5A7B" w14:textId="77777777" w:rsidR="00BC1505" w:rsidRDefault="00BC1505" w:rsidP="005E3A19">
      <w:r>
        <w:separator/>
      </w:r>
    </w:p>
  </w:endnote>
  <w:endnote w:type="continuationSeparator" w:id="0">
    <w:p w14:paraId="1DD95D24" w14:textId="77777777" w:rsidR="00BC1505" w:rsidRDefault="00BC1505" w:rsidP="005E3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7EC0" w14:textId="77777777" w:rsidR="00BC1505" w:rsidRDefault="00BC1505" w:rsidP="005E3A19">
      <w:r>
        <w:separator/>
      </w:r>
    </w:p>
  </w:footnote>
  <w:footnote w:type="continuationSeparator" w:id="0">
    <w:p w14:paraId="16AD46C3" w14:textId="77777777" w:rsidR="00BC1505" w:rsidRDefault="00BC1505" w:rsidP="005E3A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0618751">
    <w:abstractNumId w:val="1"/>
  </w:num>
  <w:num w:numId="2" w16cid:durableId="1538815396">
    <w:abstractNumId w:val="2"/>
  </w:num>
  <w:num w:numId="3" w16cid:durableId="70610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457"/>
    <w:rsid w:val="005E3A19"/>
    <w:rsid w:val="007D683D"/>
    <w:rsid w:val="00AD1457"/>
    <w:rsid w:val="00BC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A0F50"/>
  <w15:docId w15:val="{77298036-F40B-47CD-862C-5521EA0A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5E3A19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5E3A19"/>
  </w:style>
  <w:style w:type="paragraph" w:styleId="a6">
    <w:name w:val="footer"/>
    <w:basedOn w:val="a"/>
    <w:link w:val="Char1"/>
    <w:uiPriority w:val="99"/>
    <w:unhideWhenUsed/>
    <w:rsid w:val="005E3A19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5E3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2026-08-20T05:14:00Z</dcterms:modified>
  <cp:category/>
</cp:coreProperties>
</file>