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Travel vaccination benefit-risk ratio (BRR) by outcome, setting, age group, and travel duration. Setting = case-rate-based Low/Moderate/High classification (same as outbreak-response results). Draws pooled across states within each setting; 1000 PSA draws.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340"/>
        <w:gridCol w:w="1426"/>
        <w:gridCol w:w="1242"/>
        <w:gridCol w:w="2587"/>
        <w:gridCol w:w="149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 BRR (95% UI)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Pr(BRR&gt;1)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 (0.07–2.74)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(0.14–5.58)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43%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 (0.31–12.68)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64%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 (1.15–45.29)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98%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(0.00–0.11)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(0.00–0.23)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(0.01–0.53)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(0.02–1.81)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10%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(0.23–2.14)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26%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(0.49–4.48)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74%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3.30 (1.10–10.20)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98%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15.75 (4.43–57.12)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body13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(0.00–0.09)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(0.01–0.19)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 (0.02–0.45)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(0.08–2.42)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20%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(0.20–6.40)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65%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 (0.42–13.94)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85%</w:t>
            </w:r>
          </w:p>
        </w:tc>
      </w:tr>
      <w:tr>
        <w:trPr>
          <w:trHeight w:val="617" w:hRule="auto"/>
        </w:trPr>
        body19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7.97 (1.13–33.69)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98%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44.38 (10.58–156.22)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(0.00–0.27)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(0.01–0.53)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(0.03–1.37)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6%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(0.22–6.31)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62%</w:t>
            </w:r>
          </w:p>
        </w:tc>
      </w:tr>
      <w:tr>
        <w:trPr>
          <w:trHeight w:val="617" w:hRule="auto"/>
        </w:trPr>
        body25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body26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body30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body31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body32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(0.00–0.46)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1%</w:t>
            </w:r>
          </w:p>
        </w:tc>
      </w:tr>
      <w:tr>
        <w:trPr>
          <w:trHeight w:val="617" w:hRule="auto"/>
        </w:trPr>
        body33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body34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body35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body36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body37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body38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body39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body40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(0.01–0.79)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617" w:hRule="auto"/>
        </w:trPr>
        body41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body42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body43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body44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 (NA–NA)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NaN%</w:t>
            </w:r>
          </w:p>
        </w:tc>
      </w:tr>
      <w:tr>
        <w:trPr>
          <w:trHeight w:val="617" w:hRule="auto"/>
        </w:trPr>
        body45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body46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body47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(0.00–0.41)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1%</w:t>
            </w:r>
          </w:p>
        </w:tc>
      </w:tr>
      <w:tr>
        <w:trPr>
          <w:trHeight w:val="617" w:hRule="auto"/>
        </w:trPr>
        body48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(0.03–2.04)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7%</w:t>
            </w:r>
          </w:p>
        </w:tc>
      </w:tr>
      <w:tr>
        <w:trPr>
          <w:trHeight w:val="617" w:hRule="auto"/>
        </w:trPr>
        body49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body50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(0.00–0.12)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(0.01–0.26)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(0.03–0.95)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617" w:hRule="auto"/>
        </w:trPr>
        body53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 (0.00–0.05)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(0.01–0.09)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body59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(0.02–0.22)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(0.10–1.20)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5%</w:t>
            </w:r>
          </w:p>
        </w:tc>
      </w:tr>
      <w:tr>
        <w:trPr>
          <w:trHeight w:val="617" w:hRule="auto"/>
        </w:trPr>
        body61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(0.01–0.07)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(0.00–0.14)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(0.01–0.30)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body67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(0.03–0.71)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1%</w:t>
            </w:r>
          </w:p>
        </w:tc>
      </w:tr>
      <w:tr>
        <w:trPr>
          <w:trHeight w:val="617" w:hRule="auto"/>
        </w:trPr>
        body68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(0.23–3.36)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48%</w:t>
            </w:r>
          </w:p>
        </w:tc>
      </w:tr>
      <w:tr>
        <w:trPr>
          <w:trHeight w:val="617" w:hRule="auto"/>
        </w:trPr>
        body69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(0.00–0.01)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body70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body71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(0.00–0.04)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body72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(0.02–0.21)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2026-08-28T00:04:41Z</dcterms:modified>
  <cp:category/>
</cp:coreProperties>
</file>