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Main Table 2</w:t>
      </w:r>
    </w:p>
    <w:p>
      <w:pPr>
        <w:pStyle w:val="Titre2"/>
      </w:pPr>
      <w:r>
        <w:t xml:space="preserve">Absolute DALY benefits and vaccine-attributable risks for travel vaccination, by trip duration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Absolute DALY benefits and vaccine-attributable risks for travel vaccination, by trip duration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1"/>
        <w:gridCol w:w="1311"/>
        <w:gridCol w:w="1732"/>
        <w:gridCol w:w="1832"/>
        <w:gridCol w:w="1732"/>
        <w:gridCol w:w="1732"/>
        <w:gridCol w:w="1832"/>
        <w:gridCol w:w="1832"/>
        <w:gridCol w:w="1732"/>
        <w:gridCol w:w="1832"/>
        <w:gridCol w:w="1832"/>
        <w:gridCol w:w="1832"/>
        <w:gridCol w:w="1832"/>
        <w:gridCol w:w="2132"/>
      </w:tblGrid>
      <w:tr>
        <w:trPr>
          <w:trHeight w:val="542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7d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14d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30d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90d</w:t>
            </w:r>
          </w:p>
        </w:tc>
      </w:tr>
      <w:tr>
        <w:trPr>
          <w:trHeight w:val="577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Transmission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Benefit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Benefit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Benefit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Benefit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</w:t>
            </w:r>
          </w:p>
        </w:tc>
      </w:tr>
      <w:tr>
        <w:trPr>
          <w:trHeight w:val="58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 (0.01–0.33)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 (0.05–0.39)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 (0.07–2.74)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 (0.02–0.68)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 (0.05–0.39)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 (0.14–5.58)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 (0.06–1.53)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 (0.05–0.39)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1.55 (0.31–12.68)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 (0.21–5.46)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 (0.05–0.39)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5.05 (1.15–45.29)</w:t>
            </w:r>
          </w:p>
        </w:tc>
      </w:tr>
      <w:tr>
        <w:trPr>
          <w:trHeight w:val="58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 (0.01–0.35)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5.19 (1.42–16.65)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 (0.00–0.11)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 (0.02–0.73)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5.19 (1.42–16.65)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 (0.00–0.23)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 (0.05–1.60)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5.19 (1.42–16.65)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 (0.01–0.53)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 (0.19–5.72)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5.19 (1.42–16.65)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 (0.02–1.81)</w:t>
            </w:r>
          </w:p>
        </w:tc>
      </w:tr>
      <w:tr>
        <w:trPr>
          <w:trHeight w:val="58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 (0.04–0.25)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 (0.05–0.39)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 (0.23–2.14)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 (0.09–0.51)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 (0.05–0.39)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1.42 (0.49–4.48)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 (0.21–1.24)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 (0.05–0.39)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3.30 (1.10–10.20)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2.44 (0.81–6.69)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 (0.05–0.39)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15.75 (4.43–57.12)</w:t>
            </w:r>
          </w:p>
        </w:tc>
      </w:tr>
      <w:tr>
        <w:trPr>
          <w:trHeight w:val="58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 (0.03–0.27)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5.19 (1.42–16.65)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 (0.00–0.09)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 (0.08–0.54)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5.19 (1.42–16.65)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 (0.01–0.19)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 (0.19–1.24)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5.19 (1.42–16.65)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 (0.02–0.45)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2.43 (0.67–6.82)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5.19 (1.42–16.65)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 (0.08–2.42)</w:t>
            </w:r>
          </w:p>
        </w:tc>
      </w:tr>
      <w:tr>
        <w:trPr>
          <w:trHeight w:val="580" w:hRule="auto"/>
        </w:trPr>
        body5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 (0.03–0.78)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 (0.05–0.39)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1.49 (0.20–6.40)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 (0.07–1.62)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 (0.05–0.39)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3.21 (0.42–13.94)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1.28 (0.20–3.99)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 (0.05–0.39)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7.97 (1.13–33.69)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6.87 (1.81–18.48)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 (0.05–0.39)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44.38 (10.58–156.22)</w:t>
            </w:r>
          </w:p>
        </w:tc>
      </w:tr>
      <w:tr>
        <w:trPr>
          <w:trHeight w:val="580" w:hRule="auto"/>
        </w:trPr>
        body6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 (0.03–0.83)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5.19 (1.42–16.65)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 (0.00–0.27)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 (0.07–1.70)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5.19 (1.42–16.65)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 (0.01–0.53)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1.23 (0.18–4.10)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5.19 (1.42–16.65)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 (0.03–1.37)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6.92 (1.68–19.42)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5.19 (1.42–16.65)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 (0.22–6.31)</w:t>
            </w:r>
          </w:p>
        </w:tc>
      </w:tr>
    </w:tbl>
    <w:p>
      <w:pPr>
        <w:pStyle w:val="Normal"/>
      </w:pPr>
      <w:r>
        <w:t xml:space="preserve">Values are median (95% uncertainty interval) across 1000 posterior draws, per 10,000 vaccinated. Benefit = DALYs averted; Risk = vaccine-attributable DALYs. Risk is identical across all four durations within an age group (vaccine safety risk depends on age, not trip length) -- only Benefit changes with duration. Entry timing pooled across the within-draw sampled entry days. Travel vaccination has only ever been simulated under the disease and infection blocking mechanism (no VE0/disease-blocking-only comparison, unlike Main Table 1's outbreak-response results) and has no serostatus-adjustment split (single risk value, not base/adjusted).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2026-09-04T11:53:51Z</dcterms:modified>
  <cp:category/>
</cp:coreProperties>
</file>