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4CFF" w14:textId="77777777" w:rsidR="00AE3D7F" w:rsidRPr="00B34ED7" w:rsidRDefault="00AE3D7F" w:rsidP="00B34ED7">
      <w:pPr>
        <w:pStyle w:val="Heading2"/>
        <w:rPr>
          <w:rFonts w:ascii="Calibri" w:eastAsiaTheme="minorEastAsia" w:hAnsi="Calibri" w:cs="Calibri"/>
          <w:b/>
          <w:bCs/>
          <w:u w:val="single"/>
        </w:rPr>
      </w:pPr>
      <w:r w:rsidRPr="00B34ED7">
        <w:rPr>
          <w:rFonts w:ascii="Calibri" w:hAnsi="Calibri" w:cs="Calibri"/>
        </w:rPr>
        <w:t xml:space="preserve">Benefit-risk of the live-attenuated chikungunya vaccine </w:t>
      </w:r>
      <w:proofErr w:type="spellStart"/>
      <w:r w:rsidRPr="00B34ED7">
        <w:rPr>
          <w:rFonts w:ascii="Calibri" w:hAnsi="Calibri" w:cs="Calibri"/>
        </w:rPr>
        <w:t>Ixchiq</w:t>
      </w:r>
      <w:proofErr w:type="spellEnd"/>
      <w:r w:rsidRPr="00B34ED7">
        <w:rPr>
          <w:rFonts w:ascii="Calibri" w:hAnsi="Calibri" w:cs="Calibri"/>
        </w:rPr>
        <w:t xml:space="preserve"> for travel vaccination and age-specific outbreak response immunisation strategies</w:t>
      </w:r>
      <w:r w:rsidRPr="00B34ED7">
        <w:rPr>
          <w:rFonts w:ascii="Calibri" w:hAnsi="Calibri" w:cs="Calibri"/>
          <w:sz w:val="24"/>
          <w:szCs w:val="24"/>
        </w:rPr>
        <w:t xml:space="preserve">: </w:t>
      </w:r>
      <w:r w:rsidRPr="00B34ED7">
        <w:rPr>
          <w:rFonts w:ascii="Calibri" w:eastAsia="Malgun Gothic" w:hAnsi="Calibri" w:cs="Calibri"/>
        </w:rPr>
        <w:t>a</w:t>
      </w:r>
      <w:r w:rsidRPr="00B34ED7">
        <w:rPr>
          <w:rFonts w:ascii="Calibri" w:hAnsi="Calibri" w:cs="Calibri"/>
        </w:rPr>
        <w:t xml:space="preserve"> modelling study</w:t>
      </w:r>
    </w:p>
    <w:p w14:paraId="52EEB9F6" w14:textId="1991126A" w:rsidR="00AE3D7F" w:rsidRPr="00B34ED7" w:rsidRDefault="00AE3D7F" w:rsidP="000C3A00">
      <w:pPr>
        <w:spacing w:line="240" w:lineRule="auto"/>
        <w:rPr>
          <w:rFonts w:ascii="Calibri" w:eastAsia="Malgun Gothic" w:hAnsi="Calibri" w:cs="Calibri"/>
          <w:sz w:val="22"/>
          <w:szCs w:val="22"/>
          <w:vertAlign w:val="superscript"/>
        </w:rPr>
      </w:pPr>
      <w:r w:rsidRPr="009E55C4">
        <w:rPr>
          <w:rFonts w:ascii="Calibri" w:eastAsia="Malgun Gothic" w:hAnsi="Calibri" w:cs="Calibri"/>
          <w:sz w:val="22"/>
          <w:szCs w:val="22"/>
        </w:rPr>
        <w:t>Hyolim Kang</w:t>
      </w:r>
      <w:r w:rsidRPr="009E55C4">
        <w:rPr>
          <w:rFonts w:ascii="Calibri" w:eastAsia="Malgun Gothic" w:hAnsi="Calibri" w:cs="Calibri"/>
          <w:sz w:val="22"/>
          <w:szCs w:val="22"/>
          <w:vertAlign w:val="superscript"/>
        </w:rPr>
        <w:t>1</w:t>
      </w:r>
      <w:r w:rsidRPr="009E55C4">
        <w:rPr>
          <w:rFonts w:ascii="Calibri" w:eastAsia="Malgun Gothic" w:hAnsi="Calibri" w:cs="Calibri"/>
          <w:sz w:val="22"/>
          <w:szCs w:val="22"/>
        </w:rPr>
        <w:t>, Andrew Clark</w:t>
      </w:r>
      <w:r w:rsidRPr="009E55C4">
        <w:rPr>
          <w:rFonts w:ascii="Calibri" w:eastAsia="Malgun Gothic" w:hAnsi="Calibri" w:cs="Calibri"/>
          <w:sz w:val="22"/>
          <w:szCs w:val="22"/>
          <w:vertAlign w:val="superscript"/>
        </w:rPr>
        <w:t>2</w:t>
      </w:r>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w:t>
      </w:r>
      <w:proofErr w:type="spellStart"/>
      <w:r w:rsidRPr="009E55C4">
        <w:rPr>
          <w:rFonts w:ascii="Calibri" w:eastAsia="Malgun Gothic" w:hAnsi="Calibri" w:cs="Calibri"/>
          <w:sz w:val="22"/>
          <w:szCs w:val="22"/>
        </w:rPr>
        <w:t>Ahyoung</w:t>
      </w:r>
      <w:proofErr w:type="spellEnd"/>
      <w:r w:rsidRPr="009E55C4">
        <w:rPr>
          <w:rFonts w:ascii="Calibri" w:eastAsia="Malgun Gothic" w:hAnsi="Calibri" w:cs="Calibri"/>
          <w:sz w:val="22"/>
          <w:szCs w:val="22"/>
        </w:rPr>
        <w:t xml:space="preserve"> Lim</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Felipe J. Colón González</w:t>
      </w:r>
      <w:r w:rsidRPr="009E55C4">
        <w:rPr>
          <w:rFonts w:ascii="Calibri" w:eastAsia="Malgun Gothic" w:hAnsi="Calibri" w:cs="Calibri"/>
          <w:sz w:val="22"/>
          <w:szCs w:val="22"/>
          <w:vertAlign w:val="superscript"/>
        </w:rPr>
        <w:t>4</w:t>
      </w:r>
      <w:r w:rsidRPr="009E55C4">
        <w:rPr>
          <w:rFonts w:ascii="Calibri" w:eastAsia="Malgun Gothic" w:hAnsi="Calibri" w:cs="Calibri"/>
          <w:sz w:val="22"/>
          <w:szCs w:val="22"/>
        </w:rPr>
        <w:t>, Thiago Cerqueira</w:t>
      </w:r>
      <w:r w:rsidR="7D882B07" w:rsidRPr="7D882B07">
        <w:rPr>
          <w:rFonts w:ascii="Calibri" w:eastAsia="Malgun Gothic" w:hAnsi="Calibri" w:cs="Calibri"/>
          <w:sz w:val="22"/>
          <w:szCs w:val="22"/>
        </w:rPr>
        <w:t>-</w:t>
      </w:r>
      <w:r w:rsidRPr="009E55C4">
        <w:rPr>
          <w:rFonts w:ascii="Calibri" w:eastAsia="Malgun Gothic" w:hAnsi="Calibri" w:cs="Calibri"/>
          <w:sz w:val="22"/>
          <w:szCs w:val="22"/>
        </w:rPr>
        <w:t>Silva</w:t>
      </w:r>
      <w:r w:rsidRPr="009E55C4">
        <w:rPr>
          <w:rFonts w:ascii="Calibri" w:eastAsia="Malgun Gothic" w:hAnsi="Calibri" w:cs="Calibri"/>
          <w:sz w:val="22"/>
          <w:szCs w:val="22"/>
          <w:vertAlign w:val="superscript"/>
        </w:rPr>
        <w:t>5,6</w:t>
      </w:r>
      <w:r w:rsidRPr="009E55C4">
        <w:rPr>
          <w:rFonts w:ascii="Calibri" w:eastAsia="Malgun Gothic" w:hAnsi="Calibri" w:cs="Calibri"/>
          <w:sz w:val="22"/>
          <w:szCs w:val="22"/>
        </w:rPr>
        <w:t>, Jong-Hoon Kim</w:t>
      </w:r>
      <w:r w:rsidRPr="009E55C4">
        <w:rPr>
          <w:rFonts w:ascii="Calibri" w:eastAsia="Malgun Gothic" w:hAnsi="Calibri" w:cs="Calibri"/>
          <w:sz w:val="22"/>
          <w:szCs w:val="22"/>
          <w:vertAlign w:val="superscript"/>
        </w:rPr>
        <w:t>7</w:t>
      </w:r>
      <w:r w:rsidRPr="009E55C4">
        <w:rPr>
          <w:rFonts w:ascii="Calibri" w:eastAsia="Malgun Gothic" w:hAnsi="Calibri" w:cs="Calibri"/>
          <w:sz w:val="22"/>
          <w:szCs w:val="22"/>
        </w:rPr>
        <w:t>, Megan Auzenbergs</w:t>
      </w:r>
      <w:r w:rsidRPr="009E55C4">
        <w:rPr>
          <w:rFonts w:ascii="Calibri" w:eastAsia="Malgun Gothic" w:hAnsi="Calibri" w:cs="Calibri"/>
          <w:sz w:val="22"/>
          <w:szCs w:val="22"/>
          <w:vertAlign w:val="superscript"/>
        </w:rPr>
        <w:t>8</w:t>
      </w:r>
      <w:r w:rsidRPr="009E55C4">
        <w:rPr>
          <w:rFonts w:ascii="Calibri" w:eastAsia="Malgun Gothic" w:hAnsi="Calibri" w:cs="Calibri"/>
          <w:sz w:val="22"/>
          <w:szCs w:val="22"/>
        </w:rPr>
        <w:t>, Navneet Bichha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Narendra K Arora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So Yoon Sim</w:t>
      </w:r>
      <w:r w:rsidRPr="009E55C4">
        <w:rPr>
          <w:rFonts w:ascii="Calibri" w:eastAsia="Malgun Gothic" w:hAnsi="Calibri" w:cs="Calibri"/>
          <w:sz w:val="22"/>
          <w:szCs w:val="22"/>
          <w:vertAlign w:val="superscript"/>
        </w:rPr>
        <w:t>10</w:t>
      </w:r>
      <w:r w:rsidRPr="009E55C4">
        <w:rPr>
          <w:rFonts w:ascii="Calibri" w:eastAsia="Malgun Gothic" w:hAnsi="Calibri" w:cs="Calibri"/>
          <w:sz w:val="22"/>
          <w:szCs w:val="22"/>
        </w:rPr>
        <w:t>, Sandra López-Vergès</w:t>
      </w:r>
      <w:r w:rsidRPr="009E55C4">
        <w:rPr>
          <w:rFonts w:ascii="Calibri" w:eastAsia="Malgun Gothic" w:hAnsi="Calibri" w:cs="Calibri"/>
          <w:sz w:val="22"/>
          <w:szCs w:val="22"/>
          <w:vertAlign w:val="superscript"/>
        </w:rPr>
        <w:t>11,12,13</w:t>
      </w:r>
      <w:r w:rsidRPr="009E55C4">
        <w:rPr>
          <w:rFonts w:ascii="Calibri" w:eastAsia="Malgun Gothic" w:hAnsi="Calibri" w:cs="Calibri"/>
          <w:sz w:val="22"/>
          <w:szCs w:val="22"/>
        </w:rPr>
        <w:t>, Sushant Sahastrabuddhe</w:t>
      </w:r>
      <w:r w:rsidRPr="009E55C4">
        <w:rPr>
          <w:rFonts w:ascii="Calibri" w:eastAsia="Malgun Gothic" w:hAnsi="Calibri" w:cs="Calibri"/>
          <w:sz w:val="22"/>
          <w:szCs w:val="22"/>
          <w:vertAlign w:val="superscript"/>
        </w:rPr>
        <w:t>1,7,14,15</w:t>
      </w:r>
      <w:r w:rsidRPr="009E55C4">
        <w:rPr>
          <w:rFonts w:ascii="Calibri" w:eastAsia="Malgun Gothic" w:hAnsi="Calibri" w:cs="Calibri"/>
          <w:sz w:val="22"/>
          <w:szCs w:val="22"/>
        </w:rPr>
        <w:t>, Oliver J. Brady</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Cristiana Toscano</w:t>
      </w:r>
      <w:r w:rsidRPr="009E55C4">
        <w:rPr>
          <w:rFonts w:ascii="Calibri" w:eastAsia="Malgun Gothic" w:hAnsi="Calibri" w:cs="Calibri"/>
          <w:sz w:val="22"/>
          <w:szCs w:val="22"/>
          <w:vertAlign w:val="superscript"/>
        </w:rPr>
        <w:t>16</w:t>
      </w:r>
      <w:r w:rsidRPr="009E55C4">
        <w:rPr>
          <w:rFonts w:ascii="Calibri" w:eastAsia="Malgun Gothic" w:hAnsi="Calibri" w:cs="Calibri"/>
          <w:sz w:val="22"/>
          <w:szCs w:val="22"/>
        </w:rPr>
        <w:t>, Kaja Abbas</w:t>
      </w:r>
      <w:r w:rsidRPr="009E55C4">
        <w:rPr>
          <w:rFonts w:ascii="Calibri" w:eastAsia="Malgun Gothic" w:hAnsi="Calibri" w:cs="Calibri"/>
          <w:sz w:val="22"/>
          <w:szCs w:val="22"/>
          <w:vertAlign w:val="superscript"/>
        </w:rPr>
        <w:t>1,3</w:t>
      </w:r>
      <w:r w:rsidRPr="009E55C4" w:rsidDel="009A37F8">
        <w:rPr>
          <w:rFonts w:ascii="Calibri" w:eastAsia="Malgun Gothic" w:hAnsi="Calibri" w:cs="Calibri"/>
          <w:sz w:val="22"/>
          <w:szCs w:val="22"/>
          <w:vertAlign w:val="superscript"/>
        </w:rPr>
        <w:t xml:space="preserve"> </w:t>
      </w:r>
      <w:r w:rsidRPr="009E55C4">
        <w:rPr>
          <w:rFonts w:ascii="Calibri" w:eastAsia="Malgun Gothic" w:hAnsi="Calibri" w:cs="Calibri"/>
          <w:sz w:val="22"/>
          <w:szCs w:val="22"/>
          <w:vertAlign w:val="superscript"/>
        </w:rPr>
        <w:t>,17,18</w:t>
      </w:r>
      <w:r w:rsidRPr="009E55C4">
        <w:rPr>
          <w:rFonts w:ascii="Calibri" w:eastAsia="Malgun Gothic" w:hAnsi="Calibri" w:cs="Calibri" w:hint="eastAsia"/>
          <w:sz w:val="22"/>
          <w:szCs w:val="22"/>
          <w:vertAlign w:val="superscript"/>
        </w:rPr>
        <w:t>,19</w:t>
      </w:r>
    </w:p>
    <w:p w14:paraId="2B60FEB7"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 xml:space="preserve">1 </w:t>
      </w:r>
      <w:r w:rsidRPr="009E55C4">
        <w:rPr>
          <w:rFonts w:ascii="Calibri" w:hAnsi="Calibri" w:cs="Calibri"/>
          <w:sz w:val="22"/>
          <w:szCs w:val="22"/>
        </w:rPr>
        <w:t>Department of Infectious Disease Epidemiology and Dynamics,</w:t>
      </w:r>
      <w:r w:rsidRPr="009E55C4">
        <w:rPr>
          <w:rFonts w:ascii="Calibri" w:eastAsia="Calibri" w:hAnsi="Calibri" w:cs="Calibri"/>
          <w:sz w:val="22"/>
          <w:szCs w:val="22"/>
        </w:rPr>
        <w:t xml:space="preserve"> Institute of Tropical Medicine, Nagasaki University, Nagasaki, Japan</w:t>
      </w:r>
    </w:p>
    <w:p w14:paraId="43187EFB"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2</w:t>
      </w:r>
      <w:r w:rsidRPr="009E55C4">
        <w:rPr>
          <w:rFonts w:ascii="Calibri" w:hAnsi="Calibri" w:cs="Calibri"/>
          <w:sz w:val="22"/>
          <w:szCs w:val="22"/>
        </w:rPr>
        <w:t xml:space="preserve"> Department of Health Services Research and Policy, Faculty of Public Health and Policy, London School of Hygiene &amp; Tropical Medicine, London, UK</w:t>
      </w:r>
    </w:p>
    <w:p w14:paraId="1DCC4E7C"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3</w:t>
      </w:r>
      <w:r w:rsidRPr="009E55C4">
        <w:rPr>
          <w:rFonts w:ascii="Calibri" w:hAnsi="Calibri" w:cs="Calibri"/>
          <w:sz w:val="22"/>
          <w:szCs w:val="22"/>
        </w:rPr>
        <w:t xml:space="preserve"> Department of Infectious Disease Epidemiology and Dynamics, Faculty of Epidemiology and Population Health, London School of Hygiene &amp; Tropical Medicine, London, UK</w:t>
      </w:r>
    </w:p>
    <w:p w14:paraId="41EBA2B8"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 xml:space="preserve">4 </w:t>
      </w:r>
      <w:r w:rsidRPr="009E55C4">
        <w:rPr>
          <w:rFonts w:ascii="Calibri" w:hAnsi="Calibri" w:cs="Calibri"/>
          <w:sz w:val="22"/>
          <w:szCs w:val="22"/>
        </w:rPr>
        <w:t xml:space="preserve">Data for Science and Health, </w:t>
      </w:r>
      <w:proofErr w:type="spellStart"/>
      <w:r w:rsidRPr="009E55C4">
        <w:rPr>
          <w:rFonts w:ascii="Calibri" w:hAnsi="Calibri" w:cs="Calibri"/>
          <w:sz w:val="22"/>
          <w:szCs w:val="22"/>
        </w:rPr>
        <w:t>Wellcome</w:t>
      </w:r>
      <w:proofErr w:type="spellEnd"/>
      <w:r w:rsidRPr="009E55C4">
        <w:rPr>
          <w:rFonts w:ascii="Calibri" w:hAnsi="Calibri" w:cs="Calibri"/>
          <w:sz w:val="22"/>
          <w:szCs w:val="22"/>
        </w:rPr>
        <w:t xml:space="preserve"> Trust, London, UK</w:t>
      </w:r>
    </w:p>
    <w:p w14:paraId="07CE451D"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5</w:t>
      </w:r>
      <w:r w:rsidRPr="009E55C4">
        <w:rPr>
          <w:rFonts w:ascii="Calibri" w:hAnsi="Calibri" w:cs="Calibri"/>
          <w:sz w:val="22"/>
          <w:szCs w:val="22"/>
        </w:rPr>
        <w:t xml:space="preserve"> Department of Medical Statistics, London School of Hygiene &amp; Tropical Medicine, London, UK</w:t>
      </w:r>
    </w:p>
    <w:p w14:paraId="0F3E1BF7" w14:textId="77777777" w:rsidR="00AE3D7F" w:rsidRPr="009E55C4" w:rsidRDefault="00AE3D7F" w:rsidP="000C3A00">
      <w:pPr>
        <w:spacing w:line="240" w:lineRule="auto"/>
        <w:rPr>
          <w:rFonts w:ascii="Calibri" w:hAnsi="Calibri" w:cs="Calibri"/>
          <w:sz w:val="22"/>
          <w:szCs w:val="22"/>
          <w:lang w:val="pt-BR"/>
        </w:rPr>
      </w:pPr>
      <w:r w:rsidRPr="009E55C4">
        <w:rPr>
          <w:rFonts w:ascii="Calibri" w:hAnsi="Calibri" w:cs="Calibri"/>
          <w:sz w:val="22"/>
          <w:szCs w:val="22"/>
          <w:vertAlign w:val="superscript"/>
          <w:lang w:val="pt-BR"/>
        </w:rPr>
        <w:t>6</w:t>
      </w:r>
      <w:r w:rsidRPr="009E55C4">
        <w:rPr>
          <w:rFonts w:ascii="Calibri" w:hAnsi="Calibri" w:cs="Calibri"/>
          <w:sz w:val="22"/>
          <w:szCs w:val="22"/>
          <w:lang w:val="pt-BR"/>
        </w:rPr>
        <w:t xml:space="preserve"> Laboratório de Medicina e Saúde Pública de Precisão - Fundação Oswaldo Cruz, Salvador, </w:t>
      </w:r>
      <w:proofErr w:type="spellStart"/>
      <w:r w:rsidRPr="009E55C4">
        <w:rPr>
          <w:rFonts w:ascii="Calibri" w:hAnsi="Calibri" w:cs="Calibri"/>
          <w:sz w:val="22"/>
          <w:szCs w:val="22"/>
          <w:lang w:val="pt-BR"/>
        </w:rPr>
        <w:t>Brazil</w:t>
      </w:r>
      <w:proofErr w:type="spellEnd"/>
    </w:p>
    <w:p w14:paraId="5CC38F92"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7</w:t>
      </w:r>
      <w:r w:rsidRPr="009E55C4">
        <w:rPr>
          <w:rFonts w:ascii="Calibri" w:hAnsi="Calibri" w:cs="Calibri"/>
          <w:sz w:val="22"/>
          <w:szCs w:val="22"/>
        </w:rPr>
        <w:t xml:space="preserve"> International Vaccine Institute, Seoul, South Korea</w:t>
      </w:r>
    </w:p>
    <w:p w14:paraId="5567C0C2"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8</w:t>
      </w:r>
      <w:r w:rsidRPr="009E55C4">
        <w:rPr>
          <w:rFonts w:ascii="Calibri" w:hAnsi="Calibri" w:cs="Calibri"/>
          <w:sz w:val="22"/>
          <w:szCs w:val="22"/>
        </w:rPr>
        <w:t xml:space="preserve"> Imperial College London, London, UK</w:t>
      </w:r>
    </w:p>
    <w:p w14:paraId="085AC1D3"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9</w:t>
      </w:r>
      <w:r w:rsidRPr="009E55C4">
        <w:rPr>
          <w:rFonts w:ascii="Calibri" w:hAnsi="Calibri" w:cs="Calibri"/>
          <w:sz w:val="22"/>
          <w:szCs w:val="22"/>
        </w:rPr>
        <w:t xml:space="preserve"> The INCLEN Trust, New Delhi, India</w:t>
      </w:r>
    </w:p>
    <w:p w14:paraId="1CCA6BFC"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10</w:t>
      </w:r>
      <w:r w:rsidRPr="009E55C4">
        <w:rPr>
          <w:rFonts w:ascii="Calibri" w:hAnsi="Calibri" w:cs="Calibri"/>
          <w:sz w:val="22"/>
          <w:szCs w:val="22"/>
        </w:rPr>
        <w:t xml:space="preserve"> Department of Immunization, Vaccines, and Biologicals, World Health Organization, Geneva, Switzerland</w:t>
      </w:r>
    </w:p>
    <w:p w14:paraId="1C9D5C18"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11</w:t>
      </w:r>
      <w:r w:rsidRPr="009E55C4">
        <w:rPr>
          <w:rFonts w:ascii="Calibri" w:hAnsi="Calibri" w:cs="Calibri"/>
          <w:sz w:val="22"/>
          <w:szCs w:val="22"/>
        </w:rPr>
        <w:t xml:space="preserve"> Gorgas Memorial Institute for Health Studies, Panama City, Panama</w:t>
      </w:r>
    </w:p>
    <w:p w14:paraId="5BE2CB60" w14:textId="77777777" w:rsidR="00AE3D7F" w:rsidRPr="009E55C4" w:rsidRDefault="00AE3D7F" w:rsidP="000C3A00">
      <w:pPr>
        <w:spacing w:line="240" w:lineRule="auto"/>
        <w:rPr>
          <w:rFonts w:ascii="Calibri" w:hAnsi="Calibri" w:cs="Calibri"/>
          <w:sz w:val="22"/>
          <w:szCs w:val="22"/>
          <w:lang w:val="pt-BR"/>
        </w:rPr>
      </w:pPr>
      <w:r w:rsidRPr="009E55C4">
        <w:rPr>
          <w:rFonts w:ascii="Calibri" w:hAnsi="Calibri" w:cs="Calibri"/>
          <w:sz w:val="22"/>
          <w:szCs w:val="22"/>
          <w:vertAlign w:val="superscript"/>
          <w:lang w:val="pt-BR"/>
        </w:rPr>
        <w:t>12</w:t>
      </w:r>
      <w:r w:rsidRPr="009E55C4">
        <w:rPr>
          <w:rFonts w:ascii="Calibri" w:hAnsi="Calibri" w:cs="Calibri"/>
          <w:sz w:val="22"/>
          <w:szCs w:val="22"/>
          <w:lang w:val="pt-BR"/>
        </w:rPr>
        <w:t xml:space="preserve"> Instituto de </w:t>
      </w:r>
      <w:proofErr w:type="spellStart"/>
      <w:r w:rsidRPr="009E55C4">
        <w:rPr>
          <w:rFonts w:ascii="Calibri" w:hAnsi="Calibri" w:cs="Calibri"/>
          <w:sz w:val="22"/>
          <w:szCs w:val="22"/>
          <w:lang w:val="pt-BR"/>
        </w:rPr>
        <w:t>Investigaciones</w:t>
      </w:r>
      <w:proofErr w:type="spellEnd"/>
      <w:r w:rsidRPr="009E55C4">
        <w:rPr>
          <w:rFonts w:ascii="Calibri" w:hAnsi="Calibri" w:cs="Calibri"/>
          <w:sz w:val="22"/>
          <w:szCs w:val="22"/>
          <w:lang w:val="pt-BR"/>
        </w:rPr>
        <w:t xml:space="preserve"> Científicas y </w:t>
      </w:r>
      <w:proofErr w:type="spellStart"/>
      <w:r w:rsidRPr="009E55C4">
        <w:rPr>
          <w:rFonts w:ascii="Calibri" w:hAnsi="Calibri" w:cs="Calibri"/>
          <w:sz w:val="22"/>
          <w:szCs w:val="22"/>
          <w:lang w:val="pt-BR"/>
        </w:rPr>
        <w:t>Servicios</w:t>
      </w:r>
      <w:proofErr w:type="spellEnd"/>
      <w:r w:rsidRPr="009E55C4">
        <w:rPr>
          <w:rFonts w:ascii="Calibri" w:hAnsi="Calibri" w:cs="Calibri"/>
          <w:sz w:val="22"/>
          <w:szCs w:val="22"/>
          <w:lang w:val="pt-BR"/>
        </w:rPr>
        <w:t xml:space="preserve"> de Alta </w:t>
      </w:r>
      <w:proofErr w:type="spellStart"/>
      <w:r w:rsidRPr="009E55C4">
        <w:rPr>
          <w:rFonts w:ascii="Calibri" w:hAnsi="Calibri" w:cs="Calibri"/>
          <w:sz w:val="22"/>
          <w:szCs w:val="22"/>
          <w:lang w:val="pt-BR"/>
        </w:rPr>
        <w:t>Tecnología</w:t>
      </w:r>
      <w:proofErr w:type="spellEnd"/>
      <w:r w:rsidRPr="009E55C4">
        <w:rPr>
          <w:rFonts w:ascii="Calibri" w:hAnsi="Calibri" w:cs="Calibri"/>
          <w:sz w:val="22"/>
          <w:szCs w:val="22"/>
          <w:lang w:val="pt-BR"/>
        </w:rPr>
        <w:t xml:space="preserve"> de Panamá AIP, Panama City, Panama</w:t>
      </w:r>
    </w:p>
    <w:p w14:paraId="26A106BB"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13</w:t>
      </w:r>
      <w:r w:rsidRPr="009E55C4">
        <w:rPr>
          <w:rFonts w:ascii="Calibri" w:hAnsi="Calibri" w:cs="Calibri"/>
          <w:sz w:val="22"/>
          <w:szCs w:val="22"/>
        </w:rPr>
        <w:t xml:space="preserve"> Sistema Nacional de </w:t>
      </w:r>
      <w:proofErr w:type="spellStart"/>
      <w:r w:rsidRPr="009E55C4">
        <w:rPr>
          <w:rFonts w:ascii="Calibri" w:hAnsi="Calibri" w:cs="Calibri"/>
          <w:sz w:val="22"/>
          <w:szCs w:val="22"/>
        </w:rPr>
        <w:t>Investigación</w:t>
      </w:r>
      <w:proofErr w:type="spellEnd"/>
      <w:r w:rsidRPr="009E55C4">
        <w:rPr>
          <w:rFonts w:ascii="Calibri" w:hAnsi="Calibri" w:cs="Calibri"/>
          <w:sz w:val="22"/>
          <w:szCs w:val="22"/>
        </w:rPr>
        <w:t>, Panama</w:t>
      </w:r>
    </w:p>
    <w:p w14:paraId="0A8BFA25"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14</w:t>
      </w:r>
      <w:r w:rsidRPr="009E55C4">
        <w:rPr>
          <w:rFonts w:ascii="Calibri" w:hAnsi="Calibri" w:cs="Calibri"/>
          <w:sz w:val="22"/>
          <w:szCs w:val="22"/>
        </w:rPr>
        <w:t xml:space="preserve"> Department of Microbiology, College of Medicine, Yonsei University, Seoul, South Korea</w:t>
      </w:r>
    </w:p>
    <w:p w14:paraId="3708187C"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sz w:val="22"/>
          <w:szCs w:val="22"/>
          <w:vertAlign w:val="superscript"/>
        </w:rPr>
        <w:t>15</w:t>
      </w:r>
      <w:r w:rsidRPr="009E55C4">
        <w:rPr>
          <w:rFonts w:ascii="Calibri" w:hAnsi="Calibri" w:cs="Calibri"/>
          <w:sz w:val="22"/>
          <w:szCs w:val="22"/>
        </w:rPr>
        <w:t xml:space="preserve"> Centre International de Recherche </w:t>
      </w:r>
      <w:proofErr w:type="spellStart"/>
      <w:r w:rsidRPr="009E55C4">
        <w:rPr>
          <w:rFonts w:ascii="Calibri" w:hAnsi="Calibri" w:cs="Calibri"/>
          <w:sz w:val="22"/>
          <w:szCs w:val="22"/>
        </w:rPr>
        <w:t>en</w:t>
      </w:r>
      <w:proofErr w:type="spellEnd"/>
      <w:r w:rsidRPr="009E55C4">
        <w:rPr>
          <w:rFonts w:ascii="Calibri" w:hAnsi="Calibri" w:cs="Calibri"/>
          <w:sz w:val="22"/>
          <w:szCs w:val="22"/>
        </w:rPr>
        <w:t xml:space="preserve"> </w:t>
      </w:r>
      <w:proofErr w:type="spellStart"/>
      <w:r w:rsidRPr="009E55C4">
        <w:rPr>
          <w:rFonts w:ascii="Calibri" w:hAnsi="Calibri" w:cs="Calibri"/>
          <w:sz w:val="22"/>
          <w:szCs w:val="22"/>
        </w:rPr>
        <w:t>Infectiologie</w:t>
      </w:r>
      <w:proofErr w:type="spellEnd"/>
      <w:r w:rsidRPr="009E55C4">
        <w:rPr>
          <w:rFonts w:ascii="Calibri" w:hAnsi="Calibri" w:cs="Calibri"/>
          <w:sz w:val="22"/>
          <w:szCs w:val="22"/>
        </w:rPr>
        <w:t>, Université Jean Monnet, Université Claude Bernard Lyon 1, France</w:t>
      </w:r>
    </w:p>
    <w:p w14:paraId="4CA02BFB" w14:textId="77777777" w:rsidR="00AE3D7F" w:rsidRPr="009E55C4" w:rsidRDefault="00AE3D7F" w:rsidP="000C3A00">
      <w:pPr>
        <w:spacing w:line="240" w:lineRule="auto"/>
        <w:rPr>
          <w:rFonts w:ascii="Calibri" w:hAnsi="Calibri" w:cs="Calibri"/>
          <w:sz w:val="22"/>
          <w:szCs w:val="22"/>
          <w:vertAlign w:val="superscript"/>
        </w:rPr>
      </w:pPr>
      <w:r w:rsidRPr="009E55C4">
        <w:rPr>
          <w:rFonts w:ascii="Calibri" w:hAnsi="Calibri" w:cs="Calibri"/>
          <w:sz w:val="22"/>
          <w:szCs w:val="22"/>
          <w:vertAlign w:val="superscript"/>
        </w:rPr>
        <w:t xml:space="preserve">16 </w:t>
      </w:r>
      <w:r w:rsidRPr="009E55C4">
        <w:rPr>
          <w:rFonts w:ascii="Calibri" w:hAnsi="Calibri" w:cs="Calibri"/>
          <w:sz w:val="22"/>
          <w:szCs w:val="22"/>
        </w:rPr>
        <w:t>Federal University of Goiás, Goiânia, Brazil</w:t>
      </w:r>
    </w:p>
    <w:p w14:paraId="37C41B58"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17</w:t>
      </w:r>
      <w:r w:rsidRPr="009E55C4">
        <w:rPr>
          <w:rFonts w:ascii="Calibri" w:hAnsi="Calibri" w:cs="Calibri"/>
          <w:sz w:val="22"/>
          <w:szCs w:val="22"/>
        </w:rPr>
        <w:t xml:space="preserve"> School of Tropical Medicine and Global Health, Nagasaki University, Nagasaki, Japan</w:t>
      </w:r>
    </w:p>
    <w:p w14:paraId="7959CCAB"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18</w:t>
      </w:r>
      <w:r w:rsidRPr="009E55C4">
        <w:rPr>
          <w:rFonts w:ascii="Calibri" w:hAnsi="Calibri" w:cs="Calibri"/>
          <w:sz w:val="22"/>
          <w:szCs w:val="22"/>
        </w:rPr>
        <w:t xml:space="preserve"> Public Health Foundation of India, New Delhi, India</w:t>
      </w:r>
    </w:p>
    <w:p w14:paraId="050DA3D3" w14:textId="77777777" w:rsidR="00AE3D7F" w:rsidRPr="009E55C4" w:rsidRDefault="00AE3D7F"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19</w:t>
      </w:r>
      <w:r w:rsidRPr="009E55C4">
        <w:rPr>
          <w:rFonts w:ascii="Calibri" w:hAnsi="Calibri" w:cs="Calibri"/>
          <w:sz w:val="22"/>
          <w:szCs w:val="22"/>
        </w:rPr>
        <w:t xml:space="preserve"> National Institute of Infectious Diseases, Japan Institute for Health Security, Tokyo, Japan</w:t>
      </w:r>
    </w:p>
    <w:p w14:paraId="7752981C" w14:textId="77777777" w:rsidR="00AE3D7F" w:rsidRPr="009E55C4" w:rsidRDefault="00AE3D7F" w:rsidP="000C3A00">
      <w:pPr>
        <w:spacing w:before="240" w:after="240" w:line="240" w:lineRule="auto"/>
        <w:rPr>
          <w:rFonts w:ascii="Calibri" w:eastAsia="Calibri" w:hAnsi="Calibri" w:cs="Calibri"/>
          <w:sz w:val="22"/>
          <w:szCs w:val="22"/>
        </w:rPr>
        <w:sectPr w:rsidR="00AE3D7F" w:rsidRPr="009E55C4" w:rsidSect="00AE3D7F">
          <w:pgSz w:w="11906" w:h="16838"/>
          <w:pgMar w:top="1440" w:right="1440" w:bottom="1440" w:left="1440" w:header="709" w:footer="709" w:gutter="0"/>
          <w:lnNumType w:countBy="5" w:restart="continuous"/>
          <w:cols w:space="708"/>
          <w:docGrid w:linePitch="360"/>
        </w:sectPr>
      </w:pPr>
      <w:r w:rsidRPr="009E55C4">
        <w:rPr>
          <w:rFonts w:ascii="Calibri" w:eastAsia="Calibri" w:hAnsi="Calibri" w:cs="Calibri"/>
          <w:sz w:val="22"/>
          <w:szCs w:val="22"/>
        </w:rPr>
        <w:t>Correspondence: Hyolim Kang (</w:t>
      </w:r>
      <w:hyperlink r:id="rId8">
        <w:r w:rsidRPr="009E55C4">
          <w:rPr>
            <w:rStyle w:val="Hyperlink"/>
            <w:rFonts w:ascii="Calibri" w:eastAsia="Calibri" w:hAnsi="Calibri" w:cs="Calibri"/>
            <w:color w:val="0070C0"/>
            <w:sz w:val="22"/>
            <w:szCs w:val="22"/>
          </w:rPr>
          <w:t>hyolim.kang@nagasaki-u.ac.jp</w:t>
        </w:r>
      </w:hyperlink>
      <w:r w:rsidRPr="009E55C4">
        <w:rPr>
          <w:rFonts w:ascii="Calibri" w:eastAsia="Calibri" w:hAnsi="Calibri" w:cs="Calibri"/>
          <w:sz w:val="22"/>
          <w:szCs w:val="22"/>
        </w:rPr>
        <w:t>)</w:t>
      </w:r>
    </w:p>
    <w:p w14:paraId="36A26ECC" w14:textId="77777777" w:rsidR="00AE3D7F" w:rsidRPr="00CF6D3D" w:rsidRDefault="00AE3D7F" w:rsidP="00C6400A">
      <w:pPr>
        <w:pStyle w:val="Heading2"/>
        <w:spacing w:line="276" w:lineRule="auto"/>
        <w:rPr>
          <w:rFonts w:ascii="Calibri" w:eastAsia="Malgun Gothic" w:hAnsi="Calibri" w:cs="Calibri"/>
          <w:lang w:eastAsia="ko-KR"/>
        </w:rPr>
      </w:pPr>
      <w:r>
        <w:rPr>
          <w:rFonts w:ascii="Calibri" w:eastAsia="Malgun Gothic" w:hAnsi="Calibri" w:cs="Calibri" w:hint="eastAsia"/>
          <w:lang w:eastAsia="ko-KR"/>
        </w:rPr>
        <w:lastRenderedPageBreak/>
        <w:t>Abstract</w:t>
      </w:r>
    </w:p>
    <w:p w14:paraId="10814F12" w14:textId="449446F7" w:rsidR="00AE3D7F" w:rsidRPr="00B77161" w:rsidRDefault="00AE3D7F" w:rsidP="00AC5C2F">
      <w:pPr>
        <w:spacing w:line="276" w:lineRule="auto"/>
        <w:rPr>
          <w:rFonts w:ascii="Calibri" w:eastAsia="Malgun Gothic" w:hAnsi="Calibri" w:cs="Calibri"/>
          <w:lang w:val="en-US" w:eastAsia="ko-KR"/>
        </w:rPr>
      </w:pPr>
      <w:r w:rsidRPr="63565B6F">
        <w:rPr>
          <w:rFonts w:ascii="Calibri" w:eastAsia="Malgun Gothic" w:hAnsi="Calibri" w:cs="Calibri"/>
          <w:lang w:eastAsia="ko-KR"/>
        </w:rPr>
        <w:t xml:space="preserve">Vaccination benefits during an </w:t>
      </w:r>
      <w:r w:rsidR="00FA6AC8">
        <w:rPr>
          <w:rFonts w:ascii="Calibri" w:eastAsia="Malgun Gothic" w:hAnsi="Calibri" w:cs="Calibri"/>
          <w:lang w:eastAsia="ko-KR"/>
        </w:rPr>
        <w:t>outbreak</w:t>
      </w:r>
      <w:r w:rsidRPr="63565B6F">
        <w:rPr>
          <w:rFonts w:ascii="Calibri" w:eastAsia="Malgun Gothic" w:hAnsi="Calibri" w:cs="Calibri"/>
          <w:lang w:eastAsia="ko-KR"/>
        </w:rPr>
        <w:t xml:space="preserve"> depend on infection risk </w:t>
      </w:r>
      <w:r w:rsidR="00C27AA9">
        <w:rPr>
          <w:rFonts w:ascii="Calibri" w:eastAsia="Malgun Gothic" w:hAnsi="Calibri" w:cs="Calibri"/>
          <w:lang w:eastAsia="ko-KR"/>
        </w:rPr>
        <w:t>over</w:t>
      </w:r>
      <w:r w:rsidRPr="63565B6F">
        <w:rPr>
          <w:rFonts w:ascii="Calibri" w:eastAsia="Malgun Gothic" w:hAnsi="Calibri" w:cs="Calibri"/>
          <w:lang w:eastAsia="ko-KR"/>
        </w:rPr>
        <w:t xml:space="preserve"> the period in which vaccination can prevent disease, whereas </w:t>
      </w:r>
      <w:r w:rsidR="0036412F">
        <w:rPr>
          <w:rFonts w:ascii="Calibri" w:eastAsia="Malgun Gothic" w:hAnsi="Calibri" w:cs="Calibri"/>
          <w:lang w:eastAsia="ko-KR"/>
        </w:rPr>
        <w:t xml:space="preserve">the risk of </w:t>
      </w:r>
      <w:r w:rsidRPr="63565B6F">
        <w:rPr>
          <w:rFonts w:ascii="Calibri" w:eastAsia="Malgun Gothic" w:hAnsi="Calibri" w:cs="Calibri"/>
          <w:lang w:eastAsia="ko-KR"/>
        </w:rPr>
        <w:t xml:space="preserve">vaccine-associated </w:t>
      </w:r>
      <w:r w:rsidR="0036412F">
        <w:rPr>
          <w:rFonts w:ascii="Calibri" w:eastAsia="Malgun Gothic" w:hAnsi="Calibri" w:cs="Calibri"/>
          <w:lang w:eastAsia="ko-KR"/>
        </w:rPr>
        <w:t>adverse outcome</w:t>
      </w:r>
      <w:r w:rsidR="00085B5A">
        <w:rPr>
          <w:rFonts w:ascii="Calibri" w:eastAsia="Malgun Gothic" w:hAnsi="Calibri" w:cs="Calibri"/>
          <w:lang w:eastAsia="ko-KR"/>
        </w:rPr>
        <w:t xml:space="preserve"> is independent of epidemic timing</w:t>
      </w:r>
      <w:r w:rsidRPr="63565B6F">
        <w:rPr>
          <w:rFonts w:ascii="Calibri" w:eastAsia="Malgun Gothic" w:hAnsi="Calibri" w:cs="Calibri"/>
          <w:lang w:eastAsia="ko-KR"/>
        </w:rPr>
        <w:t xml:space="preserve">. For </w:t>
      </w:r>
      <w:proofErr w:type="spellStart"/>
      <w:r w:rsidRPr="63565B6F">
        <w:rPr>
          <w:rFonts w:ascii="Calibri" w:eastAsia="Malgun Gothic" w:hAnsi="Calibri" w:cs="Calibri"/>
          <w:lang w:eastAsia="ko-KR"/>
        </w:rPr>
        <w:t>Ixchiq</w:t>
      </w:r>
      <w:proofErr w:type="spellEnd"/>
      <w:r w:rsidRPr="63565B6F">
        <w:rPr>
          <w:rFonts w:ascii="Calibri" w:eastAsia="Malgun Gothic" w:hAnsi="Calibri" w:cs="Calibri"/>
          <w:lang w:eastAsia="ko-KR"/>
        </w:rPr>
        <w:t xml:space="preserve">, a live-attenuated chikungunya vaccine, post-licensure safety signals and uncertain protection </w:t>
      </w:r>
      <w:r w:rsidR="00370FCD">
        <w:rPr>
          <w:rFonts w:ascii="Calibri" w:eastAsia="Malgun Gothic" w:hAnsi="Calibri" w:cs="Calibri"/>
          <w:lang w:eastAsia="ko-KR"/>
        </w:rPr>
        <w:t>mechanism</w:t>
      </w:r>
      <w:r w:rsidRPr="63565B6F">
        <w:rPr>
          <w:rFonts w:ascii="Calibri" w:eastAsia="Malgun Gothic" w:hAnsi="Calibri" w:cs="Calibri"/>
          <w:lang w:eastAsia="ko-KR"/>
        </w:rPr>
        <w:t xml:space="preserve"> complicate decisions for travellers and outbreak response</w:t>
      </w:r>
      <w:r w:rsidRPr="63565B6F">
        <w:rPr>
          <w:rFonts w:ascii="Calibri" w:eastAsia="Malgun Gothic" w:hAnsi="Calibri" w:cs="Calibri"/>
          <w:lang w:val="en-US" w:eastAsia="ko-KR"/>
        </w:rPr>
        <w:t xml:space="preserve">. </w:t>
      </w:r>
      <w:r w:rsidRPr="63565B6F">
        <w:rPr>
          <w:rFonts w:ascii="Calibri" w:eastAsia="Malgun Gothic" w:hAnsi="Calibri" w:cs="Calibri"/>
          <w:lang w:eastAsia="ko-KR"/>
        </w:rPr>
        <w:t>Existing assessments</w:t>
      </w:r>
      <w:r w:rsidR="4E47EDD3" w:rsidRPr="4E47EDD3">
        <w:rPr>
          <w:rFonts w:ascii="Calibri" w:eastAsia="Malgun Gothic" w:hAnsi="Calibri" w:cs="Calibri"/>
          <w:lang w:eastAsia="ko-KR"/>
        </w:rPr>
        <w:t xml:space="preserve"> of vaccine risks and benefits </w:t>
      </w:r>
      <w:r w:rsidRPr="63565B6F">
        <w:rPr>
          <w:rFonts w:ascii="Calibri" w:eastAsia="Malgun Gothic" w:hAnsi="Calibri" w:cs="Calibri"/>
          <w:lang w:eastAsia="ko-KR"/>
        </w:rPr>
        <w:t>using cumulative epidemic risk do not capture exposure timing. Here we show, using reconstructed chikungunya epidemics in Brazil</w:t>
      </w:r>
      <w:r w:rsidR="6602B56A" w:rsidRPr="63565B6F">
        <w:rPr>
          <w:rFonts w:ascii="Calibri" w:eastAsia="Malgun Gothic" w:hAnsi="Calibri" w:cs="Calibri"/>
          <w:lang w:eastAsia="ko-KR"/>
        </w:rPr>
        <w:t xml:space="preserve"> in 2022</w:t>
      </w:r>
      <w:r w:rsidRPr="63565B6F">
        <w:rPr>
          <w:rFonts w:ascii="Calibri" w:eastAsia="Malgun Gothic" w:hAnsi="Calibri" w:cs="Calibri"/>
          <w:lang w:eastAsia="ko-KR"/>
        </w:rPr>
        <w:t xml:space="preserve">, that </w:t>
      </w:r>
      <w:proofErr w:type="spellStart"/>
      <w:r w:rsidRPr="63565B6F">
        <w:rPr>
          <w:rFonts w:ascii="Calibri" w:eastAsia="Malgun Gothic" w:hAnsi="Calibri" w:cs="Calibri"/>
          <w:lang w:eastAsia="ko-KR"/>
        </w:rPr>
        <w:t>Ixchiq</w:t>
      </w:r>
      <w:proofErr w:type="spellEnd"/>
      <w:r w:rsidRPr="63565B6F">
        <w:rPr>
          <w:rFonts w:ascii="Calibri" w:eastAsia="Malgun Gothic" w:hAnsi="Calibri" w:cs="Calibri"/>
          <w:lang w:eastAsia="ko-KR"/>
        </w:rPr>
        <w:t xml:space="preserve"> benefit-risk depends on infection risk over the decision-relevant exposure </w:t>
      </w:r>
      <w:r w:rsidR="00370FCD">
        <w:rPr>
          <w:rFonts w:ascii="Calibri" w:eastAsia="Malgun Gothic" w:hAnsi="Calibri" w:cs="Calibri"/>
          <w:lang w:eastAsia="ko-KR"/>
        </w:rPr>
        <w:t>window</w:t>
      </w:r>
      <w:r w:rsidRPr="63565B6F">
        <w:rPr>
          <w:rFonts w:ascii="Calibri" w:eastAsia="Malgun Gothic" w:hAnsi="Calibri" w:cs="Calibri"/>
          <w:lang w:eastAsia="ko-KR"/>
        </w:rPr>
        <w:t xml:space="preserve">. </w:t>
      </w:r>
      <w:commentRangeStart w:id="0"/>
      <w:r w:rsidRPr="63565B6F">
        <w:rPr>
          <w:rFonts w:ascii="Calibri" w:eastAsia="Malgun Gothic" w:hAnsi="Calibri" w:cs="Calibri"/>
          <w:lang w:eastAsia="ko-KR"/>
        </w:rPr>
        <w:t>For travellers aged 18-64 years, benefits exceeded risks even for 7-day trips at peak transmission, whereas adults aged ≥65 years required longer exposure</w:t>
      </w:r>
      <w:r w:rsidR="597A5F95" w:rsidRPr="597A5F95">
        <w:rPr>
          <w:rFonts w:ascii="Calibri" w:eastAsia="Malgun Gothic" w:hAnsi="Calibri" w:cs="Calibri"/>
          <w:lang w:eastAsia="ko-KR"/>
        </w:rPr>
        <w:t xml:space="preserve"> for benefits to outweigh risks.</w:t>
      </w:r>
      <w:commentRangeEnd w:id="0"/>
      <w:r w:rsidR="0A0F2FF6" w:rsidRPr="597A5F95">
        <w:rPr>
          <w:rStyle w:val="CommentReference"/>
          <w:rFonts w:ascii="Calibri" w:eastAsia="Malgun Gothic" w:hAnsi="Calibri" w:cs="Calibri"/>
          <w:sz w:val="24"/>
          <w:szCs w:val="24"/>
          <w:lang w:eastAsia="ko-KR"/>
        </w:rPr>
        <w:commentReference w:id="0"/>
      </w:r>
      <w:r w:rsidRPr="63565B6F">
        <w:rPr>
          <w:rFonts w:ascii="Calibri" w:eastAsia="Malgun Gothic" w:hAnsi="Calibri" w:cs="Calibri"/>
          <w:lang w:eastAsia="ko-KR"/>
        </w:rPr>
        <w:t xml:space="preserve"> For outbreak response, benefits exceeded risks among adults aged 18-64 years across settings and protection mechanisms, but among adults aged ≥65 years depended on campaign timing and whether vaccination prevented infection</w:t>
      </w:r>
      <w:r w:rsidR="597A5F95" w:rsidRPr="597A5F95">
        <w:rPr>
          <w:rFonts w:ascii="Calibri" w:eastAsia="Malgun Gothic" w:hAnsi="Calibri" w:cs="Calibri"/>
          <w:lang w:eastAsia="ko-KR"/>
        </w:rPr>
        <w:t xml:space="preserve"> as well as chikungunya disease.</w:t>
      </w:r>
      <w:r w:rsidRPr="63565B6F">
        <w:rPr>
          <w:rFonts w:ascii="Calibri" w:eastAsia="Malgun Gothic" w:hAnsi="Calibri" w:cs="Calibri"/>
          <w:lang w:val="en-US" w:eastAsia="ko-KR"/>
        </w:rPr>
        <w:t xml:space="preserve"> </w:t>
      </w:r>
      <w:r w:rsidRPr="63565B6F">
        <w:rPr>
          <w:rFonts w:ascii="Calibri" w:eastAsia="Malgun Gothic" w:hAnsi="Calibri" w:cs="Calibri"/>
          <w:lang w:eastAsia="ko-KR"/>
        </w:rPr>
        <w:t xml:space="preserve">Our results demonstrate that time-varying exposure alters benefit-risk </w:t>
      </w:r>
      <w:r w:rsidR="597A5F95" w:rsidRPr="597A5F95">
        <w:rPr>
          <w:rFonts w:ascii="Calibri" w:eastAsia="Malgun Gothic" w:hAnsi="Calibri" w:cs="Calibri"/>
          <w:lang w:eastAsia="ko-KR"/>
        </w:rPr>
        <w:t xml:space="preserve">ratio </w:t>
      </w:r>
      <w:r w:rsidRPr="63565B6F">
        <w:rPr>
          <w:rFonts w:ascii="Calibri" w:eastAsia="Malgun Gothic" w:hAnsi="Calibri" w:cs="Calibri"/>
          <w:lang w:eastAsia="ko-KR"/>
        </w:rPr>
        <w:t>within the same epidemic and can inform age-specific travel recommendations and outbreak-response timing when efficacy and post-licensure safety remain uncertain.</w:t>
      </w:r>
    </w:p>
    <w:p w14:paraId="4BC3198A" w14:textId="77777777" w:rsidR="00AE3D7F" w:rsidRPr="00396148" w:rsidRDefault="00AE3D7F" w:rsidP="00AC5C2F">
      <w:pPr>
        <w:pStyle w:val="Heading2"/>
        <w:spacing w:line="276" w:lineRule="auto"/>
        <w:rPr>
          <w:rFonts w:ascii="Calibri" w:hAnsi="Calibri" w:cs="Calibri"/>
          <w:lang w:eastAsia="ko-KR"/>
        </w:rPr>
      </w:pPr>
      <w:r w:rsidRPr="00396148">
        <w:rPr>
          <w:rFonts w:ascii="Calibri" w:hAnsi="Calibri" w:cs="Calibri"/>
          <w:lang w:eastAsia="ko-KR"/>
        </w:rPr>
        <w:t>Introduction</w:t>
      </w:r>
    </w:p>
    <w:p w14:paraId="16B79F39" w14:textId="77777777" w:rsidR="00AE3D7F" w:rsidRPr="00B77161" w:rsidRDefault="00AE3D7F" w:rsidP="00CF6D3D">
      <w:pPr>
        <w:spacing w:line="276" w:lineRule="auto"/>
        <w:rPr>
          <w:rFonts w:ascii="Calibri" w:eastAsia="Malgun Gothic" w:hAnsi="Calibri" w:cs="Calibri"/>
        </w:rPr>
      </w:pPr>
      <w:r w:rsidRPr="00B77161">
        <w:rPr>
          <w:rFonts w:ascii="Calibri" w:eastAsia="Malgun Gothic" w:hAnsi="Calibri" w:cs="Calibri"/>
        </w:rPr>
        <w:t xml:space="preserve">Chikungunya virus (CHIKV) is transmitted by </w:t>
      </w:r>
      <w:r w:rsidRPr="00B77161">
        <w:rPr>
          <w:rFonts w:ascii="Calibri" w:eastAsia="Malgun Gothic" w:hAnsi="Calibri" w:cs="Calibri"/>
          <w:i/>
          <w:iCs/>
        </w:rPr>
        <w:t>Aedes aegypti</w:t>
      </w:r>
      <w:r w:rsidRPr="00B77161">
        <w:rPr>
          <w:rFonts w:ascii="Calibri" w:eastAsia="Malgun Gothic" w:hAnsi="Calibri" w:cs="Calibri"/>
        </w:rPr>
        <w:t xml:space="preserve"> and </w:t>
      </w:r>
      <w:r w:rsidRPr="00B77161">
        <w:rPr>
          <w:rFonts w:ascii="Calibri" w:eastAsia="Malgun Gothic" w:hAnsi="Calibri" w:cs="Calibri"/>
          <w:i/>
          <w:iCs/>
        </w:rPr>
        <w:t>Aedes albopictus</w:t>
      </w:r>
      <w:r w:rsidRPr="00B77161">
        <w:rPr>
          <w:rFonts w:ascii="Calibri" w:eastAsia="Malgun Gothic" w:hAnsi="Calibri" w:cs="Calibri"/>
        </w:rPr>
        <w:t xml:space="preserve"> mosquitoes and causes debilitating illness characterised by acute fever, myalgia, and severe joint pain</w:t>
      </w:r>
      <w:r w:rsidRPr="00B77161">
        <w:rPr>
          <w:rFonts w:ascii="Calibri" w:eastAsia="Malgun Gothic" w:hAnsi="Calibri" w:cs="Calibri" w:hint="eastAsia"/>
          <w:lang w:eastAsia="ko-KR"/>
        </w:rPr>
        <w:t xml:space="preserve"> </w:t>
      </w:r>
      <w:hyperlink r:id="rId13" w:history="1">
        <w:r>
          <w:rPr>
            <w:rFonts w:ascii="Aptos" w:eastAsia="Times New Roman" w:hAnsi="Aptos"/>
            <w:vertAlign w:val="superscript"/>
          </w:rPr>
          <w:t>1</w:t>
        </w:r>
      </w:hyperlink>
      <w:r w:rsidRPr="00B77161">
        <w:rPr>
          <w:rFonts w:ascii="Calibri" w:eastAsia="Malgun Gothic" w:hAnsi="Calibri" w:cs="Calibri"/>
        </w:rPr>
        <w:t>. A substantial proportion of symptomatic infections progress to chronic sequelae, most commonly persistent arthralgia or inflammatory arthritis, with more than half of symptomatic patients experiencing long-term sequelae</w:t>
      </w:r>
      <w:r w:rsidRPr="00B77161">
        <w:rPr>
          <w:rFonts w:eastAsia="Malgun Gothic" w:hint="eastAsia"/>
          <w:lang w:eastAsia="ko-KR"/>
        </w:rPr>
        <w:t xml:space="preserve"> </w:t>
      </w:r>
      <w:hyperlink r:id="rId14" w:history="1">
        <w:r>
          <w:rPr>
            <w:rFonts w:eastAsia="Times New Roman"/>
            <w:vertAlign w:val="superscript"/>
          </w:rPr>
          <w:t>2–4</w:t>
        </w:r>
      </w:hyperlink>
      <w:r w:rsidRPr="00B77161">
        <w:rPr>
          <w:rFonts w:ascii="Calibri" w:eastAsia="Malgun Gothic" w:hAnsi="Calibri" w:cs="Calibri"/>
        </w:rPr>
        <w:t>. Severe disease can also occur among neonates and children under five years old who are at increased risk of neurological complications</w:t>
      </w:r>
      <w:r w:rsidRPr="00B77161">
        <w:rPr>
          <w:rFonts w:eastAsia="Malgun Gothic" w:hint="eastAsia"/>
          <w:lang w:eastAsia="ko-KR"/>
        </w:rPr>
        <w:t xml:space="preserve"> </w:t>
      </w:r>
      <w:hyperlink r:id="rId15" w:history="1">
        <w:r>
          <w:rPr>
            <w:rFonts w:ascii="Calibri" w:eastAsia="Times New Roman" w:hAnsi="Calibri" w:cs="Calibri"/>
            <w:vertAlign w:val="superscript"/>
          </w:rPr>
          <w:t>5</w:t>
        </w:r>
      </w:hyperlink>
      <w:r w:rsidRPr="00B77161">
        <w:rPr>
          <w:rFonts w:ascii="Calibri" w:eastAsia="Malgun Gothic" w:hAnsi="Calibri" w:cs="Calibri"/>
        </w:rPr>
        <w:t xml:space="preserve">. </w:t>
      </w:r>
    </w:p>
    <w:p w14:paraId="1D640A40" w14:textId="6F57787D" w:rsidR="00AE3D7F" w:rsidRPr="00B77161" w:rsidRDefault="00AE3D7F" w:rsidP="00CF6D3D">
      <w:pPr>
        <w:spacing w:line="276" w:lineRule="auto"/>
        <w:rPr>
          <w:rFonts w:ascii="Calibri" w:eastAsia="Malgun Gothic" w:hAnsi="Calibri" w:cs="Calibri"/>
        </w:rPr>
      </w:pPr>
      <w:r w:rsidRPr="63565B6F">
        <w:rPr>
          <w:rFonts w:ascii="Calibri" w:eastAsia="Malgun Gothic" w:hAnsi="Calibri" w:cs="Calibri"/>
          <w:lang w:eastAsia="ko-KR"/>
        </w:rPr>
        <w:t xml:space="preserve">Two chikungunya vaccines have received regulatory authorisation: the live-attenuated vaccine </w:t>
      </w:r>
      <w:proofErr w:type="spellStart"/>
      <w:r w:rsidRPr="63565B6F">
        <w:rPr>
          <w:rFonts w:ascii="Calibri" w:eastAsia="Malgun Gothic" w:hAnsi="Calibri" w:cs="Calibri"/>
          <w:lang w:eastAsia="ko-KR"/>
        </w:rPr>
        <w:t>Ixchiq</w:t>
      </w:r>
      <w:proofErr w:type="spellEnd"/>
      <w:r w:rsidRPr="63565B6F">
        <w:rPr>
          <w:rFonts w:ascii="Calibri" w:eastAsia="Malgun Gothic" w:hAnsi="Calibri" w:cs="Calibri"/>
          <w:lang w:eastAsia="ko-KR"/>
        </w:rPr>
        <w:t xml:space="preserve"> and the virus</w:t>
      </w:r>
      <w:r w:rsidR="674894DB" w:rsidRPr="674894DB">
        <w:rPr>
          <w:rFonts w:ascii="Calibri" w:eastAsia="Malgun Gothic" w:hAnsi="Calibri" w:cs="Calibri"/>
          <w:lang w:eastAsia="ko-KR"/>
        </w:rPr>
        <w:t>-</w:t>
      </w:r>
      <w:r w:rsidRPr="63565B6F">
        <w:rPr>
          <w:rFonts w:ascii="Calibri" w:eastAsia="Malgun Gothic" w:hAnsi="Calibri" w:cs="Calibri"/>
          <w:lang w:eastAsia="ko-KR"/>
        </w:rPr>
        <w:t>like particle vaccine Vimkunya. Both were authorised through accelerated approval pathway that used immunogenicity surrogate endpoint rather than demonstrated clinical efficacy against chikungunya disease</w:t>
      </w:r>
      <w:r w:rsidR="006F798E">
        <w:rPr>
          <w:rFonts w:ascii="Calibri" w:eastAsia="Malgun Gothic" w:hAnsi="Calibri" w:cs="Calibri"/>
          <w:lang w:eastAsia="ko-KR"/>
        </w:rPr>
        <w:t xml:space="preserve"> </w:t>
      </w:r>
      <w:hyperlink r:id="rId16">
        <w:r w:rsidRPr="63565B6F">
          <w:rPr>
            <w:rFonts w:ascii="Calibri" w:eastAsia="Times New Roman" w:hAnsi="Calibri" w:cs="Calibri"/>
            <w:vertAlign w:val="superscript"/>
          </w:rPr>
          <w:t>6,7</w:t>
        </w:r>
      </w:hyperlink>
      <w:r w:rsidRPr="63565B6F">
        <w:rPr>
          <w:rFonts w:ascii="Calibri" w:eastAsia="Malgun Gothic" w:hAnsi="Calibri" w:cs="Calibri"/>
        </w:rPr>
        <w:t xml:space="preserve">. This pathway was supported by evidence that chikungunya virus-specific neutralising antibodies serve as an immune correlate of protection, derived from passive transfer studies in animal models and a prospective cohort study </w:t>
      </w:r>
      <w:hyperlink r:id="rId17">
        <w:r w:rsidRPr="63565B6F">
          <w:rPr>
            <w:rFonts w:ascii="Calibri" w:hAnsi="Calibri" w:cs="Calibri"/>
            <w:vertAlign w:val="superscript"/>
          </w:rPr>
          <w:t>8,9</w:t>
        </w:r>
      </w:hyperlink>
      <w:r w:rsidRPr="63565B6F">
        <w:rPr>
          <w:rFonts w:ascii="Calibri" w:eastAsia="Malgun Gothic" w:hAnsi="Calibri" w:cs="Calibri"/>
        </w:rPr>
        <w:t xml:space="preserve">. However, the relatively small size of pivotal Phase 3 trials (approximately 3,000 vaccinated individuals), smaller than traditional vaccine Phase 3 trials of 15,000 to 30,000 participants, has resulted in limited pre-licensure safety data with restricted ability to detect rare adverse events </w:t>
      </w:r>
      <w:hyperlink r:id="rId18">
        <w:r w:rsidRPr="63565B6F">
          <w:rPr>
            <w:rFonts w:ascii="Calibri" w:hAnsi="Calibri" w:cs="Calibri"/>
            <w:vertAlign w:val="superscript"/>
          </w:rPr>
          <w:t>10,11</w:t>
        </w:r>
      </w:hyperlink>
      <w:r w:rsidRPr="63565B6F">
        <w:rPr>
          <w:rFonts w:ascii="Calibri" w:eastAsia="Malgun Gothic" w:hAnsi="Calibri" w:cs="Calibri"/>
        </w:rPr>
        <w:t xml:space="preserve">. </w:t>
      </w:r>
    </w:p>
    <w:p w14:paraId="21EA0A1A" w14:textId="357F95EB" w:rsidR="00AE3D7F" w:rsidRPr="00B77161" w:rsidRDefault="00AE3D7F" w:rsidP="00CF6D3D">
      <w:pPr>
        <w:spacing w:line="276" w:lineRule="auto"/>
        <w:rPr>
          <w:rFonts w:ascii="Calibri" w:eastAsia="Malgun Gothic" w:hAnsi="Calibri" w:cs="Calibri"/>
          <w:lang w:eastAsia="ko-KR"/>
        </w:rPr>
      </w:pPr>
      <w:r w:rsidRPr="00B77161">
        <w:rPr>
          <w:rFonts w:ascii="Calibri" w:eastAsia="Malgun Gothic" w:hAnsi="Calibri" w:cs="Calibri"/>
        </w:rPr>
        <w:lastRenderedPageBreak/>
        <w:t xml:space="preserve">Since </w:t>
      </w:r>
      <w:proofErr w:type="spellStart"/>
      <w:r w:rsidRPr="00B77161">
        <w:rPr>
          <w:rFonts w:ascii="Calibri" w:eastAsia="Malgun Gothic" w:hAnsi="Calibri" w:cs="Calibri" w:hint="eastAsia"/>
          <w:lang w:eastAsia="ko-KR"/>
        </w:rPr>
        <w:t>Ixchiq</w:t>
      </w:r>
      <w:r w:rsidRPr="00B77161">
        <w:rPr>
          <w:rFonts w:ascii="Calibri" w:eastAsia="Malgun Gothic" w:hAnsi="Calibri" w:cs="Calibri"/>
          <w:lang w:eastAsia="ko-KR"/>
        </w:rPr>
        <w:t>’</w:t>
      </w:r>
      <w:r w:rsidRPr="00B77161">
        <w:rPr>
          <w:rFonts w:ascii="Calibri" w:eastAsia="Malgun Gothic" w:hAnsi="Calibri" w:cs="Calibri" w:hint="eastAsia"/>
          <w:lang w:eastAsia="ko-KR"/>
        </w:rPr>
        <w:t>s</w:t>
      </w:r>
      <w:proofErr w:type="spellEnd"/>
      <w:r w:rsidRPr="00B77161">
        <w:rPr>
          <w:rFonts w:ascii="Calibri" w:eastAsia="Malgun Gothic" w:hAnsi="Calibri" w:cs="Calibri"/>
        </w:rPr>
        <w:t xml:space="preserve"> first regulatory approval </w:t>
      </w:r>
      <w:r w:rsidRPr="00B77161">
        <w:rPr>
          <w:rFonts w:ascii="Calibri" w:eastAsia="Malgun Gothic" w:hAnsi="Calibri" w:cs="Calibri" w:hint="eastAsia"/>
          <w:lang w:eastAsia="ko-KR"/>
        </w:rPr>
        <w:t>in</w:t>
      </w:r>
      <w:r w:rsidRPr="00B77161">
        <w:rPr>
          <w:rFonts w:ascii="Calibri" w:eastAsia="Malgun Gothic" w:hAnsi="Calibri" w:cs="Calibri"/>
        </w:rPr>
        <w:t xml:space="preserve"> November 2023, post-licensure surveillance</w:t>
      </w:r>
      <w:r w:rsidRPr="00B77161">
        <w:rPr>
          <w:rFonts w:ascii="Calibri" w:eastAsia="Malgun Gothic" w:hAnsi="Calibri" w:cs="Calibri" w:hint="eastAsia"/>
          <w:lang w:eastAsia="ko-KR"/>
        </w:rPr>
        <w:t xml:space="preserve"> has</w:t>
      </w:r>
      <w:r w:rsidRPr="00B77161">
        <w:rPr>
          <w:rFonts w:ascii="Calibri" w:eastAsia="Malgun Gothic" w:hAnsi="Calibri" w:cs="Calibri"/>
        </w:rPr>
        <w:t xml:space="preserve"> identified </w:t>
      </w:r>
      <w:r w:rsidRPr="00B77161">
        <w:rPr>
          <w:rFonts w:ascii="Calibri" w:eastAsia="Malgun Gothic" w:hAnsi="Calibri" w:cs="Calibri" w:hint="eastAsia"/>
          <w:lang w:eastAsia="ko-KR"/>
        </w:rPr>
        <w:t xml:space="preserve">a safety signal of serious </w:t>
      </w:r>
      <w:r w:rsidRPr="00B77161">
        <w:rPr>
          <w:rFonts w:ascii="Calibri" w:eastAsia="Malgun Gothic" w:hAnsi="Calibri" w:cs="Calibri"/>
          <w:lang w:eastAsia="ko-KR"/>
        </w:rPr>
        <w:t>chikungunya</w:t>
      </w:r>
      <w:r w:rsidRPr="00B77161">
        <w:rPr>
          <w:rFonts w:ascii="Calibri" w:eastAsia="Malgun Gothic" w:hAnsi="Calibri" w:cs="Calibri" w:hint="eastAsia"/>
          <w:lang w:eastAsia="ko-KR"/>
        </w:rPr>
        <w:t>-like illness</w:t>
      </w:r>
      <w:r w:rsidRPr="00B77161">
        <w:rPr>
          <w:rFonts w:ascii="Calibri" w:eastAsia="Malgun Gothic" w:hAnsi="Calibri" w:cs="Calibri"/>
        </w:rPr>
        <w:t xml:space="preserve">, particularly </w:t>
      </w:r>
      <w:r w:rsidRPr="00B77161">
        <w:rPr>
          <w:rFonts w:ascii="Calibri" w:eastAsia="Malgun Gothic" w:hAnsi="Calibri" w:cs="Calibri" w:hint="eastAsia"/>
          <w:lang w:eastAsia="ko-KR"/>
        </w:rPr>
        <w:t>among</w:t>
      </w:r>
      <w:r w:rsidRPr="00B77161">
        <w:rPr>
          <w:rFonts w:ascii="Calibri" w:eastAsia="Malgun Gothic" w:hAnsi="Calibri" w:cs="Calibri"/>
        </w:rPr>
        <w:t xml:space="preserve"> older adults aged </w:t>
      </w:r>
      <w:r w:rsidRPr="00B77161">
        <w:rPr>
          <w:rFonts w:ascii="Calibri" w:hAnsi="Calibri" w:cs="Calibri"/>
        </w:rPr>
        <w:t xml:space="preserve">≥ </w:t>
      </w:r>
      <w:r w:rsidRPr="00B77161">
        <w:rPr>
          <w:rFonts w:ascii="Calibri" w:eastAsia="Malgun Gothic" w:hAnsi="Calibri" w:cs="Calibri"/>
        </w:rPr>
        <w:t>65 years. In</w:t>
      </w:r>
      <w:r w:rsidRPr="00B77161">
        <w:rPr>
          <w:rFonts w:ascii="Calibri" w:eastAsia="Malgun Gothic" w:hAnsi="Calibri" w:cs="Calibri" w:hint="eastAsia"/>
          <w:lang w:eastAsia="ko-KR"/>
        </w:rPr>
        <w:t xml:space="preserve"> the FDA review as of 15 August 2025, 32 unique serious adverse event (SAE) cases had been reported, of which 26 were assessed by FDA reviewers as clinically consistent with chikungunya-like illness</w:t>
      </w:r>
      <w:r w:rsidRPr="00B77161">
        <w:rPr>
          <w:rFonts w:ascii="Calibri" w:eastAsia="Malgun Gothic" w:hAnsi="Calibri" w:cs="Calibri"/>
          <w:lang w:eastAsia="ko-KR"/>
        </w:rPr>
        <w:t>, including six cases in individuals aged &lt;65 years</w:t>
      </w:r>
      <w:r w:rsidRPr="00B77161">
        <w:rPr>
          <w:rFonts w:ascii="Calibri" w:eastAsia="Malgun Gothic" w:hAnsi="Calibri" w:cs="Calibri" w:hint="eastAsia"/>
          <w:lang w:eastAsia="ko-KR"/>
        </w:rPr>
        <w:t xml:space="preserve">. Three deaths were reported, </w:t>
      </w:r>
      <w:r w:rsidR="007237D3">
        <w:rPr>
          <w:rFonts w:ascii="Calibri" w:eastAsia="Malgun Gothic" w:hAnsi="Calibri" w:cs="Calibri"/>
          <w:lang w:eastAsia="ko-KR"/>
        </w:rPr>
        <w:t>but</w:t>
      </w:r>
      <w:r w:rsidRPr="00B77161">
        <w:rPr>
          <w:rFonts w:ascii="Calibri" w:eastAsia="Malgun Gothic" w:hAnsi="Calibri" w:cs="Calibri" w:hint="eastAsia"/>
          <w:lang w:eastAsia="ko-KR"/>
        </w:rPr>
        <w:t xml:space="preserve"> one fatal case of vaccine-strain encephalitis </w:t>
      </w:r>
      <w:r w:rsidR="00047991">
        <w:rPr>
          <w:rFonts w:ascii="Calibri" w:eastAsia="Malgun Gothic" w:hAnsi="Calibri" w:cs="Calibri"/>
          <w:lang w:eastAsia="ko-KR"/>
        </w:rPr>
        <w:t xml:space="preserve">was </w:t>
      </w:r>
      <w:r w:rsidRPr="00B77161">
        <w:rPr>
          <w:rFonts w:ascii="Calibri" w:eastAsia="Malgun Gothic" w:hAnsi="Calibri" w:cs="Calibri" w:hint="eastAsia"/>
          <w:lang w:eastAsia="ko-KR"/>
        </w:rPr>
        <w:t xml:space="preserve">considered attributable to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with high certainty </w:t>
      </w:r>
      <w:hyperlink r:id="rId19" w:history="1">
        <w:r>
          <w:rPr>
            <w:rFonts w:ascii="Calibri" w:eastAsia="Times New Roman" w:hAnsi="Calibri" w:cs="Calibri"/>
            <w:vertAlign w:val="superscript"/>
          </w:rPr>
          <w:t>12</w:t>
        </w:r>
      </w:hyperlink>
      <w:r w:rsidRPr="00B77161">
        <w:rPr>
          <w:rFonts w:ascii="Calibri" w:eastAsia="Malgun Gothic" w:hAnsi="Calibri" w:cs="Calibri" w:hint="eastAsia"/>
          <w:lang w:eastAsia="ko-KR"/>
        </w:rPr>
        <w:t xml:space="preserve">. A subsequent global pharmacovigilance review through 31 August 2025 identified 35 SAEs among </w:t>
      </w:r>
      <w:r w:rsidRPr="00B77161">
        <w:rPr>
          <w:rFonts w:ascii="Calibri" w:eastAsia="Malgun Gothic" w:hAnsi="Calibri" w:cs="Calibri"/>
          <w:lang w:eastAsia="ko-KR"/>
        </w:rPr>
        <w:t>approximately</w:t>
      </w:r>
      <w:r w:rsidRPr="00B77161">
        <w:rPr>
          <w:rFonts w:ascii="Calibri" w:eastAsia="Malgun Gothic" w:hAnsi="Calibri" w:cs="Calibri" w:hint="eastAsia"/>
          <w:lang w:eastAsia="ko-KR"/>
        </w:rPr>
        <w:t xml:space="preserve"> 55,900 administered doses, </w:t>
      </w:r>
      <w:r w:rsidRPr="00B77161">
        <w:rPr>
          <w:rFonts w:ascii="Calibri" w:eastAsia="Malgun Gothic" w:hAnsi="Calibri" w:cs="Calibri"/>
          <w:lang w:eastAsia="ko-KR"/>
        </w:rPr>
        <w:t>using a broader SAE case set that was not restricted to events classified as chikungunya-like illness</w:t>
      </w:r>
      <w:r w:rsidRPr="00B77161">
        <w:rPr>
          <w:rFonts w:ascii="Calibri" w:eastAsia="Malgun Gothic" w:hAnsi="Calibri" w:cs="Calibri" w:hint="eastAsia"/>
          <w:lang w:eastAsia="ko-KR"/>
        </w:rPr>
        <w:t xml:space="preserve"> </w:t>
      </w:r>
      <w:hyperlink r:id="rId20" w:history="1">
        <w:r>
          <w:rPr>
            <w:rFonts w:ascii="Calibri" w:eastAsia="Times New Roman" w:hAnsi="Calibri" w:cs="Calibri"/>
            <w:vertAlign w:val="superscript"/>
          </w:rPr>
          <w:t>13</w:t>
        </w:r>
      </w:hyperlink>
      <w:r w:rsidRPr="00B77161">
        <w:rPr>
          <w:rFonts w:ascii="Calibri" w:eastAsia="Malgun Gothic" w:hAnsi="Calibri" w:cs="Calibri" w:hint="eastAsia"/>
          <w:lang w:eastAsia="ko-KR"/>
        </w:rPr>
        <w:t xml:space="preserve">. </w:t>
      </w:r>
    </w:p>
    <w:p w14:paraId="2A923A8C" w14:textId="09B65531" w:rsidR="00AE3D7F" w:rsidRPr="00B77161" w:rsidRDefault="00AE3D7F" w:rsidP="00CF6D3D">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These emerging safety signals have led to different </w:t>
      </w:r>
      <w:r w:rsidRPr="00B77161">
        <w:rPr>
          <w:rFonts w:ascii="Calibri" w:eastAsia="Malgun Gothic" w:hAnsi="Calibri" w:cs="Calibri"/>
          <w:lang w:eastAsia="ko-KR"/>
        </w:rPr>
        <w:t>regulatory</w:t>
      </w:r>
      <w:r w:rsidRPr="00B77161">
        <w:rPr>
          <w:rFonts w:ascii="Calibri" w:eastAsia="Malgun Gothic" w:hAnsi="Calibri" w:cs="Calibri" w:hint="eastAsia"/>
          <w:lang w:eastAsia="ko-KR"/>
        </w:rPr>
        <w:t xml:space="preserve"> responses across jurisdictions. In the United States, the FDA suspended the biologics license for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in August 2025, and its accelerated approval was subsequently withdrawn effective 29 January 2026 </w:t>
      </w:r>
      <w:hyperlink r:id="rId21">
        <w:r w:rsidR="7A990881" w:rsidRPr="7A990881">
          <w:rPr>
            <w:rFonts w:ascii="Calibri" w:eastAsia="Times New Roman" w:hAnsi="Calibri" w:cs="Calibri"/>
            <w:vertAlign w:val="superscript"/>
          </w:rPr>
          <w:t>12</w:t>
        </w:r>
      </w:hyperlink>
      <w:r w:rsidR="7A990881" w:rsidRPr="7A990881">
        <w:rPr>
          <w:rFonts w:ascii="Calibri" w:eastAsia="Malgun Gothic" w:hAnsi="Calibri" w:cs="Calibri"/>
          <w:lang w:eastAsia="ko-KR"/>
        </w:rPr>
        <w:t>.</w:t>
      </w:r>
      <w:r w:rsidRPr="00B77161">
        <w:rPr>
          <w:rFonts w:ascii="Calibri" w:eastAsia="Malgun Gothic" w:hAnsi="Calibri" w:cs="Calibri" w:hint="eastAsia"/>
          <w:lang w:eastAsia="ko-KR"/>
        </w:rPr>
        <w:t xml:space="preserve"> The manufacturer also discontinued US manufacture. In Europe,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remains </w:t>
      </w:r>
      <w:r w:rsidR="00D221C1" w:rsidRPr="00B77161">
        <w:rPr>
          <w:rFonts w:ascii="Calibri" w:eastAsia="Malgun Gothic" w:hAnsi="Calibri" w:cs="Calibri"/>
          <w:lang w:eastAsia="ko-KR"/>
        </w:rPr>
        <w:t>authorised</w:t>
      </w:r>
      <w:r w:rsidRPr="00B77161">
        <w:rPr>
          <w:rFonts w:ascii="Calibri" w:eastAsia="Malgun Gothic" w:hAnsi="Calibri" w:cs="Calibri" w:hint="eastAsia"/>
          <w:lang w:eastAsia="ko-KR"/>
        </w:rPr>
        <w:t xml:space="preserve">, but its indication was restricted to individuals aged 12 years and older who are at high risk of acquiring chikungunya infection, following consideration of the potential </w:t>
      </w:r>
      <w:r w:rsidRPr="00B77161">
        <w:rPr>
          <w:rFonts w:ascii="Calibri" w:eastAsia="Malgun Gothic" w:hAnsi="Calibri" w:cs="Calibri"/>
          <w:lang w:eastAsia="ko-KR"/>
        </w:rPr>
        <w:t>benefits</w:t>
      </w:r>
      <w:r w:rsidRPr="00B77161">
        <w:rPr>
          <w:rFonts w:ascii="Calibri" w:eastAsia="Malgun Gothic" w:hAnsi="Calibri" w:cs="Calibri" w:hint="eastAsia"/>
          <w:lang w:eastAsia="ko-KR"/>
        </w:rPr>
        <w:t xml:space="preserve"> and risks </w:t>
      </w:r>
      <w:hyperlink r:id="rId22">
        <w:r w:rsidR="7A990881" w:rsidRPr="7A990881">
          <w:rPr>
            <w:rFonts w:ascii="Calibri" w:eastAsia="Times New Roman" w:hAnsi="Calibri" w:cs="Calibri"/>
            <w:vertAlign w:val="superscript"/>
          </w:rPr>
          <w:t>14</w:t>
        </w:r>
      </w:hyperlink>
      <w:r w:rsidR="7A990881" w:rsidRPr="7A990881">
        <w:rPr>
          <w:rFonts w:ascii="Calibri" w:eastAsia="Malgun Gothic" w:hAnsi="Calibri" w:cs="Calibri"/>
          <w:lang w:eastAsia="ko-KR"/>
        </w:rPr>
        <w:t>.</w:t>
      </w:r>
      <w:r w:rsidRPr="00B77161">
        <w:rPr>
          <w:rFonts w:ascii="Calibri" w:eastAsia="Malgun Gothic" w:hAnsi="Calibri" w:cs="Calibri" w:hint="eastAsia"/>
          <w:lang w:eastAsia="ko-KR"/>
        </w:rPr>
        <w:t xml:space="preserve"> UK further restricted use to adults aged 18-59 years and contraindicated vaccination in individuals with hypertension, cardiovascular disease, diabetes mellitus or chronic </w:t>
      </w:r>
      <w:r w:rsidRPr="00B77161">
        <w:rPr>
          <w:rFonts w:ascii="Calibri" w:eastAsia="Malgun Gothic" w:hAnsi="Calibri" w:cs="Calibri"/>
          <w:lang w:eastAsia="ko-KR"/>
        </w:rPr>
        <w:t>kidney</w:t>
      </w:r>
      <w:r w:rsidRPr="00B77161">
        <w:rPr>
          <w:rFonts w:ascii="Calibri" w:eastAsia="Malgun Gothic" w:hAnsi="Calibri" w:cs="Calibri" w:hint="eastAsia"/>
          <w:lang w:eastAsia="ko-KR"/>
        </w:rPr>
        <w:t xml:space="preserve"> </w:t>
      </w:r>
      <w:r w:rsidR="00C41701" w:rsidRPr="00B77161">
        <w:rPr>
          <w:rFonts w:ascii="Calibri" w:eastAsia="Malgun Gothic" w:hAnsi="Calibri" w:cs="Calibri"/>
          <w:lang w:eastAsia="ko-KR"/>
        </w:rPr>
        <w:t>disease</w:t>
      </w:r>
      <w:r w:rsidRPr="00B77161">
        <w:rPr>
          <w:rFonts w:ascii="Calibri" w:eastAsia="Malgun Gothic" w:hAnsi="Calibri" w:cs="Calibri" w:hint="eastAsia"/>
          <w:lang w:eastAsia="ko-KR"/>
        </w:rPr>
        <w:t xml:space="preserve">, </w:t>
      </w:r>
      <w:r w:rsidR="00D82F39">
        <w:rPr>
          <w:rFonts w:ascii="Calibri" w:eastAsia="Malgun Gothic" w:hAnsi="Calibri" w:cs="Calibri"/>
          <w:lang w:eastAsia="ko-KR"/>
        </w:rPr>
        <w:t>and</w:t>
      </w:r>
      <w:r w:rsidRPr="00B77161">
        <w:rPr>
          <w:rFonts w:ascii="Calibri" w:eastAsia="Malgun Gothic" w:hAnsi="Calibri" w:cs="Calibri" w:hint="eastAsia"/>
          <w:lang w:eastAsia="ko-KR"/>
        </w:rPr>
        <w:t xml:space="preserve"> Canada recommends against its use in adults aged 65 years and older </w:t>
      </w:r>
      <w:hyperlink r:id="rId23">
        <w:r w:rsidR="7A990881" w:rsidRPr="7A990881">
          <w:rPr>
            <w:rFonts w:ascii="Calibri" w:eastAsia="Times New Roman" w:hAnsi="Calibri" w:cs="Calibri"/>
            <w:vertAlign w:val="superscript"/>
          </w:rPr>
          <w:t>15,16</w:t>
        </w:r>
      </w:hyperlink>
      <w:r w:rsidR="7A990881" w:rsidRPr="7A990881">
        <w:rPr>
          <w:rFonts w:ascii="Calibri" w:eastAsia="Malgun Gothic" w:hAnsi="Calibri" w:cs="Calibri"/>
          <w:lang w:eastAsia="ko-KR"/>
        </w:rPr>
        <w:t>.</w:t>
      </w:r>
      <w:r w:rsidRPr="00B77161">
        <w:rPr>
          <w:rFonts w:ascii="Calibri" w:eastAsia="Malgun Gothic" w:hAnsi="Calibri" w:cs="Calibri" w:hint="eastAsia"/>
          <w:lang w:eastAsia="ko-KR"/>
        </w:rPr>
        <w:t xml:space="preserve"> In Brazil,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is indicated for adults aged 18-59 years at increased risk of exposure and i</w:t>
      </w:r>
      <w:r w:rsidRPr="00B77161">
        <w:rPr>
          <w:rFonts w:ascii="Calibri" w:eastAsia="Malgun Gothic" w:hAnsi="Calibri" w:cs="Calibri"/>
        </w:rPr>
        <w:t xml:space="preserve">nitiated </w:t>
      </w:r>
      <w:r w:rsidR="1BE8F588" w:rsidRPr="1BE8F588">
        <w:rPr>
          <w:rFonts w:ascii="Calibri" w:eastAsia="Malgun Gothic" w:hAnsi="Calibri" w:cs="Calibri"/>
        </w:rPr>
        <w:t>in 2026</w:t>
      </w:r>
      <w:r w:rsidR="7A990881" w:rsidRPr="7A990881">
        <w:rPr>
          <w:rFonts w:ascii="Calibri" w:eastAsia="Malgun Gothic" w:hAnsi="Calibri" w:cs="Calibri"/>
        </w:rPr>
        <w:t xml:space="preserve"> </w:t>
      </w:r>
      <w:r w:rsidRPr="00B77161">
        <w:rPr>
          <w:rFonts w:ascii="Calibri" w:eastAsia="Malgun Gothic" w:hAnsi="Calibri" w:cs="Calibri"/>
        </w:rPr>
        <w:t xml:space="preserve">a large-scale pilot vaccination targeting 500,000 adults aged 18-59 years across 10 municipalities, with the aim of generating post-marketing vaccine safety and real-world vaccine effectiveness data </w:t>
      </w:r>
      <w:hyperlink r:id="rId24">
        <w:r>
          <w:rPr>
            <w:rFonts w:ascii="Calibri" w:hAnsi="Calibri" w:cs="Calibri"/>
            <w:vertAlign w:val="superscript"/>
          </w:rPr>
          <w:t>17</w:t>
        </w:r>
      </w:hyperlink>
      <w:r w:rsidRPr="00B77161">
        <w:rPr>
          <w:rFonts w:ascii="Calibri" w:eastAsia="Malgun Gothic" w:hAnsi="Calibri" w:cs="Calibri"/>
        </w:rPr>
        <w:t>.</w:t>
      </w:r>
    </w:p>
    <w:p w14:paraId="46DCE20E" w14:textId="77777777" w:rsidR="00AE3D7F" w:rsidRPr="00B77161" w:rsidRDefault="00AE3D7F" w:rsidP="00CF6D3D">
      <w:pPr>
        <w:spacing w:line="276" w:lineRule="auto"/>
        <w:rPr>
          <w:rFonts w:ascii="Calibri" w:eastAsia="Malgun Gothic" w:hAnsi="Calibri" w:cs="Calibri"/>
          <w:lang w:eastAsia="ko-KR"/>
        </w:rPr>
      </w:pPr>
      <w:r w:rsidRPr="00B77161">
        <w:rPr>
          <w:rFonts w:ascii="Calibri" w:eastAsia="Malgun Gothic" w:hAnsi="Calibri" w:cs="Calibri"/>
        </w:rPr>
        <w:t xml:space="preserve">Benefit-risk assessment of </w:t>
      </w:r>
      <w:proofErr w:type="spellStart"/>
      <w:r w:rsidRPr="00B77161">
        <w:rPr>
          <w:rFonts w:ascii="Calibri" w:eastAsia="Malgun Gothic" w:hAnsi="Calibri" w:cs="Calibri"/>
        </w:rPr>
        <w:t>Ixchiq</w:t>
      </w:r>
      <w:proofErr w:type="spellEnd"/>
      <w:r w:rsidRPr="00B77161">
        <w:rPr>
          <w:rFonts w:ascii="Calibri" w:eastAsia="Malgun Gothic" w:hAnsi="Calibri" w:cs="Calibri"/>
        </w:rPr>
        <w:t xml:space="preserve"> is</w:t>
      </w:r>
      <w:r w:rsidRPr="00B77161">
        <w:rPr>
          <w:rFonts w:ascii="Calibri" w:eastAsia="Malgun Gothic" w:hAnsi="Calibri" w:cs="Calibri" w:hint="eastAsia"/>
          <w:lang w:eastAsia="ko-KR"/>
        </w:rPr>
        <w:t xml:space="preserve"> therefore complicated not only by variation in infection exposure, but also by uncertainty in the magnitude and causal interpretation of post-licensure safety signals</w:t>
      </w:r>
      <w:r w:rsidRPr="00B77161">
        <w:rPr>
          <w:rFonts w:ascii="Calibri" w:eastAsia="Malgun Gothic" w:hAnsi="Calibri" w:cs="Calibri"/>
        </w:rPr>
        <w:t>. For travellers, exposure to CHIKV is time</w:t>
      </w:r>
      <w:r w:rsidRPr="00B77161">
        <w:rPr>
          <w:rFonts w:ascii="Cambria Math" w:eastAsia="Malgun Gothic" w:hAnsi="Cambria Math" w:cs="Cambria Math"/>
        </w:rPr>
        <w:t xml:space="preserve"> </w:t>
      </w:r>
      <w:r w:rsidRPr="00B77161">
        <w:rPr>
          <w:rFonts w:ascii="Calibri" w:eastAsia="Malgun Gothic" w:hAnsi="Calibri" w:cs="Calibri"/>
        </w:rPr>
        <w:t>limited and infection risk may be low or uncertain</w:t>
      </w:r>
      <w:r w:rsidRPr="00B77161">
        <w:rPr>
          <w:rFonts w:ascii="Calibri" w:eastAsia="Malgun Gothic" w:hAnsi="Calibri" w:cs="Calibri" w:hint="eastAsia"/>
          <w:lang w:eastAsia="ko-KR"/>
        </w:rPr>
        <w:t>,</w:t>
      </w:r>
      <w:r w:rsidRPr="00B77161">
        <w:rPr>
          <w:rFonts w:ascii="Calibri" w:eastAsia="Malgun Gothic" w:hAnsi="Calibri" w:cs="Calibri"/>
        </w:rPr>
        <w:t xml:space="preserve"> </w:t>
      </w:r>
      <w:r w:rsidRPr="00B77161">
        <w:rPr>
          <w:rFonts w:ascii="Calibri" w:eastAsia="Malgun Gothic" w:hAnsi="Calibri" w:cs="Calibri" w:hint="eastAsia"/>
          <w:lang w:eastAsia="ko-KR"/>
        </w:rPr>
        <w:t>whereas serious chikungunya-like illness following vaccination</w:t>
      </w:r>
      <w:r w:rsidRPr="00B77161">
        <w:rPr>
          <w:rFonts w:ascii="Calibri" w:eastAsia="Malgun Gothic" w:hAnsi="Calibri" w:cs="Calibri"/>
        </w:rPr>
        <w:t xml:space="preserve"> can occur within weeks of vaccination </w:t>
      </w:r>
      <w:hyperlink r:id="rId25">
        <w:r>
          <w:rPr>
            <w:rFonts w:ascii="Calibri" w:hAnsi="Calibri" w:cs="Calibri"/>
            <w:vertAlign w:val="superscript"/>
          </w:rPr>
          <w:t>18</w:t>
        </w:r>
      </w:hyperlink>
      <w:r w:rsidRPr="00B77161">
        <w:rPr>
          <w:rFonts w:ascii="Calibri" w:eastAsia="Malgun Gothic" w:hAnsi="Calibri" w:cs="Calibri"/>
        </w:rPr>
        <w:t xml:space="preserve">. For outbreak response immunisation, uncertainty </w:t>
      </w:r>
      <w:r w:rsidRPr="00B77161">
        <w:rPr>
          <w:rFonts w:ascii="Calibri" w:eastAsia="Malgun Gothic" w:hAnsi="Calibri" w:cs="Calibri" w:hint="eastAsia"/>
          <w:lang w:eastAsia="ko-KR"/>
        </w:rPr>
        <w:t>in</w:t>
      </w:r>
      <w:r w:rsidRPr="00B77161">
        <w:rPr>
          <w:rFonts w:ascii="Calibri" w:eastAsia="Malgun Gothic" w:hAnsi="Calibri" w:cs="Calibri"/>
        </w:rPr>
        <w:t xml:space="preserve"> attack rates</w:t>
      </w:r>
      <w:r w:rsidRPr="00B77161">
        <w:rPr>
          <w:rFonts w:ascii="Calibri" w:eastAsia="Malgun Gothic" w:hAnsi="Calibri" w:cs="Calibri" w:hint="eastAsia"/>
          <w:lang w:eastAsia="ko-KR"/>
        </w:rPr>
        <w:t xml:space="preserve"> and </w:t>
      </w:r>
      <w:r w:rsidRPr="00B77161">
        <w:rPr>
          <w:rFonts w:ascii="Calibri" w:eastAsia="Malgun Gothic" w:hAnsi="Calibri" w:cs="Calibri"/>
        </w:rPr>
        <w:t>population immunity</w:t>
      </w:r>
      <w:r w:rsidRPr="00B77161">
        <w:rPr>
          <w:rFonts w:ascii="Calibri" w:eastAsia="Malgun Gothic" w:hAnsi="Calibri" w:cs="Calibri" w:hint="eastAsia"/>
          <w:lang w:eastAsia="ko-KR"/>
        </w:rPr>
        <w:t xml:space="preserve"> is compounded by uncertainty over whether vaccine-associated risk varies by age, comorbidity, or pre-existing CHIKV immunity</w:t>
      </w:r>
      <w:r w:rsidRPr="00B77161">
        <w:rPr>
          <w:rFonts w:ascii="Calibri" w:eastAsia="Malgun Gothic" w:hAnsi="Calibri" w:cs="Calibri"/>
        </w:rPr>
        <w:t xml:space="preserve"> </w:t>
      </w:r>
      <w:hyperlink r:id="rId26">
        <w:r>
          <w:rPr>
            <w:rFonts w:ascii="Calibri" w:hAnsi="Calibri" w:cs="Calibri"/>
            <w:vertAlign w:val="superscript"/>
          </w:rPr>
          <w:t>19</w:t>
        </w:r>
      </w:hyperlink>
      <w:r w:rsidRPr="00B77161">
        <w:rPr>
          <w:rFonts w:ascii="Calibri" w:eastAsia="Malgun Gothic" w:hAnsi="Calibri" w:cs="Calibri"/>
        </w:rPr>
        <w:t xml:space="preserve">. </w:t>
      </w:r>
    </w:p>
    <w:p w14:paraId="22D8FAB8" w14:textId="7810DE1E" w:rsidR="00AE3D7F" w:rsidRPr="00B77161" w:rsidRDefault="00AE3D7F" w:rsidP="00CF6D3D">
      <w:pPr>
        <w:spacing w:line="276" w:lineRule="auto"/>
        <w:rPr>
          <w:rFonts w:ascii="Calibri" w:eastAsia="Malgun Gothic" w:hAnsi="Calibri" w:cs="Calibri"/>
          <w:lang w:eastAsia="ko-KR"/>
        </w:rPr>
      </w:pPr>
      <w:r w:rsidRPr="00B77161">
        <w:rPr>
          <w:rFonts w:ascii="Calibri" w:eastAsia="Malgun Gothic" w:hAnsi="Calibri" w:cs="Calibri"/>
        </w:rPr>
        <w:t xml:space="preserve">Modelling studies have evaluated the health impact of chikungunya vaccination strategies in endemic and epidemic settings, including national-level analyses and global burden assessments </w:t>
      </w:r>
      <w:hyperlink r:id="rId27">
        <w:r w:rsidR="4FCD259B" w:rsidRPr="4FCD259B">
          <w:rPr>
            <w:rFonts w:ascii="Calibri" w:hAnsi="Calibri" w:cs="Calibri"/>
            <w:vertAlign w:val="superscript"/>
          </w:rPr>
          <w:t>19–23</w:t>
        </w:r>
      </w:hyperlink>
      <w:r w:rsidR="4FCD259B" w:rsidRPr="4FCD259B">
        <w:rPr>
          <w:rFonts w:ascii="Calibri" w:eastAsia="Malgun Gothic" w:hAnsi="Calibri" w:cs="Calibri"/>
        </w:rPr>
        <w:t>.</w:t>
      </w:r>
      <w:r w:rsidRPr="00B77161">
        <w:rPr>
          <w:rFonts w:ascii="Calibri" w:eastAsia="Malgun Gothic" w:hAnsi="Calibri" w:cs="Calibri"/>
        </w:rPr>
        <w:t xml:space="preserve"> Due to limited evidence on post-licensure surveillance and safety events at the time of these analyses, age-specific vaccine safety data were excluded in these models. </w:t>
      </w:r>
      <w:r w:rsidRPr="00B77161">
        <w:rPr>
          <w:rFonts w:ascii="Calibri" w:eastAsia="Malgun Gothic" w:hAnsi="Calibri" w:cs="Calibri" w:hint="eastAsia"/>
          <w:lang w:eastAsia="ko-KR"/>
        </w:rPr>
        <w:t xml:space="preserve">More recently, </w:t>
      </w:r>
      <w:r w:rsidRPr="00B77161">
        <w:rPr>
          <w:rFonts w:ascii="Calibri" w:eastAsia="Malgun Gothic" w:hAnsi="Calibri" w:cs="Calibri"/>
        </w:rPr>
        <w:t>Cracknell Daniels et al</w:t>
      </w:r>
      <w:r w:rsidRPr="00B77161">
        <w:rPr>
          <w:rFonts w:ascii="Calibri" w:eastAsia="Malgun Gothic" w:hAnsi="Calibri" w:cs="Calibri" w:hint="eastAsia"/>
        </w:rPr>
        <w:t>.</w:t>
      </w:r>
      <w:r w:rsidRPr="00B77161">
        <w:rPr>
          <w:rFonts w:ascii="Calibri" w:eastAsia="Malgun Gothic" w:hAnsi="Calibri" w:cs="Calibri"/>
        </w:rPr>
        <w:t xml:space="preserve"> </w:t>
      </w:r>
      <w:r w:rsidRPr="00B77161">
        <w:rPr>
          <w:rFonts w:ascii="Calibri" w:eastAsia="Malgun Gothic" w:hAnsi="Calibri" w:cs="Calibri" w:hint="eastAsia"/>
          <w:lang w:eastAsia="ko-KR"/>
        </w:rPr>
        <w:t xml:space="preserve">developed a </w:t>
      </w:r>
      <w:r w:rsidRPr="00B77161">
        <w:rPr>
          <w:rFonts w:ascii="Calibri" w:eastAsia="Malgun Gothic" w:hAnsi="Calibri" w:cs="Calibri" w:hint="eastAsia"/>
          <w:lang w:eastAsia="ko-KR"/>
        </w:rPr>
        <w:lastRenderedPageBreak/>
        <w:t xml:space="preserve">generalised framework for assessing the benefit-risk profile of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across traveller, endemic, and epidemic scenarios using cumulative infection risk </w:t>
      </w:r>
      <w:hyperlink r:id="rId28">
        <w:r>
          <w:rPr>
            <w:rFonts w:ascii="Calibri" w:hAnsi="Calibri" w:cs="Calibri"/>
            <w:vertAlign w:val="superscript"/>
          </w:rPr>
          <w:t>24</w:t>
        </w:r>
      </w:hyperlink>
      <w:r w:rsidRPr="00B77161">
        <w:rPr>
          <w:rFonts w:ascii="Calibri" w:eastAsia="Malgun Gothic" w:hAnsi="Calibri" w:cs="Calibri"/>
        </w:rPr>
        <w:t>.</w:t>
      </w:r>
      <w:r w:rsidRPr="00B77161">
        <w:rPr>
          <w:rFonts w:ascii="Calibri" w:eastAsia="Malgun Gothic" w:hAnsi="Calibri" w:cs="Calibri" w:hint="eastAsia"/>
          <w:lang w:eastAsia="ko-KR"/>
        </w:rPr>
        <w:t xml:space="preserve"> However, static cumulative risk scenarios</w:t>
      </w:r>
      <w:r w:rsidR="4FCD259B" w:rsidRPr="4FCD259B">
        <w:rPr>
          <w:rFonts w:ascii="Calibri" w:eastAsia="Malgun Gothic" w:hAnsi="Calibri" w:cs="Calibri"/>
          <w:lang w:eastAsia="ko-KR"/>
        </w:rPr>
        <w:t xml:space="preserve"> used in the study</w:t>
      </w:r>
      <w:r w:rsidRPr="00B77161">
        <w:rPr>
          <w:rFonts w:ascii="Calibri" w:eastAsia="Malgun Gothic" w:hAnsi="Calibri" w:cs="Calibri" w:hint="eastAsia"/>
          <w:lang w:eastAsia="ko-KR"/>
        </w:rPr>
        <w:t xml:space="preserve"> do not account for how the infection risk relevant to a vaccination decision changes over the course of an epidemic or across a finite period of </w:t>
      </w:r>
      <w:r w:rsidRPr="00B77161">
        <w:rPr>
          <w:rFonts w:ascii="Calibri" w:eastAsia="Malgun Gothic" w:hAnsi="Calibri" w:cs="Calibri"/>
          <w:lang w:eastAsia="ko-KR"/>
        </w:rPr>
        <w:t>exposure</w:t>
      </w:r>
      <w:r w:rsidRPr="00B77161">
        <w:rPr>
          <w:rFonts w:ascii="Calibri" w:eastAsia="Malgun Gothic" w:hAnsi="Calibri" w:cs="Calibri" w:hint="eastAsia"/>
          <w:lang w:eastAsia="ko-KR"/>
        </w:rPr>
        <w:t xml:space="preserve">. Our study therefore developed a dynamic benefit-risk framework that evaluates infection risk over the decision relevant window, including cumulative infection risk during travel and epidemic risk </w:t>
      </w:r>
      <w:r w:rsidRPr="00B77161">
        <w:rPr>
          <w:rFonts w:ascii="Calibri" w:eastAsia="Malgun Gothic" w:hAnsi="Calibri" w:cs="Calibri"/>
          <w:lang w:eastAsia="ko-KR"/>
        </w:rPr>
        <w:t>remaining</w:t>
      </w:r>
      <w:r w:rsidRPr="00B77161">
        <w:rPr>
          <w:rFonts w:ascii="Calibri" w:eastAsia="Malgun Gothic" w:hAnsi="Calibri" w:cs="Calibri" w:hint="eastAsia"/>
          <w:lang w:eastAsia="ko-KR"/>
        </w:rPr>
        <w:t xml:space="preserve"> after outbreak response campaign initiation. </w:t>
      </w:r>
    </w:p>
    <w:p w14:paraId="79173131" w14:textId="77777777" w:rsidR="00AE3D7F" w:rsidRPr="00B77161" w:rsidRDefault="00AE3D7F" w:rsidP="00CF6D3D">
      <w:pPr>
        <w:spacing w:line="276" w:lineRule="auto"/>
        <w:rPr>
          <w:rFonts w:ascii="Calibri" w:eastAsia="Malgun Gothic" w:hAnsi="Calibri" w:cs="Calibri"/>
        </w:rPr>
      </w:pPr>
      <w:r w:rsidRPr="00B77161">
        <w:rPr>
          <w:rFonts w:ascii="Calibri" w:eastAsia="Calibri" w:hAnsi="Calibri" w:cs="Calibri"/>
        </w:rPr>
        <w:t xml:space="preserve">The regulatory developments and post-licensure safety concerns necessitate benefit-risk assessment of </w:t>
      </w:r>
      <w:proofErr w:type="spellStart"/>
      <w:r w:rsidRPr="00B77161">
        <w:rPr>
          <w:rFonts w:ascii="Calibri" w:eastAsia="Calibri" w:hAnsi="Calibri" w:cs="Calibri"/>
        </w:rPr>
        <w:t>Ixchiq</w:t>
      </w:r>
      <w:proofErr w:type="spellEnd"/>
      <w:r w:rsidRPr="00B77161">
        <w:rPr>
          <w:rFonts w:ascii="Calibri" w:eastAsia="Calibri" w:hAnsi="Calibri" w:cs="Calibri"/>
        </w:rPr>
        <w:t xml:space="preserve"> vaccination to better inform use-case scenarios for travel vaccination and </w:t>
      </w:r>
      <w:r w:rsidRPr="00B77161">
        <w:rPr>
          <w:rFonts w:ascii="Calibri" w:eastAsia="Malgun Gothic" w:hAnsi="Calibri" w:cs="Calibri"/>
        </w:rPr>
        <w:t>outbreak response immunisation</w:t>
      </w:r>
      <w:r w:rsidRPr="00B77161">
        <w:rPr>
          <w:rFonts w:ascii="Calibri" w:eastAsia="Calibri" w:hAnsi="Calibri" w:cs="Calibri"/>
        </w:rPr>
        <w:t xml:space="preserve">. </w:t>
      </w:r>
      <w:r w:rsidRPr="00B77161">
        <w:rPr>
          <w:rFonts w:ascii="Calibri" w:eastAsia="Malgun Gothic" w:hAnsi="Calibri" w:cs="Calibri"/>
        </w:rPr>
        <w:t xml:space="preserve">To address this evidence gap, we developed a benefit-risk model to assess the benefits and risks of </w:t>
      </w:r>
      <w:proofErr w:type="spellStart"/>
      <w:r w:rsidRPr="00B77161">
        <w:rPr>
          <w:rFonts w:ascii="Calibri" w:eastAsia="Malgun Gothic" w:hAnsi="Calibri" w:cs="Calibri"/>
        </w:rPr>
        <w:t>Ixchiq</w:t>
      </w:r>
      <w:proofErr w:type="spellEnd"/>
      <w:r w:rsidRPr="00B77161">
        <w:rPr>
          <w:rFonts w:ascii="Calibri" w:eastAsia="Malgun Gothic" w:hAnsi="Calibri" w:cs="Calibri"/>
        </w:rPr>
        <w:t xml:space="preserve"> for travel vaccination and outbreak response immunisation across two age groups (18-64, and ≥65 years old) using chikungunya surveillance data from Brazil and post-licensure vaccine safety data collected from vaccine recipients globally. </w:t>
      </w:r>
    </w:p>
    <w:p w14:paraId="09C72887" w14:textId="77777777" w:rsidR="00AE3D7F" w:rsidRPr="00396148" w:rsidRDefault="00AE3D7F" w:rsidP="00AC5C2F">
      <w:pPr>
        <w:pStyle w:val="Heading2"/>
        <w:spacing w:line="276" w:lineRule="auto"/>
        <w:rPr>
          <w:rFonts w:ascii="Calibri" w:hAnsi="Calibri" w:cs="Calibri"/>
          <w:lang w:eastAsia="ko-KR"/>
        </w:rPr>
      </w:pPr>
      <w:commentRangeStart w:id="1"/>
      <w:r w:rsidRPr="00396148">
        <w:rPr>
          <w:rFonts w:ascii="Calibri" w:hAnsi="Calibri" w:cs="Calibri"/>
          <w:lang w:eastAsia="ko-KR"/>
        </w:rPr>
        <w:t>Results</w:t>
      </w:r>
    </w:p>
    <w:p w14:paraId="386A831C" w14:textId="77777777" w:rsidR="00AE3D7F" w:rsidRPr="00B77161" w:rsidRDefault="00AE3D7F" w:rsidP="00433059">
      <w:pPr>
        <w:pStyle w:val="Heading2"/>
        <w:spacing w:line="276" w:lineRule="auto"/>
        <w:rPr>
          <w:rFonts w:ascii="Calibri" w:eastAsia="Malgun Gothic" w:hAnsi="Calibri" w:cs="Calibri"/>
          <w:sz w:val="24"/>
          <w:szCs w:val="24"/>
          <w:lang w:eastAsia="ko-KR"/>
        </w:rPr>
      </w:pPr>
      <w:r w:rsidRPr="00B77161">
        <w:rPr>
          <w:rFonts w:ascii="Calibri" w:hAnsi="Calibri" w:cs="Calibri"/>
          <w:sz w:val="24"/>
          <w:szCs w:val="24"/>
          <w:lang w:eastAsia="ko-KR"/>
        </w:rPr>
        <w:t>Reconstructed chikungunya outbreaks</w:t>
      </w:r>
    </w:p>
    <w:p w14:paraId="69348842" w14:textId="62A82663" w:rsidR="00AE3D7F" w:rsidRPr="00B77161" w:rsidRDefault="0050455B" w:rsidP="003D3FEE">
      <w:pPr>
        <w:rPr>
          <w:rFonts w:eastAsia="Malgun Gothic" w:hint="eastAsia"/>
          <w:lang w:eastAsia="ko-KR"/>
        </w:rPr>
      </w:pPr>
      <w:r w:rsidRPr="0050455B">
        <w:rPr>
          <w:rFonts w:ascii="Calibri" w:eastAsia="Malgun Gothic" w:hAnsi="Calibri" w:cs="Calibri"/>
          <w:lang w:eastAsia="ko-KR"/>
        </w:rPr>
        <w:t>To reconstruct chikungunya outbreak dynamics in Brazil, we analy</w:t>
      </w:r>
      <w:r>
        <w:rPr>
          <w:rFonts w:ascii="Calibri" w:eastAsia="Malgun Gothic" w:hAnsi="Calibri" w:cs="Calibri" w:hint="eastAsia"/>
          <w:lang w:eastAsia="ko-KR"/>
        </w:rPr>
        <w:t>s</w:t>
      </w:r>
      <w:r w:rsidRPr="0050455B">
        <w:rPr>
          <w:rFonts w:ascii="Calibri" w:eastAsia="Malgun Gothic" w:hAnsi="Calibri" w:cs="Calibri"/>
          <w:lang w:eastAsia="ko-KR"/>
        </w:rPr>
        <w:t>ed 2022 surveillance data from 11 federative units</w:t>
      </w:r>
      <w:r w:rsidR="00215A3C">
        <w:rPr>
          <w:rFonts w:ascii="Calibri" w:eastAsia="Malgun Gothic" w:hAnsi="Calibri" w:cs="Calibri" w:hint="eastAsia"/>
          <w:lang w:eastAsia="ko-KR"/>
        </w:rPr>
        <w:t xml:space="preserve"> (hereby, states)</w:t>
      </w:r>
      <w:r w:rsidRPr="0050455B">
        <w:rPr>
          <w:rFonts w:ascii="Calibri" w:eastAsia="Malgun Gothic" w:hAnsi="Calibri" w:cs="Calibri"/>
          <w:lang w:eastAsia="ko-KR"/>
        </w:rPr>
        <w:t xml:space="preserve"> that met our predefined epidemic threshold criteria (total cases ≥500 and peak symptomatic incidence ≥20 per million</w:t>
      </w:r>
      <w:r w:rsidR="00592452">
        <w:rPr>
          <w:rFonts w:ascii="Calibri" w:eastAsia="Malgun Gothic" w:hAnsi="Calibri" w:cs="Calibri" w:hint="eastAsia"/>
          <w:lang w:eastAsia="ko-KR"/>
        </w:rPr>
        <w:t>;</w:t>
      </w:r>
      <w:r>
        <w:rPr>
          <w:rFonts w:ascii="Calibri" w:eastAsia="Malgun Gothic" w:hAnsi="Calibri" w:cs="Calibri" w:hint="eastAsia"/>
          <w:lang w:eastAsia="ko-KR"/>
        </w:rPr>
        <w:t xml:space="preserve"> see Methods</w:t>
      </w:r>
      <w:r w:rsidRPr="0050455B">
        <w:rPr>
          <w:rFonts w:ascii="Calibri" w:eastAsia="Malgun Gothic" w:hAnsi="Calibri" w:cs="Calibri"/>
          <w:lang w:eastAsia="ko-KR"/>
        </w:rPr>
        <w:t>).</w:t>
      </w:r>
      <w:r>
        <w:rPr>
          <w:rFonts w:ascii="Calibri" w:eastAsia="Malgun Gothic" w:hAnsi="Calibri" w:cs="Calibri" w:hint="eastAsia"/>
          <w:lang w:eastAsia="ko-KR"/>
        </w:rPr>
        <w:t xml:space="preserve"> </w:t>
      </w:r>
      <w:r w:rsidR="00AE3D7F" w:rsidRPr="00B77161">
        <w:rPr>
          <w:rFonts w:ascii="Calibri" w:eastAsia="Malgun Gothic" w:hAnsi="Calibri" w:cs="Calibri" w:hint="eastAsia"/>
          <w:lang w:eastAsia="ko-KR"/>
        </w:rPr>
        <w:t xml:space="preserve">Across the included 11 Brazilian states, reconstructed 2022 chikungunya outbreaks varied substantially in both peak epidemic intensity and cumulative infection burden (Extended Figure 1). Peak weekly reported symptomatic case rates ranged from 29 to 398 cases per million. </w:t>
      </w:r>
      <w:commentRangeEnd w:id="1"/>
      <w:r w:rsidR="00AE3D7F" w:rsidRPr="00B77161">
        <w:rPr>
          <w:rStyle w:val="CommentReference"/>
          <w:rFonts w:ascii="Calibri" w:eastAsia="Malgun Gothic" w:hAnsi="Calibri" w:cs="Calibri"/>
          <w:sz w:val="24"/>
          <w:szCs w:val="24"/>
          <w:lang w:eastAsia="ko-KR"/>
        </w:rPr>
        <w:commentReference w:id="1"/>
      </w:r>
      <w:r w:rsidR="00AE3D7F" w:rsidRPr="00B77161">
        <w:rPr>
          <w:rFonts w:ascii="Calibri" w:eastAsia="Malgun Gothic" w:hAnsi="Calibri" w:cs="Calibri"/>
          <w:lang w:eastAsia="ko-KR"/>
        </w:rPr>
        <w:t xml:space="preserve">Predicted </w:t>
      </w:r>
      <w:r w:rsidR="00215A3C">
        <w:rPr>
          <w:rFonts w:ascii="Calibri" w:eastAsia="Malgun Gothic" w:hAnsi="Calibri" w:cs="Calibri" w:hint="eastAsia"/>
          <w:lang w:eastAsia="ko-KR"/>
        </w:rPr>
        <w:t>detection probabilities</w:t>
      </w:r>
      <w:r w:rsidR="00AE3D7F" w:rsidRPr="00B77161">
        <w:rPr>
          <w:rFonts w:ascii="Calibri" w:eastAsia="Malgun Gothic" w:hAnsi="Calibri" w:cs="Calibri"/>
          <w:lang w:eastAsia="ko-KR"/>
        </w:rPr>
        <w:t xml:space="preserve"> ranged from 10.3% to 14.5%</w:t>
      </w:r>
      <w:r w:rsidR="00AE3D7F" w:rsidRPr="00B77161">
        <w:rPr>
          <w:rFonts w:ascii="Calibri" w:eastAsia="Malgun Gothic" w:hAnsi="Calibri" w:cs="Calibri" w:hint="eastAsia"/>
          <w:lang w:eastAsia="ko-KR"/>
        </w:rPr>
        <w:t xml:space="preserve"> across the states</w:t>
      </w:r>
      <w:r w:rsidR="00AE3D7F" w:rsidRPr="00B77161">
        <w:rPr>
          <w:rFonts w:ascii="Calibri" w:eastAsia="Malgun Gothic" w:hAnsi="Calibri" w:cs="Calibri"/>
          <w:lang w:eastAsia="ko-KR"/>
        </w:rPr>
        <w:t>.</w:t>
      </w:r>
      <w:r w:rsidR="00AE3D7F" w:rsidRPr="00B77161">
        <w:rPr>
          <w:rFonts w:ascii="Calibri" w:eastAsia="Malgun Gothic" w:hAnsi="Calibri" w:cs="Calibri" w:hint="eastAsia"/>
          <w:lang w:eastAsia="ko-KR"/>
        </w:rPr>
        <w:t xml:space="preserve"> After accounting for reporting, posterior </w:t>
      </w:r>
      <w:r w:rsidR="00AE3D7F" w:rsidRPr="00B77161">
        <w:rPr>
          <w:rFonts w:ascii="Calibri" w:eastAsia="Malgun Gothic" w:hAnsi="Calibri" w:cs="Calibri"/>
          <w:lang w:eastAsia="ko-KR"/>
        </w:rPr>
        <w:t>cumulative</w:t>
      </w:r>
      <w:r w:rsidR="00AE3D7F" w:rsidRPr="00B77161">
        <w:rPr>
          <w:rFonts w:ascii="Calibri" w:eastAsia="Malgun Gothic" w:hAnsi="Calibri" w:cs="Calibri" w:hint="eastAsia"/>
          <w:lang w:eastAsia="ko-KR"/>
        </w:rPr>
        <w:t xml:space="preserve"> infection attack rates </w:t>
      </w:r>
      <w:r w:rsidR="00AE3D7F" w:rsidRPr="00B8530F">
        <w:rPr>
          <w:rFonts w:ascii="Calibri" w:eastAsia="Malgun Gothic" w:hAnsi="Calibri" w:cs="Calibri" w:hint="eastAsia"/>
          <w:color w:val="000000" w:themeColor="text1"/>
          <w:lang w:eastAsia="ko-KR"/>
        </w:rPr>
        <w:t xml:space="preserve">increased with transmission </w:t>
      </w:r>
      <w:r w:rsidR="75411C0C" w:rsidRPr="00B8530F">
        <w:rPr>
          <w:rFonts w:ascii="Calibri" w:eastAsia="Malgun Gothic" w:hAnsi="Calibri" w:cs="Calibri"/>
          <w:color w:val="000000" w:themeColor="text1"/>
          <w:lang w:eastAsia="ko-KR"/>
        </w:rPr>
        <w:t>intensity</w:t>
      </w:r>
      <w:r w:rsidR="00AE3D7F" w:rsidRPr="00B77161">
        <w:rPr>
          <w:rFonts w:ascii="Calibri" w:eastAsia="Malgun Gothic" w:hAnsi="Calibri" w:cs="Calibri" w:hint="eastAsia"/>
          <w:lang w:eastAsia="ko-KR"/>
        </w:rPr>
        <w:t xml:space="preserve">, ranging from </w:t>
      </w:r>
      <w:r w:rsidR="00AE3D7F" w:rsidRPr="00B77161">
        <w:rPr>
          <w:rFonts w:ascii="Calibri" w:eastAsia="Malgun Gothic" w:hAnsi="Calibri" w:cs="Calibri"/>
          <w:lang w:eastAsia="ko-KR"/>
        </w:rPr>
        <w:t>0.5</w:t>
      </w:r>
      <w:r w:rsidR="00AE3D7F" w:rsidRPr="00B77161">
        <w:rPr>
          <w:rFonts w:ascii="Calibri" w:eastAsia="Malgun Gothic" w:hAnsi="Calibri" w:cs="Calibri" w:hint="eastAsia"/>
          <w:lang w:eastAsia="ko-KR"/>
        </w:rPr>
        <w:t>%</w:t>
      </w:r>
      <w:r w:rsidR="00AE3D7F" w:rsidRPr="00B77161">
        <w:rPr>
          <w:rFonts w:ascii="Calibri" w:eastAsia="Malgun Gothic" w:hAnsi="Calibri" w:cs="Calibri"/>
          <w:lang w:eastAsia="ko-KR"/>
        </w:rPr>
        <w:t xml:space="preserve"> (0.4–0.7)</w:t>
      </w:r>
      <w:r w:rsidR="00AE3D7F" w:rsidRPr="00B77161">
        <w:rPr>
          <w:rFonts w:ascii="Calibri" w:eastAsia="Malgun Gothic" w:hAnsi="Calibri" w:cs="Calibri" w:hint="eastAsia"/>
          <w:lang w:eastAsia="ko-KR"/>
        </w:rPr>
        <w:t xml:space="preserve"> to </w:t>
      </w:r>
      <w:r w:rsidR="00AE3D7F" w:rsidRPr="00B77161">
        <w:rPr>
          <w:rFonts w:ascii="Calibri" w:eastAsia="Malgun Gothic" w:hAnsi="Calibri" w:cs="Calibri"/>
          <w:lang w:eastAsia="ko-KR"/>
        </w:rPr>
        <w:t>2.0</w:t>
      </w:r>
      <w:r w:rsidR="00AE3D7F" w:rsidRPr="00B77161">
        <w:rPr>
          <w:rFonts w:ascii="Calibri" w:eastAsia="Malgun Gothic" w:hAnsi="Calibri" w:cs="Calibri" w:hint="eastAsia"/>
          <w:lang w:eastAsia="ko-KR"/>
        </w:rPr>
        <w:t>%</w:t>
      </w:r>
      <w:r w:rsidR="00AE3D7F" w:rsidRPr="00B77161">
        <w:rPr>
          <w:rFonts w:ascii="Calibri" w:eastAsia="Malgun Gothic" w:hAnsi="Calibri" w:cs="Calibri"/>
          <w:lang w:eastAsia="ko-KR"/>
        </w:rPr>
        <w:t xml:space="preserve"> (1.4–3.1)</w:t>
      </w:r>
      <w:r w:rsidR="00AE3D7F" w:rsidRPr="00B77161">
        <w:rPr>
          <w:rFonts w:ascii="Calibri" w:eastAsia="Malgun Gothic" w:hAnsi="Calibri" w:cs="Calibri" w:hint="eastAsia"/>
          <w:lang w:eastAsia="ko-KR"/>
        </w:rPr>
        <w:t xml:space="preserve"> in low</w:t>
      </w:r>
      <w:r w:rsidR="75C2F75C" w:rsidRPr="75C2F75C">
        <w:rPr>
          <w:rFonts w:ascii="Calibri" w:eastAsia="Malgun Gothic" w:hAnsi="Calibri" w:cs="Calibri"/>
          <w:lang w:eastAsia="ko-KR"/>
        </w:rPr>
        <w:t>-</w:t>
      </w:r>
      <w:r w:rsidR="00AE3D7F" w:rsidRPr="00B77161">
        <w:rPr>
          <w:rFonts w:ascii="Calibri" w:eastAsia="Malgun Gothic" w:hAnsi="Calibri" w:cs="Calibri" w:hint="eastAsia"/>
          <w:lang w:eastAsia="ko-KR"/>
        </w:rPr>
        <w:t xml:space="preserve">transmission states and </w:t>
      </w:r>
      <w:r w:rsidR="00AE3D7F" w:rsidRPr="00B77161">
        <w:rPr>
          <w:rFonts w:ascii="Calibri" w:eastAsia="Malgun Gothic" w:hAnsi="Calibri" w:cs="Calibri"/>
          <w:lang w:eastAsia="ko-KR"/>
        </w:rPr>
        <w:t>1.6</w:t>
      </w:r>
      <w:r w:rsidR="00AE3D7F" w:rsidRPr="00B77161">
        <w:rPr>
          <w:rFonts w:ascii="Calibri" w:eastAsia="Malgun Gothic" w:hAnsi="Calibri" w:cs="Calibri" w:hint="eastAsia"/>
          <w:lang w:eastAsia="ko-KR"/>
        </w:rPr>
        <w:t>%</w:t>
      </w:r>
      <w:r w:rsidR="00AE3D7F" w:rsidRPr="00B77161">
        <w:rPr>
          <w:rFonts w:ascii="Calibri" w:eastAsia="Malgun Gothic" w:hAnsi="Calibri" w:cs="Calibri"/>
          <w:lang w:eastAsia="ko-KR"/>
        </w:rPr>
        <w:t xml:space="preserve"> (1.1–2.5)</w:t>
      </w:r>
      <w:r w:rsidR="00AE3D7F" w:rsidRPr="00B77161">
        <w:rPr>
          <w:rFonts w:ascii="Calibri" w:eastAsia="Malgun Gothic" w:hAnsi="Calibri" w:cs="Calibri" w:hint="eastAsia"/>
          <w:lang w:eastAsia="ko-KR"/>
        </w:rPr>
        <w:t xml:space="preserve"> to </w:t>
      </w:r>
      <w:r w:rsidR="00AE3D7F" w:rsidRPr="00B77161">
        <w:rPr>
          <w:rFonts w:ascii="Calibri" w:eastAsia="Malgun Gothic" w:hAnsi="Calibri" w:cs="Calibri"/>
          <w:lang w:eastAsia="ko-KR"/>
        </w:rPr>
        <w:t>2.4</w:t>
      </w:r>
      <w:r w:rsidR="00AE3D7F" w:rsidRPr="00B77161">
        <w:rPr>
          <w:rFonts w:ascii="Calibri" w:eastAsia="Malgun Gothic" w:hAnsi="Calibri" w:cs="Calibri" w:hint="eastAsia"/>
          <w:lang w:eastAsia="ko-KR"/>
        </w:rPr>
        <w:t>%</w:t>
      </w:r>
      <w:r w:rsidR="00AE3D7F" w:rsidRPr="00B77161">
        <w:rPr>
          <w:rFonts w:ascii="Calibri" w:eastAsia="Malgun Gothic" w:hAnsi="Calibri" w:cs="Calibri"/>
          <w:lang w:eastAsia="ko-KR"/>
        </w:rPr>
        <w:t xml:space="preserve"> (1.6–3.6)</w:t>
      </w:r>
      <w:r w:rsidR="00AE3D7F" w:rsidRPr="00B77161">
        <w:rPr>
          <w:rFonts w:ascii="Calibri" w:eastAsia="Malgun Gothic" w:hAnsi="Calibri" w:cs="Calibri" w:hint="eastAsia"/>
          <w:lang w:eastAsia="ko-KR"/>
        </w:rPr>
        <w:t xml:space="preserve"> in moderate</w:t>
      </w:r>
      <w:r w:rsidR="75C2F75C" w:rsidRPr="75C2F75C">
        <w:rPr>
          <w:rFonts w:ascii="Calibri" w:eastAsia="Malgun Gothic" w:hAnsi="Calibri" w:cs="Calibri"/>
          <w:lang w:eastAsia="ko-KR"/>
        </w:rPr>
        <w:t>-</w:t>
      </w:r>
      <w:r w:rsidR="00AE3D7F" w:rsidRPr="00B77161">
        <w:rPr>
          <w:rFonts w:ascii="Calibri" w:eastAsia="Malgun Gothic" w:hAnsi="Calibri" w:cs="Calibri" w:hint="eastAsia"/>
          <w:lang w:eastAsia="ko-KR"/>
        </w:rPr>
        <w:t xml:space="preserve">transmission state, and </w:t>
      </w:r>
      <w:r w:rsidR="00AE3D7F" w:rsidRPr="00B77161">
        <w:rPr>
          <w:rFonts w:ascii="Calibri" w:eastAsia="Malgun Gothic" w:hAnsi="Calibri" w:cs="Calibri"/>
          <w:lang w:eastAsia="ko-KR"/>
        </w:rPr>
        <w:t>3.3 (2.2–5.1)</w:t>
      </w:r>
      <w:r w:rsidR="00AE3D7F" w:rsidRPr="00B77161">
        <w:rPr>
          <w:rFonts w:ascii="Calibri" w:eastAsia="Malgun Gothic" w:hAnsi="Calibri" w:cs="Calibri" w:hint="eastAsia"/>
          <w:lang w:eastAsia="ko-KR"/>
        </w:rPr>
        <w:t xml:space="preserve"> to </w:t>
      </w:r>
      <w:r w:rsidR="00AE3D7F" w:rsidRPr="00B77161">
        <w:rPr>
          <w:rFonts w:ascii="Calibri" w:eastAsia="Malgun Gothic" w:hAnsi="Calibri" w:cs="Calibri"/>
          <w:lang w:eastAsia="ko-KR"/>
        </w:rPr>
        <w:t>6.5 (4.4–10.3)</w:t>
      </w:r>
      <w:r w:rsidR="00AE3D7F" w:rsidRPr="00B77161">
        <w:rPr>
          <w:rFonts w:ascii="Calibri" w:eastAsia="Malgun Gothic" w:hAnsi="Calibri" w:cs="Calibri" w:hint="eastAsia"/>
          <w:lang w:eastAsia="ko-KR"/>
        </w:rPr>
        <w:t xml:space="preserve"> in high</w:t>
      </w:r>
      <w:r w:rsidR="75C2F75C" w:rsidRPr="75C2F75C">
        <w:rPr>
          <w:rFonts w:ascii="Calibri" w:eastAsia="Malgun Gothic" w:hAnsi="Calibri" w:cs="Calibri"/>
          <w:lang w:eastAsia="ko-KR"/>
        </w:rPr>
        <w:t>-</w:t>
      </w:r>
      <w:r w:rsidR="00AE3D7F" w:rsidRPr="00B77161">
        <w:rPr>
          <w:rFonts w:ascii="Calibri" w:eastAsia="Malgun Gothic" w:hAnsi="Calibri" w:cs="Calibri"/>
          <w:lang w:eastAsia="ko-KR"/>
        </w:rPr>
        <w:t>transmission</w:t>
      </w:r>
      <w:r w:rsidR="00AE3D7F" w:rsidRPr="00B77161">
        <w:rPr>
          <w:rFonts w:ascii="Calibri" w:eastAsia="Malgun Gothic" w:hAnsi="Calibri" w:cs="Calibri" w:hint="eastAsia"/>
          <w:lang w:eastAsia="ko-KR"/>
        </w:rPr>
        <w:t xml:space="preserve"> </w:t>
      </w:r>
      <w:r w:rsidR="00AE3D7F" w:rsidRPr="00B77161">
        <w:rPr>
          <w:rFonts w:ascii="Calibri" w:eastAsia="Malgun Gothic" w:hAnsi="Calibri" w:cs="Calibri"/>
          <w:lang w:eastAsia="ko-KR"/>
        </w:rPr>
        <w:t>states</w:t>
      </w:r>
      <w:r w:rsidR="00AE3D7F" w:rsidRPr="00B77161">
        <w:rPr>
          <w:rFonts w:ascii="Calibri" w:eastAsia="Malgun Gothic" w:hAnsi="Calibri" w:cs="Calibri" w:hint="eastAsia"/>
          <w:lang w:eastAsia="ko-KR"/>
        </w:rPr>
        <w:t xml:space="preserve">. </w:t>
      </w:r>
      <w:r w:rsidR="00AE3D7F" w:rsidRPr="00B77161">
        <w:rPr>
          <w:rFonts w:ascii="Calibri" w:eastAsia="Malgun Gothic" w:hAnsi="Calibri" w:cs="Calibri"/>
          <w:lang w:eastAsia="ko-KR"/>
        </w:rPr>
        <w:t>The lowest reconstructed attack rate was observed in Goiás (0.5% [95% UI 0.4–0.7]), whereas Ceará had both the highest attack rate (6.5% [4.4–10.3]) and peak weekly case rate (398 cases per million)</w:t>
      </w:r>
      <w:r w:rsidR="00AE3D7F" w:rsidRPr="00B77161">
        <w:rPr>
          <w:rFonts w:ascii="Calibri" w:eastAsia="Malgun Gothic" w:hAnsi="Calibri" w:cs="Calibri" w:hint="eastAsia"/>
          <w:lang w:eastAsia="ko-KR"/>
        </w:rPr>
        <w:t xml:space="preserve"> (</w:t>
      </w:r>
      <w:r w:rsidR="00AE3D7F" w:rsidRPr="00F103F1">
        <w:rPr>
          <w:rFonts w:ascii="Calibri" w:eastAsia="Malgun Gothic" w:hAnsi="Calibri" w:cs="Calibri"/>
          <w:lang w:eastAsia="ko-KR"/>
        </w:rPr>
        <w:t xml:space="preserve">Extended Figure </w:t>
      </w:r>
      <w:r w:rsidR="00AE3D7F" w:rsidRPr="00F103F1">
        <w:rPr>
          <w:rFonts w:ascii="Calibri" w:eastAsia="Malgun Gothic" w:hAnsi="Calibri" w:cs="Calibri" w:hint="eastAsia"/>
          <w:lang w:eastAsia="ko-KR"/>
        </w:rPr>
        <w:t>2</w:t>
      </w:r>
      <w:r w:rsidR="00AE3D7F" w:rsidRPr="00B77161">
        <w:rPr>
          <w:rFonts w:ascii="Calibri" w:eastAsia="Malgun Gothic" w:hAnsi="Calibri" w:cs="Calibri" w:hint="eastAsia"/>
          <w:lang w:eastAsia="ko-KR"/>
        </w:rPr>
        <w:t>)</w:t>
      </w:r>
      <w:r w:rsidR="00AE3D7F" w:rsidRPr="00B77161">
        <w:rPr>
          <w:rFonts w:ascii="Calibri" w:eastAsia="Malgun Gothic" w:hAnsi="Calibri" w:cs="Calibri"/>
          <w:lang w:eastAsia="ko-KR"/>
        </w:rPr>
        <w:t>.</w:t>
      </w:r>
      <w:r w:rsidR="00AE3D7F" w:rsidRPr="00B77161">
        <w:rPr>
          <w:rFonts w:ascii="Calibri" w:eastAsia="Malgun Gothic" w:hAnsi="Calibri" w:cs="Calibri" w:hint="eastAsia"/>
          <w:lang w:eastAsia="ko-KR"/>
        </w:rPr>
        <w:t xml:space="preserve"> </w:t>
      </w:r>
      <w:r w:rsidR="00AE3D7F" w:rsidRPr="00B77161">
        <w:rPr>
          <w:rFonts w:ascii="Calibri" w:eastAsia="Malgun Gothic" w:hAnsi="Calibri" w:cs="Calibri"/>
          <w:lang w:eastAsia="ko-KR"/>
        </w:rPr>
        <w:t xml:space="preserve">These </w:t>
      </w:r>
      <w:r w:rsidR="00AE3D7F" w:rsidRPr="00B77161">
        <w:rPr>
          <w:rFonts w:ascii="Calibri" w:eastAsia="Malgun Gothic" w:hAnsi="Calibri" w:cs="Calibri" w:hint="eastAsia"/>
          <w:lang w:eastAsia="ko-KR"/>
        </w:rPr>
        <w:t xml:space="preserve">empirically defined transmission settings provided the time-varying epidemic trajectories used to quantify travel-associated infection risk and the epidemic infection risk remaining at outbreak response campaign initiation. </w:t>
      </w:r>
    </w:p>
    <w:p w14:paraId="1F5C49EF" w14:textId="77777777" w:rsidR="00AE3D7F" w:rsidRPr="00B77161" w:rsidRDefault="00AE3D7F" w:rsidP="00433059">
      <w:pPr>
        <w:pStyle w:val="Heading2"/>
        <w:spacing w:line="276" w:lineRule="auto"/>
        <w:rPr>
          <w:rFonts w:ascii="Calibri" w:eastAsia="Malgun Gothic" w:hAnsi="Calibri" w:cs="Calibri"/>
          <w:sz w:val="24"/>
          <w:szCs w:val="24"/>
          <w:lang w:eastAsia="ko-KR"/>
        </w:rPr>
      </w:pPr>
      <w:r w:rsidRPr="00B77161">
        <w:rPr>
          <w:rFonts w:ascii="Calibri" w:eastAsia="Malgun Gothic" w:hAnsi="Calibri" w:cs="Calibri" w:hint="eastAsia"/>
          <w:sz w:val="24"/>
          <w:szCs w:val="24"/>
          <w:lang w:eastAsia="ko-KR"/>
        </w:rPr>
        <w:lastRenderedPageBreak/>
        <w:t>Travel vaccination</w:t>
      </w:r>
    </w:p>
    <w:p w14:paraId="328D1644" w14:textId="77777777" w:rsidR="00AE3D7F" w:rsidRPr="00B77161" w:rsidRDefault="00AE3D7F" w:rsidP="00EA1B1A">
      <w:pPr>
        <w:rPr>
          <w:rFonts w:ascii="Calibri" w:eastAsia="Malgun Gothic" w:hAnsi="Calibri" w:cs="Calibri"/>
          <w:lang w:eastAsia="ko-KR"/>
        </w:rPr>
      </w:pPr>
      <w:r w:rsidRPr="00B77161">
        <w:rPr>
          <w:rFonts w:ascii="Calibri" w:eastAsia="Malgun Gothic" w:hAnsi="Calibri" w:cs="Calibri"/>
          <w:lang w:eastAsia="ko-KR"/>
        </w:rPr>
        <w:t xml:space="preserve">Travel-associated infection risk </w:t>
      </w:r>
      <w:r w:rsidRPr="00B77161">
        <w:rPr>
          <w:rFonts w:ascii="Calibri" w:eastAsia="Malgun Gothic" w:hAnsi="Calibri" w:cs="Calibri" w:hint="eastAsia"/>
          <w:lang w:eastAsia="ko-KR"/>
        </w:rPr>
        <w:t xml:space="preserve">varied jointly with travel </w:t>
      </w:r>
      <w:r w:rsidRPr="00B77161">
        <w:rPr>
          <w:rFonts w:ascii="Calibri" w:eastAsia="Malgun Gothic" w:hAnsi="Calibri" w:cs="Calibri"/>
          <w:lang w:eastAsia="ko-KR"/>
        </w:rPr>
        <w:t>duration</w:t>
      </w:r>
      <w:r w:rsidRPr="00B77161">
        <w:rPr>
          <w:rFonts w:ascii="Calibri" w:eastAsia="Malgun Gothic" w:hAnsi="Calibri" w:cs="Calibri" w:hint="eastAsia"/>
          <w:lang w:eastAsia="ko-KR"/>
        </w:rPr>
        <w:t xml:space="preserve">, entry timing and epidemic intensity, and was highest when travel overlapped with the epidemic peak. In high transmission settings, the </w:t>
      </w:r>
      <w:r w:rsidRPr="00B77161">
        <w:rPr>
          <w:rFonts w:ascii="Calibri" w:eastAsia="Malgun Gothic" w:hAnsi="Calibri" w:cs="Calibri"/>
          <w:lang w:eastAsia="ko-KR"/>
        </w:rPr>
        <w:t>maximum</w:t>
      </w:r>
      <w:r w:rsidRPr="00B77161">
        <w:rPr>
          <w:rFonts w:ascii="Calibri" w:eastAsia="Malgun Gothic" w:hAnsi="Calibri" w:cs="Calibri" w:hint="eastAsia"/>
          <w:lang w:eastAsia="ko-KR"/>
        </w:rPr>
        <w:t xml:space="preserve"> cumulative infection </w:t>
      </w:r>
      <w:r w:rsidRPr="00B77161">
        <w:rPr>
          <w:rFonts w:ascii="Calibri" w:eastAsia="Malgun Gothic" w:hAnsi="Calibri" w:cs="Calibri"/>
          <w:lang w:eastAsia="ko-KR"/>
        </w:rPr>
        <w:t>risk</w:t>
      </w:r>
      <w:r w:rsidRPr="00B77161">
        <w:rPr>
          <w:rFonts w:ascii="Calibri" w:eastAsia="Malgun Gothic" w:hAnsi="Calibri" w:cs="Calibri" w:hint="eastAsia"/>
          <w:lang w:eastAsia="ko-KR"/>
        </w:rPr>
        <w:t xml:space="preserve"> increased from </w:t>
      </w:r>
      <w:r w:rsidRPr="00B77161">
        <w:rPr>
          <w:rFonts w:ascii="Calibri" w:eastAsia="Malgun Gothic" w:hAnsi="Calibri" w:cs="Calibri"/>
          <w:lang w:eastAsia="ko-KR"/>
        </w:rPr>
        <w:t>0.3%</w:t>
      </w:r>
      <w:r w:rsidRPr="00B77161">
        <w:rPr>
          <w:rFonts w:ascii="Calibri" w:eastAsia="Malgun Gothic" w:hAnsi="Calibri" w:cs="Calibri" w:hint="eastAsia"/>
          <w:lang w:eastAsia="ko-KR"/>
        </w:rPr>
        <w:t xml:space="preserve"> (95%UI: 0.1-0.6) for </w:t>
      </w:r>
      <w:r w:rsidRPr="00B77161">
        <w:rPr>
          <w:rFonts w:ascii="Calibri" w:eastAsia="Malgun Gothic" w:hAnsi="Calibri" w:cs="Calibri"/>
          <w:lang w:eastAsia="ko-KR"/>
        </w:rPr>
        <w:t xml:space="preserve">a 7-day trip </w:t>
      </w:r>
      <w:r w:rsidRPr="00B77161">
        <w:rPr>
          <w:rFonts w:ascii="Calibri" w:eastAsia="Malgun Gothic" w:hAnsi="Calibri" w:cs="Calibri" w:hint="eastAsia"/>
          <w:lang w:eastAsia="ko-KR"/>
        </w:rPr>
        <w:t>to 2.6</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(0.9-5.7)</w:t>
      </w:r>
      <w:r w:rsidRPr="00B77161">
        <w:rPr>
          <w:rFonts w:ascii="Calibri" w:eastAsia="Malgun Gothic" w:hAnsi="Calibri" w:cs="Calibri"/>
          <w:lang w:eastAsia="ko-KR"/>
        </w:rPr>
        <w:t xml:space="preserve"> for a </w:t>
      </w:r>
      <w:r w:rsidRPr="00B77161">
        <w:rPr>
          <w:rFonts w:ascii="Calibri" w:eastAsia="Malgun Gothic" w:hAnsi="Calibri" w:cs="Calibri" w:hint="eastAsia"/>
          <w:lang w:eastAsia="ko-KR"/>
        </w:rPr>
        <w:t>9</w:t>
      </w:r>
      <w:r w:rsidRPr="00B77161">
        <w:rPr>
          <w:rFonts w:ascii="Calibri" w:eastAsia="Malgun Gothic" w:hAnsi="Calibri" w:cs="Calibri"/>
          <w:lang w:eastAsia="ko-KR"/>
        </w:rPr>
        <w:t xml:space="preserve">0-day trip overlapping </w:t>
      </w:r>
      <w:r w:rsidRPr="00B77161">
        <w:rPr>
          <w:rFonts w:ascii="Calibri" w:eastAsia="Malgun Gothic" w:hAnsi="Calibri" w:cs="Calibri" w:hint="eastAsia"/>
          <w:lang w:eastAsia="ko-KR"/>
        </w:rPr>
        <w:t>peak transmission (</w:t>
      </w:r>
      <w:r w:rsidRPr="004B2D00">
        <w:rPr>
          <w:rFonts w:ascii="Calibri" w:eastAsia="Malgun Gothic" w:hAnsi="Calibri" w:cs="Calibri"/>
          <w:lang w:eastAsia="ko-KR"/>
        </w:rPr>
        <w:t>Figure 1A</w:t>
      </w:r>
      <w:r w:rsidRPr="004B2D00">
        <w:rPr>
          <w:rFonts w:ascii="Calibri" w:eastAsia="Malgun Gothic" w:hAnsi="Calibri" w:cs="Calibri" w:hint="eastAsia"/>
          <w:lang w:eastAsia="ko-KR"/>
        </w:rPr>
        <w:t>).</w:t>
      </w:r>
    </w:p>
    <w:p w14:paraId="699BEA45" w14:textId="77777777" w:rsidR="00AE3D7F" w:rsidRPr="00B77161" w:rsidRDefault="00AE3D7F" w:rsidP="00EA1B1A">
      <w:pPr>
        <w:rPr>
          <w:rFonts w:ascii="Calibri" w:eastAsia="Malgun Gothic" w:hAnsi="Calibri" w:cs="Calibri"/>
          <w:lang w:eastAsia="ko-KR"/>
        </w:rPr>
      </w:pPr>
      <w:r w:rsidRPr="00B77161">
        <w:rPr>
          <w:rFonts w:ascii="Calibri" w:eastAsia="Malgun Gothic" w:hAnsi="Calibri" w:cs="Calibri"/>
          <w:lang w:eastAsia="ko-KR"/>
        </w:rPr>
        <w:t>Across transmission settings, the probability that vaccination benefits exceeded vaccine-associated risks increased with cumulative infection risk during travel, with a marked difference between age groups. Among adults aged 18–64 years, this probability reached 100% within the observed range of cumulative infection risk across all transmission settings. By contrast, among adults aged ≥65 years, it did not reach 100% even at the highest cumulative infection risks observed in high-transmission settings (</w:t>
      </w:r>
      <w:r w:rsidRPr="004B2D00">
        <w:rPr>
          <w:rFonts w:ascii="Calibri" w:eastAsia="Malgun Gothic" w:hAnsi="Calibri" w:cs="Calibri"/>
          <w:lang w:eastAsia="ko-KR"/>
        </w:rPr>
        <w:t>Figure 1B</w:t>
      </w:r>
      <w:r w:rsidRPr="00B77161">
        <w:rPr>
          <w:rFonts w:ascii="Calibri" w:eastAsia="Malgun Gothic" w:hAnsi="Calibri" w:cs="Calibri"/>
          <w:lang w:eastAsia="ko-KR"/>
        </w:rPr>
        <w:t>).</w:t>
      </w:r>
    </w:p>
    <w:p w14:paraId="1D77426B" w14:textId="565949F2" w:rsidR="00AE3D7F" w:rsidRPr="00B77161" w:rsidRDefault="00AE3D7F" w:rsidP="00484852">
      <w:pPr>
        <w:rPr>
          <w:rFonts w:ascii="Calibri" w:eastAsia="Malgun Gothic" w:hAnsi="Calibri" w:cs="Calibri"/>
          <w:lang w:eastAsia="ko-KR"/>
        </w:rPr>
      </w:pPr>
      <w:r w:rsidRPr="00B77161">
        <w:rPr>
          <w:rFonts w:ascii="Calibri" w:eastAsia="Malgun Gothic" w:hAnsi="Calibri" w:cs="Calibri"/>
          <w:lang w:eastAsia="ko-KR"/>
        </w:rPr>
        <w:t xml:space="preserve">This age difference reflected the substantially higher estimated vaccine-associated DALY risk among older adults, at 5.19 (1.42–16.65) DALYs per 10,000 vaccinated individuals compared with 0.16 (0.05–0.39) among adults aged 18–64 years (Table 1). </w:t>
      </w:r>
      <w:r w:rsidRPr="00B77161">
        <w:rPr>
          <w:rFonts w:ascii="Calibri" w:eastAsia="Malgun Gothic" w:hAnsi="Calibri" w:cs="Calibri" w:hint="eastAsia"/>
          <w:lang w:eastAsia="ko-KR"/>
        </w:rPr>
        <w:t>Therefore</w:t>
      </w:r>
      <w:r w:rsidRPr="00B77161">
        <w:rPr>
          <w:rFonts w:ascii="Calibri" w:eastAsia="Malgun Gothic" w:hAnsi="Calibri" w:cs="Calibri"/>
          <w:lang w:eastAsia="ko-KR"/>
        </w:rPr>
        <w:t>, among adults aged 18–64 years, vaccination benefits exceed risks even for short-duration travel</w:t>
      </w:r>
      <w:r w:rsidRPr="00B77161">
        <w:rPr>
          <w:rFonts w:ascii="Calibri" w:eastAsia="Malgun Gothic" w:hAnsi="Calibri" w:cs="Calibri" w:hint="eastAsia"/>
          <w:lang w:eastAsia="ko-KR"/>
        </w:rPr>
        <w:t xml:space="preserve"> (7-days)</w:t>
      </w:r>
      <w:r w:rsidRPr="00B77161">
        <w:rPr>
          <w:rFonts w:ascii="Calibri" w:eastAsia="Malgun Gothic" w:hAnsi="Calibri" w:cs="Calibri"/>
          <w:lang w:eastAsia="ko-KR"/>
        </w:rPr>
        <w:t xml:space="preserve"> when exposure coincided with peak transmission.</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In high-transmission settings, vaccination benefits exceeded risks for 7-day trips beginning during weeks 15–25</w:t>
      </w:r>
      <w:r w:rsidRPr="00B77161">
        <w:rPr>
          <w:rFonts w:ascii="Calibri" w:eastAsia="Malgun Gothic" w:hAnsi="Calibri" w:cs="Calibri" w:hint="eastAsia"/>
          <w:lang w:eastAsia="ko-KR"/>
        </w:rPr>
        <w:t xml:space="preserve"> for adults aged 18-64 years (Figure 1C). For longer travel, </w:t>
      </w:r>
      <w:r w:rsidRPr="00B77161">
        <w:rPr>
          <w:rFonts w:ascii="Calibri" w:eastAsia="Malgun Gothic" w:hAnsi="Calibri" w:cs="Calibri"/>
          <w:lang w:eastAsia="ko-KR"/>
        </w:rPr>
        <w:t>the maximum</w:t>
      </w:r>
      <w:r w:rsidR="00E56CD6">
        <w:rPr>
          <w:rFonts w:ascii="Calibri" w:eastAsia="Malgun Gothic" w:hAnsi="Calibri" w:cs="Calibri"/>
          <w:lang w:eastAsia="ko-KR"/>
        </w:rPr>
        <w:t xml:space="preserve"> benefit-risk ratio</w:t>
      </w:r>
      <w:r w:rsidRPr="00B77161">
        <w:rPr>
          <w:rFonts w:ascii="Calibri" w:eastAsia="Malgun Gothic" w:hAnsi="Calibri" w:cs="Calibri"/>
          <w:lang w:eastAsia="ko-KR"/>
        </w:rPr>
        <w:t xml:space="preserve"> </w:t>
      </w:r>
      <w:r w:rsidR="00E56CD6">
        <w:rPr>
          <w:rFonts w:ascii="Calibri" w:eastAsia="Malgun Gothic" w:hAnsi="Calibri" w:cs="Calibri"/>
          <w:lang w:eastAsia="ko-KR"/>
        </w:rPr>
        <w:t>(</w:t>
      </w:r>
      <w:commentRangeStart w:id="2"/>
      <w:r w:rsidRPr="00B77161">
        <w:rPr>
          <w:rFonts w:ascii="Calibri" w:eastAsia="Malgun Gothic" w:hAnsi="Calibri" w:cs="Calibri"/>
          <w:lang w:eastAsia="ko-KR"/>
        </w:rPr>
        <w:t>BRR</w:t>
      </w:r>
      <w:r w:rsidR="00E56CD6">
        <w:rPr>
          <w:rFonts w:ascii="Calibri" w:eastAsia="Malgun Gothic" w:hAnsi="Calibri" w:cs="Calibri"/>
          <w:lang w:eastAsia="ko-KR"/>
        </w:rPr>
        <w:t>)</w:t>
      </w:r>
      <w:r w:rsidRPr="00B77161">
        <w:rPr>
          <w:rFonts w:ascii="Calibri" w:eastAsia="Malgun Gothic" w:hAnsi="Calibri" w:cs="Calibri"/>
          <w:lang w:eastAsia="ko-KR"/>
        </w:rPr>
        <w:t xml:space="preserve"> </w:t>
      </w:r>
      <w:commentRangeEnd w:id="2"/>
      <w:r w:rsidRPr="00B77161">
        <w:rPr>
          <w:rStyle w:val="CommentReference"/>
          <w:rFonts w:ascii="Calibri" w:eastAsia="Malgun Gothic" w:hAnsi="Calibri" w:cs="Calibri"/>
          <w:sz w:val="24"/>
          <w:szCs w:val="24"/>
          <w:lang w:eastAsia="ko-KR"/>
        </w:rPr>
        <w:commentReference w:id="2"/>
      </w:r>
      <w:r w:rsidRPr="00B77161">
        <w:rPr>
          <w:rFonts w:ascii="Calibri" w:eastAsia="Malgun Gothic" w:hAnsi="Calibri" w:cs="Calibri"/>
          <w:lang w:eastAsia="ko-KR"/>
        </w:rPr>
        <w:t xml:space="preserve">reached 97.5 (31.8–336.9) for </w:t>
      </w:r>
      <w:r w:rsidRPr="00B77161">
        <w:rPr>
          <w:rFonts w:ascii="Calibri" w:eastAsia="Malgun Gothic" w:hAnsi="Calibri" w:cs="Calibri" w:hint="eastAsia"/>
          <w:lang w:eastAsia="ko-KR"/>
        </w:rPr>
        <w:t xml:space="preserve">a </w:t>
      </w:r>
      <w:r w:rsidRPr="00B77161">
        <w:rPr>
          <w:rFonts w:ascii="Calibri" w:eastAsia="Malgun Gothic" w:hAnsi="Calibri" w:cs="Calibri"/>
          <w:lang w:eastAsia="ko-KR"/>
        </w:rPr>
        <w:t>90-day tr</w:t>
      </w:r>
      <w:r w:rsidRPr="00B77161">
        <w:rPr>
          <w:rFonts w:ascii="Calibri" w:eastAsia="Malgun Gothic" w:hAnsi="Calibri" w:cs="Calibri" w:hint="eastAsia"/>
          <w:lang w:eastAsia="ko-KR"/>
        </w:rPr>
        <w:t>ip</w:t>
      </w:r>
      <w:r w:rsidRPr="00B77161">
        <w:rPr>
          <w:rFonts w:ascii="Calibri" w:eastAsia="Malgun Gothic" w:hAnsi="Calibri" w:cs="Calibri"/>
          <w:lang w:eastAsia="ko-KR"/>
        </w:rPr>
        <w:t xml:space="preserve"> beginning around week 12 (</w:t>
      </w:r>
      <w:r w:rsidRPr="00CE7C4D">
        <w:rPr>
          <w:rFonts w:ascii="Calibri" w:eastAsia="Malgun Gothic" w:hAnsi="Calibri" w:cs="Calibri"/>
          <w:lang w:eastAsia="ko-KR"/>
        </w:rPr>
        <w:t xml:space="preserve">Supplementary Data </w:t>
      </w:r>
      <w:r w:rsidR="00C76860">
        <w:rPr>
          <w:rFonts w:ascii="Calibri" w:eastAsia="Malgun Gothic" w:hAnsi="Calibri" w:cs="Calibri" w:hint="eastAsia"/>
          <w:lang w:eastAsia="ko-KR"/>
        </w:rPr>
        <w:t>2</w:t>
      </w:r>
      <w:r w:rsidRPr="00CE7C4D">
        <w:rPr>
          <w:rFonts w:ascii="Calibri" w:eastAsia="Malgun Gothic" w:hAnsi="Calibri" w:cs="Calibri"/>
          <w:lang w:eastAsia="ko-KR"/>
        </w:rPr>
        <w:t>).</w:t>
      </w:r>
    </w:p>
    <w:p w14:paraId="033BC530" w14:textId="057E8B8B" w:rsidR="00AE3D7F" w:rsidRPr="00B77161" w:rsidRDefault="00AE3D7F" w:rsidP="00484852">
      <w:pPr>
        <w:rPr>
          <w:rFonts w:ascii="Calibri" w:eastAsia="Malgun Gothic" w:hAnsi="Calibri" w:cs="Calibri"/>
          <w:lang w:eastAsia="ko-KR"/>
        </w:rPr>
      </w:pPr>
      <w:r w:rsidRPr="00B77161">
        <w:rPr>
          <w:rFonts w:ascii="Calibri" w:eastAsia="Malgun Gothic" w:hAnsi="Calibri" w:cs="Calibri" w:hint="eastAsia"/>
          <w:lang w:eastAsia="ko-KR"/>
        </w:rPr>
        <w:t xml:space="preserve">Among adults aged </w:t>
      </w:r>
      <w:r w:rsidRPr="00B77161">
        <w:rPr>
          <w:rFonts w:ascii="Calibri" w:eastAsia="Malgun Gothic" w:hAnsi="Calibri" w:cs="Calibri"/>
          <w:lang w:eastAsia="ko-KR"/>
        </w:rPr>
        <w:t>≥65 years</w:t>
      </w:r>
      <w:r w:rsidRPr="00B77161">
        <w:rPr>
          <w:rFonts w:ascii="Calibri" w:eastAsia="Malgun Gothic" w:hAnsi="Calibri" w:cs="Calibri" w:hint="eastAsia"/>
          <w:lang w:eastAsia="ko-KR"/>
        </w:rPr>
        <w:t xml:space="preserve">, the higher vaccine-associated DALY risk narrowed the range of travel </w:t>
      </w:r>
      <w:r w:rsidRPr="00B77161">
        <w:rPr>
          <w:rFonts w:ascii="Calibri" w:eastAsia="Malgun Gothic" w:hAnsi="Calibri" w:cs="Calibri"/>
          <w:lang w:eastAsia="ko-KR"/>
        </w:rPr>
        <w:t>scenarios</w:t>
      </w:r>
      <w:r w:rsidRPr="00B77161">
        <w:rPr>
          <w:rFonts w:ascii="Calibri" w:eastAsia="Malgun Gothic" w:hAnsi="Calibri" w:cs="Calibri" w:hint="eastAsia"/>
          <w:lang w:eastAsia="ko-KR"/>
        </w:rPr>
        <w:t xml:space="preserve"> in which vaccination benefits exceeded risks. Median BRRs </w:t>
      </w:r>
      <w:r w:rsidRPr="00B77161">
        <w:rPr>
          <w:rFonts w:ascii="Calibri" w:eastAsia="Malgun Gothic" w:hAnsi="Calibri" w:cs="Calibri"/>
          <w:lang w:eastAsia="ko-KR"/>
        </w:rPr>
        <w:t>remained</w:t>
      </w:r>
      <w:r w:rsidRPr="00B77161">
        <w:rPr>
          <w:rFonts w:ascii="Calibri" w:eastAsia="Malgun Gothic" w:hAnsi="Calibri" w:cs="Calibri" w:hint="eastAsia"/>
          <w:lang w:eastAsia="ko-KR"/>
        </w:rPr>
        <w:t xml:space="preserve"> below 1 for all trips </w:t>
      </w:r>
      <w:r w:rsidR="00592452">
        <w:rPr>
          <w:rFonts w:ascii="Calibri" w:eastAsia="Malgun Gothic" w:hAnsi="Calibri" w:cs="Calibri" w:hint="eastAsia"/>
          <w:lang w:eastAsia="ko-KR"/>
        </w:rPr>
        <w:t>shorter</w:t>
      </w:r>
      <w:commentRangeStart w:id="3"/>
      <w:r w:rsidRPr="00B77161">
        <w:rPr>
          <w:rFonts w:ascii="Calibri" w:eastAsia="Malgun Gothic" w:hAnsi="Calibri" w:cs="Calibri" w:hint="eastAsia"/>
          <w:lang w:eastAsia="ko-KR"/>
        </w:rPr>
        <w:t xml:space="preserve"> than</w:t>
      </w:r>
      <w:commentRangeEnd w:id="3"/>
      <w:r w:rsidRPr="66B4A144">
        <w:rPr>
          <w:rStyle w:val="CommentReference"/>
          <w:rFonts w:ascii="Calibri" w:eastAsia="Malgun Gothic" w:hAnsi="Calibri" w:cs="Calibri"/>
          <w:sz w:val="24"/>
          <w:szCs w:val="24"/>
          <w:lang w:eastAsia="ko-KR"/>
        </w:rPr>
        <w:commentReference w:id="3"/>
      </w:r>
      <w:r w:rsidRPr="00B77161">
        <w:rPr>
          <w:rFonts w:ascii="Calibri" w:eastAsia="Malgun Gothic" w:hAnsi="Calibri" w:cs="Calibri" w:hint="eastAsia"/>
          <w:lang w:eastAsia="ko-KR"/>
        </w:rPr>
        <w:t xml:space="preserve"> 14 days, regardless of entry timing or transmission settings. For 30-day travel, </w:t>
      </w:r>
      <w:r w:rsidRPr="00B77161">
        <w:rPr>
          <w:rFonts w:ascii="Calibri" w:eastAsia="Malgun Gothic" w:hAnsi="Calibri" w:cs="Calibri"/>
          <w:lang w:eastAsia="ko-KR"/>
        </w:rPr>
        <w:t>the median BRR exceeded 1 only for trips overlapping the seasonal epidemic peak, whereas for 90-day travel the maximum median BRR reached 3.02 (0.63–13.53) during peak transmission in high-transmission settings (</w:t>
      </w:r>
      <w:r w:rsidRPr="00CE7C4D">
        <w:rPr>
          <w:rFonts w:ascii="Calibri" w:eastAsia="Malgun Gothic" w:hAnsi="Calibri" w:cs="Calibri"/>
          <w:lang w:eastAsia="ko-KR"/>
        </w:rPr>
        <w:t xml:space="preserve">Supplementary Data </w:t>
      </w:r>
      <w:r w:rsidR="00C76860">
        <w:rPr>
          <w:rFonts w:ascii="Calibri" w:eastAsia="Malgun Gothic" w:hAnsi="Calibri" w:cs="Calibri" w:hint="eastAsia"/>
          <w:lang w:eastAsia="ko-KR"/>
        </w:rPr>
        <w:t>2</w:t>
      </w:r>
      <w:r w:rsidRPr="00CE7C4D">
        <w:rPr>
          <w:rFonts w:ascii="Calibri" w:eastAsia="Malgun Gothic" w:hAnsi="Calibri" w:cs="Calibri"/>
          <w:lang w:eastAsia="ko-KR"/>
        </w:rPr>
        <w:t>)</w:t>
      </w:r>
      <w:r w:rsidRPr="00CE7C4D">
        <w:rPr>
          <w:rFonts w:ascii="Calibri" w:eastAsia="Malgun Gothic" w:hAnsi="Calibri" w:cs="Calibri" w:hint="eastAsia"/>
          <w:lang w:eastAsia="ko-KR"/>
        </w:rPr>
        <w:t>.</w:t>
      </w:r>
    </w:p>
    <w:p w14:paraId="27086C66" w14:textId="77777777" w:rsidR="00AE3D7F" w:rsidRPr="00B77161" w:rsidRDefault="00AE3D7F" w:rsidP="00484852">
      <w:pPr>
        <w:rPr>
          <w:rFonts w:ascii="Calibri" w:eastAsia="Malgun Gothic" w:hAnsi="Calibri" w:cs="Calibri"/>
          <w:lang w:eastAsia="ko-KR"/>
        </w:rPr>
      </w:pPr>
      <w:r w:rsidRPr="00B77161">
        <w:rPr>
          <w:rFonts w:ascii="Calibri" w:eastAsia="Malgun Gothic" w:hAnsi="Calibri" w:cs="Calibri"/>
          <w:lang w:eastAsia="ko-KR"/>
        </w:rPr>
        <w:t>Benefit–risk profiles were less favourable for SAE and mortality outcomes than for DALYs. When averaged across entry timing, median SAE BRRs remained below 1 across all travel durations and transmission settings in both age groups. Even in high-transmission settings with 90-day travel, the median SAE BRR was 0.96 (0.23–3.36) among adults aged 18–64 years and 0.08 (0.02–0.21) among adults aged ≥65 years</w:t>
      </w:r>
      <w:r w:rsidRPr="00B77161">
        <w:rPr>
          <w:rFonts w:ascii="Calibri" w:eastAsia="Malgun Gothic" w:hAnsi="Calibri" w:cs="Calibri" w:hint="eastAsia"/>
          <w:lang w:eastAsia="ko-KR"/>
        </w:rPr>
        <w:t xml:space="preserve"> (</w:t>
      </w:r>
      <w:r w:rsidRPr="00C21777">
        <w:rPr>
          <w:rFonts w:ascii="Calibri" w:eastAsia="Malgun Gothic" w:hAnsi="Calibri" w:cs="Calibri"/>
          <w:lang w:eastAsia="ko-KR"/>
        </w:rPr>
        <w:t>Extended Table</w:t>
      </w:r>
      <w:r w:rsidRPr="00C21777">
        <w:rPr>
          <w:rFonts w:ascii="Calibri" w:eastAsia="Malgun Gothic" w:hAnsi="Calibri" w:cs="Calibri" w:hint="eastAsia"/>
          <w:lang w:eastAsia="ko-KR"/>
        </w:rPr>
        <w:t xml:space="preserve"> 1</w:t>
      </w:r>
      <w:r w:rsidRPr="00B77161">
        <w:rPr>
          <w:rFonts w:ascii="Calibri" w:eastAsia="Malgun Gothic" w:hAnsi="Calibri" w:cs="Calibri" w:hint="eastAsia"/>
          <w:lang w:eastAsia="ko-KR"/>
        </w:rPr>
        <w:t>)</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Among adults aged ≥65 years, the corresponding mortality BRR was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0.17 (0.03–2.04), with vaccine-associated mortality risk exceeding the estimated </w:t>
      </w:r>
      <w:r w:rsidRPr="00B77161">
        <w:rPr>
          <w:rFonts w:ascii="Calibri" w:eastAsia="Malgun Gothic" w:hAnsi="Calibri" w:cs="Calibri"/>
          <w:lang w:eastAsia="ko-KR"/>
        </w:rPr>
        <w:lastRenderedPageBreak/>
        <w:t>mortality benefit (</w:t>
      </w:r>
      <w:r w:rsidRPr="00C21777">
        <w:rPr>
          <w:rFonts w:ascii="Calibri" w:eastAsia="Malgun Gothic" w:hAnsi="Calibri" w:cs="Calibri"/>
          <w:lang w:eastAsia="ko-KR"/>
        </w:rPr>
        <w:t xml:space="preserve">Extended </w:t>
      </w:r>
      <w:r w:rsidRPr="00C21777">
        <w:rPr>
          <w:rFonts w:ascii="Calibri" w:eastAsia="Malgun Gothic" w:hAnsi="Calibri" w:cs="Calibri" w:hint="eastAsia"/>
          <w:lang w:eastAsia="ko-KR"/>
        </w:rPr>
        <w:t>Table 2</w:t>
      </w:r>
      <w:r>
        <w:rPr>
          <w:rFonts w:ascii="Calibri" w:eastAsia="Malgun Gothic" w:hAnsi="Calibri" w:cs="Calibri" w:hint="eastAsia"/>
          <w:lang w:eastAsia="ko-KR"/>
        </w:rPr>
        <w:t>, Extended Figure 3</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Mortality BRRs were not estimated for adults aged 18–64 years because no vaccine-</w:t>
      </w:r>
      <w:r w:rsidRPr="00B77161">
        <w:rPr>
          <w:rFonts w:ascii="Calibri" w:eastAsia="Malgun Gothic" w:hAnsi="Calibri" w:cs="Calibri" w:hint="eastAsia"/>
          <w:lang w:eastAsia="ko-KR"/>
        </w:rPr>
        <w:t>associated</w:t>
      </w:r>
      <w:r w:rsidRPr="00B77161">
        <w:rPr>
          <w:rFonts w:ascii="Calibri" w:eastAsia="Malgun Gothic" w:hAnsi="Calibri" w:cs="Calibri"/>
          <w:lang w:eastAsia="ko-KR"/>
        </w:rPr>
        <w:t xml:space="preserve"> deaths were observed</w:t>
      </w:r>
      <w:r w:rsidRPr="00B77161">
        <w:rPr>
          <w:rFonts w:ascii="Calibri" w:eastAsia="Malgun Gothic" w:hAnsi="Calibri" w:cs="Calibri" w:hint="eastAsia"/>
          <w:lang w:eastAsia="ko-KR"/>
        </w:rPr>
        <w:t xml:space="preserve">. </w:t>
      </w:r>
    </w:p>
    <w:p w14:paraId="0933541C" w14:textId="77777777" w:rsidR="00AE3D7F" w:rsidRPr="00B77161" w:rsidRDefault="00AE3D7F" w:rsidP="00D261C0">
      <w:pPr>
        <w:pStyle w:val="Heading2"/>
        <w:spacing w:line="276" w:lineRule="auto"/>
        <w:rPr>
          <w:rFonts w:ascii="Calibri" w:eastAsia="Malgun Gothic" w:hAnsi="Calibri" w:cs="Calibri"/>
          <w:sz w:val="24"/>
          <w:szCs w:val="24"/>
          <w:lang w:eastAsia="ko-KR"/>
        </w:rPr>
      </w:pPr>
      <w:r w:rsidRPr="00B77161">
        <w:rPr>
          <w:rFonts w:ascii="Calibri" w:eastAsia="Malgun Gothic" w:hAnsi="Calibri" w:cs="Calibri" w:hint="eastAsia"/>
          <w:sz w:val="24"/>
          <w:szCs w:val="24"/>
          <w:lang w:eastAsia="ko-KR"/>
        </w:rPr>
        <w:t>Outbreak response vaccination</w:t>
      </w:r>
    </w:p>
    <w:p w14:paraId="112E727E" w14:textId="77777777" w:rsidR="00AE3D7F" w:rsidRPr="00B77161" w:rsidRDefault="00AE3D7F" w:rsidP="00803BBB">
      <w:pPr>
        <w:rPr>
          <w:rFonts w:ascii="Calibri" w:eastAsia="Malgun Gothic" w:hAnsi="Calibri" w:cs="Calibri"/>
          <w:lang w:eastAsia="ko-KR"/>
        </w:rPr>
      </w:pPr>
      <w:r w:rsidRPr="00B77161">
        <w:rPr>
          <w:rFonts w:ascii="Calibri" w:eastAsia="Malgun Gothic" w:hAnsi="Calibri" w:cs="Calibri" w:hint="eastAsia"/>
          <w:lang w:eastAsia="ko-KR"/>
        </w:rPr>
        <w:t>Under the reference outbreak response immunisation scenario of a campaign beginning in week 2 with 50% of target age group, DALY benefit exceeded vaccine-</w:t>
      </w:r>
      <w:r w:rsidRPr="00B77161">
        <w:rPr>
          <w:rFonts w:ascii="Calibri" w:eastAsia="Malgun Gothic" w:hAnsi="Calibri" w:cs="Calibri"/>
          <w:lang w:eastAsia="ko-KR"/>
        </w:rPr>
        <w:t xml:space="preserve">associated </w:t>
      </w:r>
      <w:r w:rsidRPr="00B77161">
        <w:rPr>
          <w:rFonts w:ascii="Calibri" w:eastAsia="Malgun Gothic" w:hAnsi="Calibri" w:cs="Calibri" w:hint="eastAsia"/>
          <w:lang w:eastAsia="ko-KR"/>
        </w:rPr>
        <w:t>DALY risks across all transmission settings, both vaccine protection mechanisms, and risk assumption</w:t>
      </w:r>
      <w:r w:rsidRPr="00B77161">
        <w:rPr>
          <w:rFonts w:ascii="Calibri" w:eastAsia="Malgun Gothic" w:hAnsi="Calibri" w:cs="Calibri"/>
          <w:lang w:val="en-US" w:eastAsia="ko-KR"/>
        </w:rPr>
        <w:t>s</w:t>
      </w:r>
      <w:r w:rsidRPr="00B77161">
        <w:rPr>
          <w:rFonts w:ascii="Calibri" w:eastAsia="Malgun Gothic" w:hAnsi="Calibri" w:cs="Calibri" w:hint="eastAsia"/>
          <w:lang w:eastAsia="ko-KR"/>
        </w:rPr>
        <w:t xml:space="preserve"> among adults aged 18-64 years. </w:t>
      </w:r>
      <w:r w:rsidRPr="00B77161">
        <w:rPr>
          <w:rFonts w:ascii="Calibri" w:eastAsia="Malgun Gothic" w:hAnsi="Calibri" w:cs="Calibri"/>
          <w:lang w:eastAsia="ko-KR"/>
        </w:rPr>
        <w:t xml:space="preserve">Under the serostatus-adjusted risk scenario, </w:t>
      </w:r>
      <w:r w:rsidRPr="00B77161">
        <w:rPr>
          <w:rFonts w:ascii="Calibri" w:eastAsia="Malgun Gothic" w:hAnsi="Calibri" w:cs="Calibri" w:hint="eastAsia"/>
          <w:lang w:eastAsia="ko-KR"/>
        </w:rPr>
        <w:t xml:space="preserve">DALY BRRs ranged from </w:t>
      </w:r>
      <w:r w:rsidRPr="00B77161">
        <w:rPr>
          <w:rFonts w:ascii="Calibri" w:eastAsia="Malgun Gothic" w:hAnsi="Calibri" w:cs="Calibri"/>
          <w:lang w:eastAsia="ko-KR"/>
        </w:rPr>
        <w:t>16.2 (2.9–109.4) in low-transmission settings to 129.6 (35.4–484.8) in high-transmission settings when vaccination blocked disease only, and from 55.9 (9.2–394.9) to 452.1 (125.3–1726.6) when vaccination blocked both disease and infection</w:t>
      </w:r>
      <w:r w:rsidRPr="00B77161">
        <w:rPr>
          <w:rFonts w:ascii="Calibri" w:eastAsia="Malgun Gothic" w:hAnsi="Calibri" w:cs="Calibri" w:hint="eastAsia"/>
          <w:lang w:eastAsia="ko-KR"/>
        </w:rPr>
        <w:t xml:space="preserve"> (</w:t>
      </w:r>
      <w:r w:rsidRPr="004469D5">
        <w:rPr>
          <w:rFonts w:ascii="Calibri" w:eastAsia="Malgun Gothic" w:hAnsi="Calibri" w:cs="Calibri" w:hint="eastAsia"/>
          <w:lang w:eastAsia="ko-KR"/>
        </w:rPr>
        <w:t>Figure 2A</w:t>
      </w:r>
      <w:r w:rsidRPr="00B77161">
        <w:rPr>
          <w:rFonts w:ascii="Calibri" w:eastAsia="Malgun Gothic" w:hAnsi="Calibri" w:cs="Calibri" w:hint="eastAsia"/>
          <w:lang w:eastAsia="ko-KR"/>
        </w:rPr>
        <w:t>, Table 2)</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p>
    <w:p w14:paraId="3DEB07B7" w14:textId="77777777" w:rsidR="00AE3D7F" w:rsidRPr="00B77161" w:rsidRDefault="00AE3D7F" w:rsidP="00803BBB">
      <w:pPr>
        <w:rPr>
          <w:rFonts w:ascii="Calibri" w:eastAsia="Malgun Gothic" w:hAnsi="Calibri" w:cs="Calibri"/>
          <w:lang w:eastAsia="ko-KR"/>
        </w:rPr>
      </w:pPr>
      <w:r w:rsidRPr="00B77161">
        <w:rPr>
          <w:rFonts w:ascii="Calibri" w:eastAsia="Malgun Gothic" w:hAnsi="Calibri" w:cs="Calibri" w:hint="eastAsia"/>
          <w:lang w:eastAsia="ko-KR"/>
        </w:rPr>
        <w:t>Among adults aged 65 years and older, DALYs averted per 10,000 vaccinated individuals were greater than among adults aged 18-64 years, but vaccine-</w:t>
      </w:r>
      <w:r w:rsidRPr="00B77161">
        <w:rPr>
          <w:rFonts w:ascii="Calibri" w:eastAsia="Malgun Gothic" w:hAnsi="Calibri" w:cs="Calibri"/>
          <w:lang w:eastAsia="ko-KR"/>
        </w:rPr>
        <w:t xml:space="preserve">associated </w:t>
      </w:r>
      <w:r w:rsidRPr="00B77161">
        <w:rPr>
          <w:rFonts w:ascii="Calibri" w:eastAsia="Malgun Gothic" w:hAnsi="Calibri" w:cs="Calibri" w:hint="eastAsia"/>
          <w:lang w:eastAsia="ko-KR"/>
        </w:rPr>
        <w:t xml:space="preserve">DALY risk was substantially higher. </w:t>
      </w:r>
      <w:r w:rsidRPr="00B77161">
        <w:rPr>
          <w:rFonts w:ascii="Calibri" w:eastAsia="Malgun Gothic" w:hAnsi="Calibri" w:cs="Calibri"/>
          <w:lang w:eastAsia="ko-KR"/>
        </w:rPr>
        <w:t xml:space="preserve">Under the base-risk </w:t>
      </w:r>
      <w:r w:rsidRPr="00B77161">
        <w:rPr>
          <w:rFonts w:ascii="Calibri" w:eastAsia="Malgun Gothic" w:hAnsi="Calibri" w:cs="Calibri" w:hint="eastAsia"/>
          <w:lang w:eastAsia="ko-KR"/>
        </w:rPr>
        <w:t>scenario</w:t>
      </w:r>
      <w:r w:rsidRPr="00B77161">
        <w:rPr>
          <w:rFonts w:ascii="Calibri" w:eastAsia="Malgun Gothic" w:hAnsi="Calibri" w:cs="Calibri"/>
          <w:lang w:eastAsia="ko-KR"/>
        </w:rPr>
        <w:t>, vaccine-associated DALYs were 5.3 (1.4–16.9) per 10,000 vaccinated among adults aged ≥65 years compared with 0.2 (0.1–0.4) among those aged 18–64 years.</w:t>
      </w:r>
      <w:r w:rsidRPr="00B77161">
        <w:rPr>
          <w:rFonts w:ascii="Calibri" w:eastAsia="Malgun Gothic" w:hAnsi="Calibri" w:cs="Calibri" w:hint="eastAsia"/>
          <w:lang w:eastAsia="ko-KR"/>
        </w:rPr>
        <w:t xml:space="preserve"> Under the serostatus-adjusted risk scenario, the DALY BRR among adults aged 65 years and older ranged from </w:t>
      </w:r>
      <w:r w:rsidRPr="00B77161">
        <w:rPr>
          <w:rFonts w:ascii="Calibri" w:eastAsia="Malgun Gothic" w:hAnsi="Calibri" w:cs="Calibri"/>
          <w:lang w:eastAsia="ko-KR"/>
        </w:rPr>
        <w:t>0.7 (0.1–5.6) in low transmission to 5.8 (1.3–26.0) in high transmission under disease blocking only</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 </w:t>
      </w:r>
      <w:r w:rsidRPr="00B77161">
        <w:rPr>
          <w:rFonts w:ascii="Calibri" w:eastAsia="Malgun Gothic" w:hAnsi="Calibri" w:cs="Calibri" w:hint="eastAsia"/>
          <w:lang w:eastAsia="ko-KR"/>
        </w:rPr>
        <w:t xml:space="preserve">When vaccine protected against both </w:t>
      </w:r>
      <w:r w:rsidRPr="00B77161">
        <w:rPr>
          <w:rFonts w:ascii="Calibri" w:eastAsia="Malgun Gothic" w:hAnsi="Calibri" w:cs="Calibri"/>
          <w:lang w:eastAsia="ko-KR"/>
        </w:rPr>
        <w:t>disease</w:t>
      </w:r>
      <w:r w:rsidRPr="00B77161">
        <w:rPr>
          <w:rFonts w:ascii="Calibri" w:eastAsia="Malgun Gothic" w:hAnsi="Calibri" w:cs="Calibri" w:hint="eastAsia"/>
          <w:lang w:eastAsia="ko-KR"/>
        </w:rPr>
        <w:t xml:space="preserve"> and infection,</w:t>
      </w:r>
      <w:r w:rsidRPr="00B77161">
        <w:rPr>
          <w:rFonts w:ascii="Calibri" w:eastAsia="Malgun Gothic" w:hAnsi="Calibri" w:cs="Calibri"/>
          <w:lang w:eastAsia="ko-KR"/>
        </w:rPr>
        <w:t xml:space="preserve"> </w:t>
      </w:r>
      <w:r w:rsidRPr="00B77161">
        <w:rPr>
          <w:rFonts w:ascii="Calibri" w:eastAsia="Malgun Gothic" w:hAnsi="Calibri" w:cs="Calibri" w:hint="eastAsia"/>
          <w:lang w:eastAsia="ko-KR"/>
        </w:rPr>
        <w:t>benefit-risk ratio exceeded 1</w:t>
      </w:r>
      <w:r w:rsidRPr="00B77161">
        <w:rPr>
          <w:rFonts w:ascii="Calibri" w:eastAsia="Malgun Gothic" w:hAnsi="Calibri" w:cs="Calibri"/>
          <w:lang w:eastAsia="ko-KR"/>
        </w:rPr>
        <w:t xml:space="preserve"> across all three transmission settings, ranging from 3.6 (0.4–29.8) to 26.0 (5.9–130.3)</w:t>
      </w:r>
      <w:r w:rsidRPr="00B77161">
        <w:rPr>
          <w:rFonts w:ascii="Calibri" w:eastAsia="Malgun Gothic" w:hAnsi="Calibri" w:cs="Calibri" w:hint="eastAsia"/>
          <w:lang w:eastAsia="ko-KR"/>
        </w:rPr>
        <w:t xml:space="preserve"> (</w:t>
      </w:r>
      <w:r w:rsidRPr="004469D5">
        <w:rPr>
          <w:rFonts w:ascii="Calibri" w:eastAsia="Malgun Gothic" w:hAnsi="Calibri" w:cs="Calibri" w:hint="eastAsia"/>
          <w:lang w:eastAsia="ko-KR"/>
        </w:rPr>
        <w:t>Figure 2A</w:t>
      </w:r>
      <w:r w:rsidRPr="00B77161">
        <w:rPr>
          <w:rFonts w:ascii="Calibri" w:eastAsia="Malgun Gothic" w:hAnsi="Calibri" w:cs="Calibri" w:hint="eastAsia"/>
          <w:lang w:eastAsia="ko-KR"/>
        </w:rPr>
        <w:t>, Table 2)</w:t>
      </w:r>
      <w:r w:rsidRPr="00B77161">
        <w:rPr>
          <w:rFonts w:ascii="Calibri" w:eastAsia="Malgun Gothic" w:hAnsi="Calibri" w:cs="Calibri"/>
          <w:lang w:eastAsia="ko-KR"/>
        </w:rPr>
        <w:t>.</w:t>
      </w:r>
    </w:p>
    <w:p w14:paraId="7C93DD4E" w14:textId="77777777" w:rsidR="00AE3D7F" w:rsidRPr="00B77161" w:rsidRDefault="00AE3D7F" w:rsidP="00803BBB">
      <w:pPr>
        <w:rPr>
          <w:rFonts w:ascii="Calibri" w:eastAsia="Malgun Gothic" w:hAnsi="Calibri" w:cs="Calibri"/>
          <w:lang w:eastAsia="ko-KR"/>
        </w:rPr>
      </w:pPr>
      <w:r w:rsidRPr="00B77161">
        <w:rPr>
          <w:rFonts w:ascii="Calibri" w:eastAsia="Malgun Gothic" w:hAnsi="Calibri" w:cs="Calibri"/>
          <w:lang w:eastAsia="ko-KR"/>
        </w:rPr>
        <w:t>Beyond the reference scenario, DALY benefit–risk</w:t>
      </w:r>
      <w:r w:rsidRPr="00B77161">
        <w:rPr>
          <w:rFonts w:ascii="Calibri" w:eastAsia="Malgun Gothic" w:hAnsi="Calibri" w:cs="Calibri" w:hint="eastAsia"/>
          <w:lang w:eastAsia="ko-KR"/>
        </w:rPr>
        <w:t xml:space="preserve"> ratio changed over the course of the epidemic </w:t>
      </w:r>
      <w:r w:rsidRPr="00B77161">
        <w:rPr>
          <w:rFonts w:ascii="Calibri" w:eastAsia="Malgun Gothic" w:hAnsi="Calibri" w:cs="Calibri"/>
          <w:lang w:eastAsia="ko-KR"/>
        </w:rPr>
        <w:t>as the amount of preventable infection risk remaining at the time of the vaccination decision declined.</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Earlier campaign initiation</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when more infection risk remained</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was associated with higher BRRs, whereas later initiation progressively reduced the benefit–risk ratio. At a given level of remaining infection risk, BRRs were consistently higher when vaccination blocked both disease and infection than when it blocked disease alone</w:t>
      </w:r>
      <w:r w:rsidRPr="00B77161">
        <w:rPr>
          <w:rFonts w:ascii="Calibri" w:eastAsia="Malgun Gothic" w:hAnsi="Calibri" w:cs="Calibri" w:hint="eastAsia"/>
          <w:lang w:eastAsia="ko-KR"/>
        </w:rPr>
        <w:t xml:space="preserve"> (</w:t>
      </w:r>
      <w:r w:rsidRPr="004469D5">
        <w:rPr>
          <w:rFonts w:ascii="Calibri" w:eastAsia="Malgun Gothic" w:hAnsi="Calibri" w:cs="Calibri"/>
          <w:lang w:eastAsia="ko-KR"/>
        </w:rPr>
        <w:t>Figure 2B</w:t>
      </w:r>
      <w:r w:rsidRPr="00B77161">
        <w:rPr>
          <w:rFonts w:ascii="Calibri" w:eastAsia="Malgun Gothic" w:hAnsi="Calibri" w:cs="Calibri" w:hint="eastAsia"/>
          <w:lang w:eastAsia="ko-KR"/>
        </w:rPr>
        <w:t>).</w:t>
      </w:r>
    </w:p>
    <w:p w14:paraId="4F9DF3C5" w14:textId="77777777" w:rsidR="00AE3D7F" w:rsidRPr="00B77161" w:rsidRDefault="00AE3D7F">
      <w:pPr>
        <w:rPr>
          <w:rFonts w:ascii="Calibri" w:eastAsia="Malgun Gothic" w:hAnsi="Calibri" w:cs="Calibri"/>
          <w:lang w:eastAsia="ko-KR"/>
        </w:rPr>
      </w:pPr>
      <w:r w:rsidRPr="00B77161">
        <w:rPr>
          <w:rFonts w:ascii="Calibri" w:eastAsia="Malgun Gothic" w:hAnsi="Calibri" w:cs="Calibri"/>
          <w:lang w:eastAsia="ko-KR"/>
        </w:rPr>
        <w:t>SAE and mortality outcomes showed lower BRRs than DALY outcomes</w:t>
      </w:r>
      <w:r w:rsidRPr="00B77161">
        <w:rPr>
          <w:rFonts w:ascii="Calibri" w:eastAsia="Malgun Gothic" w:hAnsi="Calibri" w:cs="Calibri" w:hint="eastAsia"/>
          <w:lang w:eastAsia="ko-KR"/>
        </w:rPr>
        <w:t xml:space="preserve"> (</w:t>
      </w:r>
      <w:r w:rsidRPr="0039257B">
        <w:rPr>
          <w:rFonts w:ascii="Calibri" w:eastAsia="Malgun Gothic" w:hAnsi="Calibri" w:cs="Calibri"/>
          <w:lang w:eastAsia="ko-KR"/>
        </w:rPr>
        <w:t xml:space="preserve">Extended Figure </w:t>
      </w:r>
      <w:r w:rsidRPr="0039257B">
        <w:rPr>
          <w:rFonts w:ascii="Calibri" w:eastAsia="Malgun Gothic" w:hAnsi="Calibri" w:cs="Calibri" w:hint="eastAsia"/>
          <w:lang w:eastAsia="ko-KR"/>
        </w:rPr>
        <w:t>4</w:t>
      </w:r>
      <w:r w:rsidRPr="00B77161">
        <w:rPr>
          <w:rFonts w:ascii="Calibri" w:eastAsia="Malgun Gothic" w:hAnsi="Calibri" w:cs="Calibri" w:hint="eastAsia"/>
          <w:lang w:eastAsia="ko-KR"/>
        </w:rPr>
        <w:t>)</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For SAEs, median BRRs among adults aged 18–64 years exceeded 1 across all transmission settings when vaccination blocked both disease and infection, ranging from 1.5 (0.3–9.4) in low transmission to 13.3 (4.2–43.8) in high transmission under the serostatus-adjusted risk assumption. Among adults aged ≥65 years, BRRs remained below 1 with disease-only protection, but exceeded 1 in high-transmission settings </w:t>
      </w:r>
      <w:r w:rsidRPr="00B77161">
        <w:rPr>
          <w:rFonts w:ascii="Calibri" w:eastAsia="Malgun Gothic" w:hAnsi="Calibri" w:cs="Calibri"/>
          <w:lang w:eastAsia="ko-KR"/>
        </w:rPr>
        <w:lastRenderedPageBreak/>
        <w:t>under both risk assumptions, reaching 4.1 (1.6–11.4) in high transmission</w:t>
      </w:r>
      <w:r w:rsidRPr="00B77161">
        <w:rPr>
          <w:rFonts w:ascii="Calibri" w:eastAsia="Malgun Gothic" w:hAnsi="Calibri" w:cs="Calibri" w:hint="eastAsia"/>
          <w:lang w:eastAsia="ko-KR"/>
        </w:rPr>
        <w:t xml:space="preserve"> (</w:t>
      </w:r>
      <w:r w:rsidRPr="00E3368C">
        <w:rPr>
          <w:rFonts w:ascii="Calibri" w:eastAsia="Malgun Gothic" w:hAnsi="Calibri" w:cs="Calibri"/>
          <w:lang w:eastAsia="ko-KR"/>
        </w:rPr>
        <w:t>Extended Table 3</w:t>
      </w:r>
      <w:r w:rsidRPr="00B77161">
        <w:rPr>
          <w:rFonts w:ascii="Calibri" w:eastAsia="Malgun Gothic" w:hAnsi="Calibri" w:cs="Calibri" w:hint="eastAsia"/>
          <w:lang w:eastAsia="ko-KR"/>
        </w:rPr>
        <w:t>)</w:t>
      </w:r>
      <w:r w:rsidRPr="00B77161">
        <w:rPr>
          <w:rFonts w:ascii="Calibri" w:eastAsia="Malgun Gothic" w:hAnsi="Calibri" w:cs="Calibri"/>
          <w:lang w:eastAsia="ko-KR"/>
        </w:rPr>
        <w:t>.</w:t>
      </w:r>
    </w:p>
    <w:p w14:paraId="799D9EE9" w14:textId="77777777" w:rsidR="00AE3D7F" w:rsidRPr="00B77161" w:rsidRDefault="00AE3D7F" w:rsidP="00B34ED7">
      <w:r w:rsidRPr="00B77161">
        <w:rPr>
          <w:rFonts w:ascii="Calibri" w:eastAsia="Malgun Gothic" w:hAnsi="Calibri" w:cs="Calibri"/>
          <w:lang w:eastAsia="ko-KR"/>
        </w:rPr>
        <w:t>For mortality among adults aged ≥65 years, risks exceeded benefits across all transmission settings when vaccination protected against disease only. When vaccination protected against both disease and infection, benefits exceeded risks only in high transmission, with a BRR of 2.09 (0.41–24.86) under the serostatus-adjusted risk assumption</w:t>
      </w:r>
      <w:r w:rsidRPr="00B77161">
        <w:rPr>
          <w:rFonts w:ascii="Calibri" w:eastAsia="Malgun Gothic" w:hAnsi="Calibri" w:cs="Calibri" w:hint="eastAsia"/>
          <w:lang w:eastAsia="ko-KR"/>
        </w:rPr>
        <w:t xml:space="preserve"> (</w:t>
      </w:r>
      <w:r w:rsidRPr="00E3368C">
        <w:rPr>
          <w:rFonts w:ascii="Calibri" w:eastAsia="Malgun Gothic" w:hAnsi="Calibri" w:cs="Calibri"/>
          <w:lang w:eastAsia="ko-KR"/>
        </w:rPr>
        <w:t xml:space="preserve">Extended Figure </w:t>
      </w:r>
      <w:r w:rsidRPr="00E3368C">
        <w:rPr>
          <w:rFonts w:ascii="Calibri" w:eastAsia="Malgun Gothic" w:hAnsi="Calibri" w:cs="Calibri" w:hint="eastAsia"/>
          <w:lang w:eastAsia="ko-KR"/>
        </w:rPr>
        <w:t>4</w:t>
      </w:r>
      <w:r w:rsidRPr="00E3368C">
        <w:rPr>
          <w:rFonts w:ascii="Calibri" w:eastAsia="Malgun Gothic" w:hAnsi="Calibri" w:cs="Calibri"/>
          <w:lang w:eastAsia="ko-KR"/>
        </w:rPr>
        <w:t>, Extended Table 4).</w:t>
      </w:r>
    </w:p>
    <w:p w14:paraId="2EE64263" w14:textId="77777777" w:rsidR="00AE3D7F" w:rsidRPr="00396148" w:rsidRDefault="00AE3D7F" w:rsidP="00AC5C2F">
      <w:pPr>
        <w:pStyle w:val="Heading2"/>
        <w:spacing w:line="276" w:lineRule="auto"/>
        <w:rPr>
          <w:rFonts w:ascii="Calibri" w:hAnsi="Calibri" w:cs="Calibri"/>
          <w:lang w:eastAsia="ko-KR"/>
        </w:rPr>
      </w:pPr>
      <w:r w:rsidRPr="00396148">
        <w:rPr>
          <w:rFonts w:ascii="Calibri" w:hAnsi="Calibri" w:cs="Calibri"/>
          <w:lang w:eastAsia="ko-KR"/>
        </w:rPr>
        <w:t>Discussion</w:t>
      </w:r>
    </w:p>
    <w:p w14:paraId="528D9F9D" w14:textId="62BC15CE"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 xml:space="preserve">We infer that the benefit-risk of </w:t>
      </w:r>
      <w:proofErr w:type="spellStart"/>
      <w:r w:rsidRPr="00B77161">
        <w:rPr>
          <w:rFonts w:ascii="Calibri" w:eastAsia="Malgun Gothic" w:hAnsi="Calibri" w:cs="Calibri"/>
          <w:lang w:eastAsia="ko-KR"/>
        </w:rPr>
        <w:t>Ixchiq</w:t>
      </w:r>
      <w:proofErr w:type="spellEnd"/>
      <w:r w:rsidRPr="00B77161">
        <w:rPr>
          <w:rFonts w:ascii="Calibri" w:eastAsia="Malgun Gothic" w:hAnsi="Calibri" w:cs="Calibri"/>
          <w:lang w:eastAsia="ko-KR"/>
        </w:rPr>
        <w:t xml:space="preserve"> is</w:t>
      </w:r>
      <w:r w:rsidRPr="00B77161">
        <w:rPr>
          <w:rFonts w:ascii="Calibri" w:eastAsia="Malgun Gothic" w:hAnsi="Calibri" w:cs="Calibri" w:hint="eastAsia"/>
          <w:lang w:eastAsia="ko-KR"/>
        </w:rPr>
        <w:t xml:space="preserve"> not fully characterised by cumulative attack rate </w:t>
      </w:r>
      <w:r w:rsidRPr="00B77161">
        <w:rPr>
          <w:rFonts w:ascii="Calibri" w:eastAsia="Malgun Gothic" w:hAnsi="Calibri" w:cs="Calibri"/>
          <w:lang w:eastAsia="ko-KR"/>
        </w:rPr>
        <w:t>alone but</w:t>
      </w:r>
      <w:r w:rsidRPr="00B77161">
        <w:rPr>
          <w:rFonts w:ascii="Calibri" w:eastAsia="Malgun Gothic" w:hAnsi="Calibri" w:cs="Calibri" w:hint="eastAsia"/>
          <w:lang w:eastAsia="ko-KR"/>
        </w:rPr>
        <w:t xml:space="preserve"> depends on infection risk over the decision-relevant exposure period, with age and the assumed vaccine protection mechanism. Time-varying exposure resulted in different benefit-risk profiles within the same </w:t>
      </w:r>
      <w:r w:rsidRPr="00B77161">
        <w:rPr>
          <w:rFonts w:ascii="Calibri" w:eastAsia="Malgun Gothic" w:hAnsi="Calibri" w:cs="Calibri"/>
          <w:lang w:eastAsia="ko-KR"/>
        </w:rPr>
        <w:t>transmission</w:t>
      </w:r>
      <w:r w:rsidRPr="00B77161">
        <w:rPr>
          <w:rFonts w:ascii="Calibri" w:eastAsia="Malgun Gothic" w:hAnsi="Calibri" w:cs="Calibri" w:hint="eastAsia"/>
          <w:lang w:eastAsia="ko-KR"/>
        </w:rPr>
        <w:t xml:space="preserve"> setting, particularly among </w:t>
      </w:r>
      <w:r w:rsidRPr="00B77161">
        <w:rPr>
          <w:rFonts w:ascii="Calibri" w:eastAsia="Malgun Gothic" w:hAnsi="Calibri" w:cs="Calibri"/>
          <w:lang w:eastAsia="ko-KR"/>
        </w:rPr>
        <w:t>adults aged ≥65 years</w:t>
      </w:r>
      <w:r w:rsidRPr="00B77161">
        <w:rPr>
          <w:rFonts w:ascii="Calibri" w:eastAsia="Malgun Gothic" w:hAnsi="Calibri" w:cs="Calibri" w:hint="eastAsia"/>
          <w:lang w:eastAsia="ko-KR"/>
        </w:rPr>
        <w:t xml:space="preserve">, for whom vaccine-associated risk was higher and benefit-risk depended on whether </w:t>
      </w:r>
      <w:proofErr w:type="gramStart"/>
      <w:r w:rsidRPr="00B77161">
        <w:rPr>
          <w:rFonts w:ascii="Calibri" w:eastAsia="Malgun Gothic" w:hAnsi="Calibri" w:cs="Calibri" w:hint="eastAsia"/>
          <w:lang w:eastAsia="ko-KR"/>
        </w:rPr>
        <w:t>vaccination  prevents</w:t>
      </w:r>
      <w:proofErr w:type="gramEnd"/>
      <w:r w:rsidRPr="00B77161">
        <w:rPr>
          <w:rFonts w:ascii="Calibri" w:eastAsia="Malgun Gothic" w:hAnsi="Calibri" w:cs="Calibri" w:hint="eastAsia"/>
          <w:lang w:eastAsia="ko-KR"/>
        </w:rPr>
        <w:t xml:space="preserve"> infection</w:t>
      </w:r>
      <w:r w:rsidR="75411C0C" w:rsidRPr="75411C0C">
        <w:rPr>
          <w:rFonts w:ascii="Calibri" w:eastAsia="Malgun Gothic" w:hAnsi="Calibri" w:cs="Calibri"/>
          <w:lang w:eastAsia="ko-KR"/>
        </w:rPr>
        <w:t xml:space="preserve"> as well as disease</w:t>
      </w:r>
      <w:r w:rsidRPr="00B77161">
        <w:rPr>
          <w:rFonts w:ascii="Calibri" w:eastAsia="Malgun Gothic" w:hAnsi="Calibri" w:cs="Calibri" w:hint="eastAsia"/>
          <w:lang w:eastAsia="ko-KR"/>
        </w:rPr>
        <w:t xml:space="preserve">. </w:t>
      </w:r>
    </w:p>
    <w:p w14:paraId="1E312719"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 xml:space="preserve">For travel vaccination, cumulative infection risk during the travel period was more informative than destination transmission intensity alone. Travellers visiting the same destination could therefore have different benefit–risk profiles depending on when and for how long they travelled. Because vaccine-associated risk was higher among adults aged ≥65 years, a greater level of travel-associated infection risk was required for vaccination benefits to exceed risks. </w:t>
      </w:r>
      <w:r w:rsidRPr="00B77161">
        <w:rPr>
          <w:rFonts w:ascii="Calibri" w:eastAsia="Malgun Gothic" w:hAnsi="Calibri" w:cs="Calibri" w:hint="eastAsia"/>
          <w:lang w:eastAsia="ko-KR"/>
        </w:rPr>
        <w:t>Our</w:t>
      </w:r>
      <w:r w:rsidRPr="00B77161">
        <w:rPr>
          <w:rFonts w:ascii="Calibri" w:eastAsia="Malgun Gothic" w:hAnsi="Calibri" w:cs="Calibri"/>
          <w:lang w:eastAsia="ko-KR"/>
        </w:rPr>
        <w:t xml:space="preserve"> findings support incorporating travel duration and seasonal epidemic timing into travel-vaccination benefit–risk assessment, particularly for older travellers.</w:t>
      </w:r>
    </w:p>
    <w:p w14:paraId="5EB5B47C"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For outbreak-response immunisation, campaign timing affected benefit–risk by determining how much epidemic infection risk remained when vaccination was initiated. Earlier initiation was associated with higher BRRs because more infection risk remained preventable, whereas later initiation left less remaining risk and lower BRRs. These findings suggest that outbreak-response benefit–risk assessment should consider the stage of the epidemic at which vaccination can begin.</w:t>
      </w:r>
    </w:p>
    <w:p w14:paraId="7BD9E10B"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The benefit-risk ratios also varied substantially </w:t>
      </w:r>
      <w:r w:rsidRPr="00B77161">
        <w:rPr>
          <w:rFonts w:ascii="Calibri" w:eastAsia="Malgun Gothic" w:hAnsi="Calibri" w:cs="Calibri"/>
          <w:lang w:eastAsia="ko-KR"/>
        </w:rPr>
        <w:t>across</w:t>
      </w:r>
      <w:r w:rsidRPr="00B77161">
        <w:rPr>
          <w:rFonts w:ascii="Calibri" w:eastAsia="Malgun Gothic" w:hAnsi="Calibri" w:cs="Calibri" w:hint="eastAsia"/>
          <w:lang w:eastAsia="ko-KR"/>
        </w:rPr>
        <w:t xml:space="preserve"> the health outcomes. </w:t>
      </w:r>
      <w:r w:rsidRPr="00B77161">
        <w:rPr>
          <w:rFonts w:ascii="Calibri" w:eastAsia="Malgun Gothic" w:hAnsi="Calibri" w:cs="Calibri"/>
          <w:lang w:eastAsia="ko-KR"/>
        </w:rPr>
        <w:t>DALY-based BRRs were higher than those based on SAEs or mortality because DALYs capture both acute severe outcomes and the substantial long-term morbidity associated with chikungunya. Benefit–risk assessments restricted to acute outcomes may therefore underestimate vaccine benefit where chronic sequelae contribute substantially to disease burden.</w:t>
      </w:r>
      <w:r w:rsidRPr="00B77161">
        <w:rPr>
          <w:rFonts w:ascii="Calibri" w:eastAsia="Malgun Gothic" w:hAnsi="Calibri" w:cs="Calibri" w:hint="eastAsia"/>
          <w:lang w:eastAsia="ko-KR"/>
        </w:rPr>
        <w:t xml:space="preserve"> </w:t>
      </w:r>
      <w:r w:rsidRPr="00B77161">
        <w:rPr>
          <w:rFonts w:ascii="Calibri" w:eastAsia="Malgun Gothic" w:hAnsi="Calibri" w:cs="Calibri"/>
        </w:rPr>
        <w:t xml:space="preserve">Because post-licensure safety data for </w:t>
      </w:r>
      <w:proofErr w:type="spellStart"/>
      <w:r w:rsidRPr="00B77161">
        <w:rPr>
          <w:rFonts w:ascii="Calibri" w:eastAsia="Malgun Gothic" w:hAnsi="Calibri" w:cs="Calibri"/>
        </w:rPr>
        <w:t>Ixchiq</w:t>
      </w:r>
      <w:proofErr w:type="spellEnd"/>
      <w:r w:rsidRPr="00B77161">
        <w:rPr>
          <w:rFonts w:ascii="Calibri" w:eastAsia="Malgun Gothic" w:hAnsi="Calibri" w:cs="Calibri"/>
        </w:rPr>
        <w:t xml:space="preserve"> primarily capture acute events, while chronic sequelae prevented by vaccination are largely untracked, benefit-</w:t>
      </w:r>
      <w:r w:rsidRPr="00B77161">
        <w:rPr>
          <w:rFonts w:ascii="Calibri" w:eastAsia="Malgun Gothic" w:hAnsi="Calibri" w:cs="Calibri"/>
        </w:rPr>
        <w:lastRenderedPageBreak/>
        <w:t xml:space="preserve">risk frameworks restricted to acute outcomes may understate vaccine benefit particularly for chronic sequelae. </w:t>
      </w:r>
    </w:p>
    <w:p w14:paraId="709B67B1" w14:textId="4E8D1EB3"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Uncertainty about whether vaccination prevents infection is therefore particularly important for decisions involving older adults. </w:t>
      </w:r>
      <w:proofErr w:type="spellStart"/>
      <w:r w:rsidRPr="00B77161">
        <w:rPr>
          <w:rFonts w:ascii="Calibri" w:eastAsia="Malgun Gothic" w:hAnsi="Calibri" w:cs="Calibri"/>
          <w:lang w:eastAsia="ko-KR"/>
        </w:rPr>
        <w:t>Ixchiq</w:t>
      </w:r>
      <w:proofErr w:type="spellEnd"/>
      <w:r w:rsidRPr="00B77161">
        <w:rPr>
          <w:rFonts w:ascii="Calibri" w:eastAsia="Malgun Gothic" w:hAnsi="Calibri" w:cs="Calibri"/>
          <w:lang w:eastAsia="ko-KR"/>
        </w:rPr>
        <w:t xml:space="preserve"> was authorised on the basis of immunogenicity rather than direct clinical efficacy, and evidence remains insufficient to establish whether vaccine-induced immunity prevents infection and onward transmission, clinical disease alone, or both</w:t>
      </w:r>
      <w:r w:rsidRPr="00B77161">
        <w:rPr>
          <w:rFonts w:ascii="Calibri" w:eastAsia="Malgun Gothic" w:hAnsi="Calibri" w:cs="Calibri" w:hint="eastAsia"/>
          <w:lang w:eastAsia="ko-KR"/>
        </w:rPr>
        <w:t xml:space="preserve"> </w:t>
      </w:r>
      <w:hyperlink r:id="rId29">
        <w:r w:rsidR="1FCB076C" w:rsidRPr="1FCB076C">
          <w:rPr>
            <w:rFonts w:ascii="Calibri" w:eastAsia="Times New Roman" w:hAnsi="Calibri" w:cs="Calibri"/>
            <w:vertAlign w:val="superscript"/>
          </w:rPr>
          <w:t>9,10</w:t>
        </w:r>
      </w:hyperlink>
      <w:r w:rsidR="1FCB076C" w:rsidRPr="1FCB076C">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Our modelling framework therefore </w:t>
      </w:r>
      <w:r w:rsidRPr="00B77161">
        <w:rPr>
          <w:rFonts w:ascii="Calibri" w:eastAsia="Malgun Gothic" w:hAnsi="Calibri" w:cs="Calibri" w:hint="eastAsia"/>
          <w:lang w:eastAsia="ko-KR"/>
        </w:rPr>
        <w:t xml:space="preserve">structurally </w:t>
      </w:r>
      <w:r w:rsidRPr="00B77161">
        <w:rPr>
          <w:rFonts w:ascii="Calibri" w:eastAsia="Malgun Gothic" w:hAnsi="Calibri" w:cs="Calibri"/>
          <w:lang w:eastAsia="ko-KR"/>
        </w:rPr>
        <w:t xml:space="preserve">evaluated vaccine-protection mechanisms </w:t>
      </w:r>
      <w:r w:rsidRPr="00B77161">
        <w:rPr>
          <w:rFonts w:ascii="Calibri" w:eastAsia="Malgun Gothic" w:hAnsi="Calibri" w:cs="Calibri" w:hint="eastAsia"/>
          <w:lang w:eastAsia="ko-KR"/>
        </w:rPr>
        <w:t xml:space="preserve">and </w:t>
      </w:r>
      <w:r w:rsidRPr="00B77161">
        <w:rPr>
          <w:rFonts w:ascii="Calibri" w:eastAsia="Malgun Gothic" w:hAnsi="Calibri" w:cs="Calibri"/>
          <w:lang w:eastAsia="ko-KR"/>
        </w:rPr>
        <w:t>serostatus-adjusted risk scenarios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Establishing vaccine effectiveness against infection and transmission</w:t>
      </w:r>
      <w:r w:rsidRPr="00B77161">
        <w:rPr>
          <w:rFonts w:ascii="Calibri" w:eastAsia="Malgun Gothic" w:hAnsi="Calibri" w:cs="Calibri" w:hint="eastAsia"/>
          <w:lang w:eastAsia="ko-KR"/>
        </w:rPr>
        <w:t xml:space="preserve"> from Phase 4 post-licensure studies</w:t>
      </w:r>
      <w:r w:rsidRPr="00B77161">
        <w:rPr>
          <w:rFonts w:ascii="Calibri" w:eastAsia="Malgun Gothic" w:hAnsi="Calibri" w:cs="Calibri"/>
          <w:lang w:eastAsia="ko-KR"/>
        </w:rPr>
        <w:t xml:space="preserve"> is therefore directly relevant to defining the conditions under which vaccination of older adults could produce benefits exceeding vaccine-associated risks. </w:t>
      </w:r>
    </w:p>
    <w:p w14:paraId="14E5E584"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Whether serious vaccine-associated risk differs according to pre-existing CHIKV immunity also remains unresolved. Our serostatus-adjusted analysis should therefore be interpreted as a structural sensitivity scenario rather than an estimate of an observed serostatus-specific safety effect.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Direct studies linking pre-vaccination serostatus to vaccine-strain viraemia and subsequent serious outcomes would be required before differential safety risk by serostatus could inform vaccination policy. </w:t>
      </w:r>
    </w:p>
    <w:p w14:paraId="52A2C84D"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Embedding benefit</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risk assessment within reconstructed epidemic trajectories allowed infection exposure to be evaluated at the time a vaccination decision is made, rather than only through cumulative epidemic </w:t>
      </w:r>
      <w:r w:rsidRPr="00B77161">
        <w:rPr>
          <w:rFonts w:ascii="Calibri" w:eastAsia="Malgun Gothic" w:hAnsi="Calibri" w:cs="Calibri" w:hint="eastAsia"/>
          <w:lang w:eastAsia="ko-KR"/>
        </w:rPr>
        <w:t>size</w:t>
      </w:r>
      <w:r w:rsidRPr="00B77161">
        <w:rPr>
          <w:rFonts w:ascii="Calibri" w:eastAsia="Malgun Gothic" w:hAnsi="Calibri" w:cs="Calibri"/>
          <w:lang w:eastAsia="ko-KR"/>
        </w:rPr>
        <w:t>. This enabled travel-associated risk to vary with entry timing and duration, and outbreak-response benefit</w:t>
      </w:r>
      <w:r w:rsidRPr="00B77161">
        <w:rPr>
          <w:rFonts w:ascii="Calibri" w:eastAsia="Malgun Gothic" w:hAnsi="Calibri" w:cs="Calibri" w:hint="eastAsia"/>
          <w:lang w:eastAsia="ko-KR"/>
        </w:rPr>
        <w:t>-</w:t>
      </w:r>
      <w:r w:rsidRPr="00B77161">
        <w:rPr>
          <w:rFonts w:ascii="Calibri" w:eastAsia="Malgun Gothic" w:hAnsi="Calibri" w:cs="Calibri"/>
          <w:lang w:eastAsia="ko-KR"/>
        </w:rPr>
        <w:t>risk to vary with the infection risk remaining at campaign initiation.</w:t>
      </w:r>
    </w:p>
    <w:p w14:paraId="49EB1986" w14:textId="77777777" w:rsidR="00AE3D7F" w:rsidRPr="00B77161" w:rsidRDefault="00AE3D7F" w:rsidP="00C81561">
      <w:pPr>
        <w:spacing w:line="276" w:lineRule="auto"/>
        <w:rPr>
          <w:rFonts w:ascii="Calibri" w:eastAsia="Malgun Gothic" w:hAnsi="Calibri" w:cs="Calibri"/>
          <w:lang w:eastAsia="ko-KR"/>
        </w:rPr>
      </w:pPr>
      <w:r w:rsidRPr="00B77161">
        <w:rPr>
          <w:rFonts w:ascii="Calibri" w:eastAsia="Malgun Gothic" w:hAnsi="Calibri" w:cs="Calibri"/>
          <w:lang w:eastAsia="ko-KR"/>
        </w:rPr>
        <w:t>Our study has several limitations.</w:t>
      </w:r>
      <w:r w:rsidRPr="00B77161">
        <w:rPr>
          <w:rFonts w:ascii="Calibri" w:eastAsia="Malgun Gothic" w:hAnsi="Calibri" w:cs="Calibri" w:hint="eastAsia"/>
          <w:lang w:eastAsia="ko-KR"/>
        </w:rPr>
        <w:t xml:space="preserve"> </w:t>
      </w:r>
      <w:commentRangeStart w:id="4"/>
      <w:r w:rsidRPr="00B77161">
        <w:rPr>
          <w:rFonts w:ascii="Calibri" w:eastAsia="Malgun Gothic" w:hAnsi="Calibri" w:cs="Calibri" w:hint="eastAsia"/>
          <w:lang w:eastAsia="ko-KR"/>
        </w:rPr>
        <w:t>V</w:t>
      </w:r>
      <w:r w:rsidRPr="00B77161">
        <w:rPr>
          <w:rFonts w:ascii="Calibri" w:eastAsia="Malgun Gothic" w:hAnsi="Calibri" w:cs="Calibri"/>
          <w:lang w:eastAsia="ko-KR"/>
        </w:rPr>
        <w:t>accine-associated SAE and mortality risks were derived from passive post-licensure surveillance</w:t>
      </w:r>
      <w:commentRangeEnd w:id="4"/>
      <w:r w:rsidRPr="00B77161">
        <w:rPr>
          <w:rStyle w:val="CommentReference"/>
          <w:rFonts w:ascii="Calibri" w:eastAsia="Malgun Gothic" w:hAnsi="Calibri" w:cs="Calibri" w:hint="eastAsia"/>
          <w:sz w:val="24"/>
          <w:szCs w:val="24"/>
          <w:lang w:eastAsia="ko-KR"/>
        </w:rPr>
        <w:commentReference w:id="4"/>
      </w:r>
      <w:r w:rsidRPr="00B77161">
        <w:rPr>
          <w:rFonts w:ascii="Calibri" w:eastAsia="Malgun Gothic" w:hAnsi="Calibri" w:cs="Calibri" w:hint="eastAsia"/>
          <w:lang w:eastAsia="ko-KR"/>
        </w:rPr>
        <w:t xml:space="preserve"> </w:t>
      </w:r>
      <w:hyperlink r:id="rId30">
        <w:r w:rsidRPr="773AFDC2">
          <w:rPr>
            <w:rFonts w:ascii="Calibri" w:eastAsia="Times New Roman" w:hAnsi="Calibri" w:cs="Calibri"/>
            <w:vertAlign w:val="superscript"/>
          </w:rPr>
          <w:t>12</w:t>
        </w:r>
      </w:hyperlink>
      <w:r w:rsidRPr="773AFDC2">
        <w:rPr>
          <w:rFonts w:ascii="Calibri" w:eastAsia="Malgun Gothic" w:hAnsi="Calibri" w:cs="Calibri"/>
          <w:lang w:eastAsia="ko-KR"/>
        </w:rPr>
        <w:t>.</w:t>
      </w:r>
      <w:r w:rsidRPr="00B77161">
        <w:rPr>
          <w:rFonts w:ascii="Calibri" w:eastAsia="Malgun Gothic" w:hAnsi="Calibri" w:cs="Calibri"/>
          <w:lang w:eastAsia="ko-KR"/>
        </w:rPr>
        <w:t xml:space="preserve"> The small number of vaccine-associated events, particularly deaths, together with uncertainty in event ascertainment, causal attribution and vaccinated denominators, results in wide uncertainty around safety estimates.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Clinical efficacy against disease or infection is also not yet directly established</w:t>
      </w:r>
      <w:r w:rsidRPr="00B77161">
        <w:rPr>
          <w:rFonts w:ascii="Calibri" w:eastAsia="Malgun Gothic" w:hAnsi="Calibri" w:cs="Calibri" w:hint="eastAsia"/>
          <w:lang w:eastAsia="ko-KR"/>
        </w:rPr>
        <w:t xml:space="preserve">. We </w:t>
      </w:r>
      <w:r w:rsidRPr="00B77161">
        <w:rPr>
          <w:rFonts w:ascii="Calibri" w:eastAsia="Malgun Gothic" w:hAnsi="Calibri" w:cs="Calibri"/>
          <w:lang w:eastAsia="ko-KR"/>
        </w:rPr>
        <w:t xml:space="preserve">therefore used the Phase 3 </w:t>
      </w:r>
      <w:proofErr w:type="spellStart"/>
      <w:r w:rsidRPr="00B77161">
        <w:rPr>
          <w:rFonts w:ascii="Calibri" w:eastAsia="Malgun Gothic" w:hAnsi="Calibri" w:cs="Calibri"/>
          <w:lang w:eastAsia="ko-KR"/>
        </w:rPr>
        <w:t>seroresponse</w:t>
      </w:r>
      <w:proofErr w:type="spellEnd"/>
      <w:r w:rsidRPr="00B77161">
        <w:rPr>
          <w:rFonts w:ascii="Calibri" w:eastAsia="Malgun Gothic" w:hAnsi="Calibri" w:cs="Calibri"/>
          <w:lang w:eastAsia="ko-KR"/>
        </w:rPr>
        <w:t xml:space="preserve"> rate as a proxy for vaccine efficacy and treated infection blocking as an alternative scenario</w:t>
      </w:r>
      <w:r w:rsidRPr="00B77161">
        <w:rPr>
          <w:rFonts w:ascii="Calibri" w:eastAsia="Malgun Gothic" w:hAnsi="Calibri" w:cs="Calibri" w:hint="eastAsia"/>
          <w:lang w:eastAsia="ko-KR"/>
        </w:rPr>
        <w:t xml:space="preserve">. </w:t>
      </w:r>
    </w:p>
    <w:p w14:paraId="5B3F0491" w14:textId="77777777" w:rsidR="00AE3D7F" w:rsidRPr="00B77161" w:rsidRDefault="00AE3D7F" w:rsidP="00C81561">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Caution is needed </w:t>
      </w:r>
      <w:r w:rsidRPr="00B77161">
        <w:rPr>
          <w:rFonts w:ascii="Calibri" w:eastAsia="Malgun Gothic" w:hAnsi="Calibri" w:cs="Calibri"/>
          <w:lang w:eastAsia="ko-KR"/>
        </w:rPr>
        <w:t>when</w:t>
      </w:r>
      <w:r w:rsidRPr="00B77161">
        <w:rPr>
          <w:rFonts w:ascii="Calibri" w:eastAsia="Malgun Gothic" w:hAnsi="Calibri" w:cs="Calibri" w:hint="eastAsia"/>
          <w:lang w:eastAsia="ko-KR"/>
        </w:rPr>
        <w:t xml:space="preserve"> interpreting vaccine-associated safety risk. The apparent age gradient in safety risk cannot be attributed to age alone. A global pharmacovigilance review reported that 91% of individuals with SAEs had underlying comorbidities </w:t>
      </w:r>
      <w:hyperlink r:id="rId31" w:history="1">
        <w:r>
          <w:rPr>
            <w:rFonts w:ascii="Calibri" w:eastAsia="Times New Roman" w:hAnsi="Calibri" w:cs="Calibri"/>
            <w:vertAlign w:val="superscript"/>
          </w:rPr>
          <w:t>13</w:t>
        </w:r>
      </w:hyperlink>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Our model did not distinguish the effects of age from comorbidity, nor could it account for differences in recipient characteristics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or reporting practices between outbreak-response programmes and travel vaccination.</w:t>
      </w:r>
      <w:r w:rsidRPr="00B77161">
        <w:rPr>
          <w:rFonts w:ascii="Calibri" w:eastAsia="Malgun Gothic" w:hAnsi="Calibri" w:cs="Calibri" w:hint="eastAsia"/>
          <w:lang w:eastAsia="ko-KR"/>
        </w:rPr>
        <w:t xml:space="preserve"> </w:t>
      </w:r>
      <w:r w:rsidRPr="00B77161">
        <w:rPr>
          <w:rFonts w:ascii="Calibri" w:hAnsi="Calibri"/>
        </w:rPr>
        <w:t xml:space="preserve">Overall, the safety inputs </w:t>
      </w:r>
      <w:r w:rsidRPr="00B77161">
        <w:rPr>
          <w:rFonts w:ascii="Calibri" w:eastAsia="Malgun Gothic" w:hAnsi="Calibri" w:cs="Calibri"/>
          <w:lang w:eastAsia="ko-KR"/>
        </w:rPr>
        <w:t xml:space="preserve">should be </w:t>
      </w:r>
      <w:r w:rsidRPr="00B77161">
        <w:rPr>
          <w:rFonts w:ascii="Calibri" w:eastAsia="Malgun Gothic" w:hAnsi="Calibri" w:cs="Calibri"/>
          <w:lang w:eastAsia="ko-KR"/>
        </w:rPr>
        <w:lastRenderedPageBreak/>
        <w:t>interpreted as estimates conditional on the observed post-licensure pharmacovigilance signal, rather than as precise intrinsic age-specific probabilities of a causally vaccine-induced adverse event.</w:t>
      </w:r>
    </w:p>
    <w:p w14:paraId="1B9F152E" w14:textId="77777777" w:rsidR="00AE3D7F" w:rsidRPr="00B77161" w:rsidRDefault="00AE3D7F" w:rsidP="00110CCC">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There is additional uncertainty in translating serious post-vaccination events into DALYs. </w:t>
      </w:r>
      <w:r w:rsidRPr="00B77161">
        <w:rPr>
          <w:rFonts w:ascii="Calibri" w:eastAsia="Malgun Gothic" w:hAnsi="Calibri" w:cs="Calibri"/>
          <w:lang w:eastAsia="ko-KR"/>
        </w:rPr>
        <w:t>We assumed that non-fatal serious chikungunya-like illness following vaccination has the same subsequent disability progression as severe natural chikungunya, although long-term follow-up data are currently unavailable</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Longer-term follow-up of affected vaccine recipients is therefore needed to characterise persistence of symptoms and associated disability.</w:t>
      </w:r>
      <w:r w:rsidRPr="00B77161">
        <w:rPr>
          <w:rFonts w:ascii="Calibri" w:eastAsia="Malgun Gothic" w:hAnsi="Calibri" w:cs="Calibri" w:hint="eastAsia"/>
          <w:lang w:eastAsia="ko-KR"/>
        </w:rPr>
        <w:t xml:space="preserve"> </w:t>
      </w:r>
    </w:p>
    <w:p w14:paraId="40FC4BC5" w14:textId="77777777" w:rsidR="00AE3D7F" w:rsidRPr="00B77161" w:rsidRDefault="00AE3D7F" w:rsidP="00F0058F">
      <w:pPr>
        <w:spacing w:line="276" w:lineRule="auto"/>
        <w:rPr>
          <w:rFonts w:ascii="Calibri" w:eastAsia="Malgun Gothic" w:hAnsi="Calibri" w:cs="Calibri"/>
          <w:lang w:eastAsia="ko-KR"/>
        </w:rPr>
      </w:pPr>
      <w:r w:rsidRPr="00B77161">
        <w:rPr>
          <w:rFonts w:ascii="Calibri" w:eastAsia="Malgun Gothic" w:hAnsi="Calibri" w:cs="Calibri"/>
          <w:lang w:eastAsia="ko-KR"/>
        </w:rPr>
        <w:t>The reconstructed Brazilian outbreaks represented a relatively limited range of cumulative infection attack rates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Our estimates therefore reflect relatively conservative epidemic scenarios compared with larger outbreaks</w:t>
      </w:r>
      <w:r w:rsidRPr="00B77161">
        <w:rPr>
          <w:rFonts w:ascii="Calibri" w:eastAsia="Malgun Gothic" w:hAnsi="Calibri" w:cs="Calibri" w:hint="eastAsia"/>
          <w:lang w:eastAsia="ko-KR"/>
        </w:rPr>
        <w:t xml:space="preserve"> with more than 30% of cumulative </w:t>
      </w:r>
      <w:r w:rsidRPr="00B77161">
        <w:rPr>
          <w:rFonts w:ascii="Calibri" w:eastAsia="Malgun Gothic" w:hAnsi="Calibri" w:cs="Calibri"/>
          <w:lang w:eastAsia="ko-KR"/>
        </w:rPr>
        <w:t>attack rates</w:t>
      </w:r>
      <w:r w:rsidRPr="00B77161">
        <w:rPr>
          <w:rFonts w:ascii="Calibri" w:eastAsia="Malgun Gothic" w:hAnsi="Calibri" w:cs="Calibri" w:hint="eastAsia"/>
          <w:lang w:eastAsia="ko-KR"/>
        </w:rPr>
        <w:t xml:space="preserve"> as reported in La Reunion </w:t>
      </w:r>
      <w:hyperlink r:id="rId32" w:history="1">
        <w:r>
          <w:rPr>
            <w:rFonts w:ascii="Calibri" w:eastAsia="Times New Roman" w:hAnsi="Calibri" w:cs="Calibri"/>
            <w:vertAlign w:val="superscript"/>
          </w:rPr>
          <w:t>25</w:t>
        </w:r>
      </w:hyperlink>
      <w:r w:rsidRPr="00B77161">
        <w:rPr>
          <w:rFonts w:ascii="Calibri" w:eastAsia="Malgun Gothic" w:hAnsi="Calibri" w:cs="Calibri" w:hint="eastAsia"/>
          <w:lang w:eastAsia="ko-KR"/>
        </w:rPr>
        <w:t xml:space="preserve">. Although the </w:t>
      </w:r>
      <w:r w:rsidRPr="00B77161">
        <w:rPr>
          <w:rFonts w:ascii="Calibri" w:eastAsia="Malgun Gothic" w:hAnsi="Calibri" w:cs="Calibri"/>
          <w:lang w:eastAsia="ko-KR"/>
        </w:rPr>
        <w:t>quantitative</w:t>
      </w:r>
      <w:r w:rsidRPr="00B77161">
        <w:rPr>
          <w:rFonts w:ascii="Calibri" w:eastAsia="Malgun Gothic" w:hAnsi="Calibri" w:cs="Calibri" w:hint="eastAsia"/>
          <w:lang w:eastAsia="ko-KR"/>
        </w:rPr>
        <w:t xml:space="preserve"> benefit-risk ratios may shift, our inference that </w:t>
      </w:r>
      <w:r w:rsidRPr="00B77161">
        <w:rPr>
          <w:rFonts w:ascii="Calibri" w:eastAsia="Malgun Gothic" w:hAnsi="Calibri" w:cs="Calibri"/>
          <w:lang w:eastAsia="ko-KR"/>
        </w:rPr>
        <w:t>benefit</w:t>
      </w:r>
      <w:r w:rsidRPr="00B77161">
        <w:rPr>
          <w:rFonts w:ascii="Calibri" w:eastAsia="Malgun Gothic" w:hAnsi="Calibri" w:cs="Calibri" w:hint="eastAsia"/>
          <w:lang w:eastAsia="ko-KR"/>
        </w:rPr>
        <w:t>-</w:t>
      </w:r>
      <w:r w:rsidRPr="00B77161">
        <w:rPr>
          <w:rFonts w:ascii="Calibri" w:eastAsia="Malgun Gothic" w:hAnsi="Calibri" w:cs="Calibri"/>
          <w:lang w:eastAsia="ko-KR"/>
        </w:rPr>
        <w:t>risk depends on the infection risk remaining at the time of vaccination is likely to remain applicable at higher attack rates</w:t>
      </w:r>
      <w:r w:rsidRPr="00B77161">
        <w:rPr>
          <w:rFonts w:ascii="Calibri" w:eastAsia="Malgun Gothic" w:hAnsi="Calibri" w:cs="Calibri" w:hint="eastAsia"/>
          <w:lang w:eastAsia="ko-KR"/>
        </w:rPr>
        <w:t xml:space="preserve">. </w:t>
      </w:r>
    </w:p>
    <w:p w14:paraId="29F3980A" w14:textId="77777777" w:rsidR="00AE3D7F" w:rsidRPr="00B77161" w:rsidRDefault="00AE3D7F" w:rsidP="00B34ED7">
      <w:pPr>
        <w:rPr>
          <w:rFonts w:ascii="Calibri" w:eastAsia="Malgun Gothic" w:hAnsi="Calibri" w:cs="Calibri"/>
          <w:lang w:eastAsia="ko-KR"/>
        </w:rPr>
      </w:pPr>
      <w:r w:rsidRPr="00B77161">
        <w:rPr>
          <w:rFonts w:ascii="Calibri" w:eastAsia="Malgun Gothic" w:hAnsi="Calibri" w:cs="Calibri"/>
          <w:lang w:eastAsia="ko-KR"/>
        </w:rPr>
        <w:t>Overall, our findings show that vaccine benefit</w:t>
      </w:r>
      <w:r w:rsidRPr="00B77161">
        <w:rPr>
          <w:rFonts w:ascii="Calibri" w:eastAsia="Malgun Gothic" w:hAnsi="Calibri" w:cs="Calibri" w:hint="eastAsia"/>
          <w:lang w:eastAsia="ko-KR"/>
        </w:rPr>
        <w:t>-</w:t>
      </w:r>
      <w:r w:rsidRPr="00B77161">
        <w:rPr>
          <w:rFonts w:ascii="Calibri" w:eastAsia="Malgun Gothic" w:hAnsi="Calibri" w:cs="Calibri"/>
          <w:lang w:eastAsia="ko-KR"/>
        </w:rPr>
        <w:t>risk depends not only on who is vaccinated and the intensity of transmission, but also on how much infection risk remains within the period over which vaccination can provide benefit. Incorporating this time-varying</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exposure improve</w:t>
      </w:r>
      <w:r w:rsidRPr="00B77161">
        <w:rPr>
          <w:rFonts w:ascii="Calibri" w:eastAsia="Malgun Gothic" w:hAnsi="Calibri" w:cs="Calibri" w:hint="eastAsia"/>
          <w:lang w:eastAsia="ko-KR"/>
        </w:rPr>
        <w:t>s</w:t>
      </w:r>
      <w:r w:rsidRPr="00B77161">
        <w:rPr>
          <w:rFonts w:ascii="Calibri" w:eastAsia="Malgun Gothic" w:hAnsi="Calibri" w:cs="Calibri"/>
          <w:lang w:eastAsia="ko-KR"/>
        </w:rPr>
        <w:t xml:space="preserve"> benefit</w:t>
      </w:r>
      <w:r w:rsidRPr="00B77161">
        <w:rPr>
          <w:rFonts w:ascii="Calibri" w:eastAsia="Malgun Gothic" w:hAnsi="Calibri" w:cs="Calibri" w:hint="eastAsia"/>
          <w:lang w:eastAsia="ko-KR"/>
        </w:rPr>
        <w:t>-</w:t>
      </w:r>
      <w:r w:rsidRPr="00B77161">
        <w:rPr>
          <w:rFonts w:ascii="Calibri" w:eastAsia="Malgun Gothic" w:hAnsi="Calibri" w:cs="Calibri"/>
          <w:lang w:eastAsia="ko-KR"/>
        </w:rPr>
        <w:t>risk assessment for vaccines introduced under uncertainty in both effectiveness and post-licensure safety.</w:t>
      </w:r>
    </w:p>
    <w:p w14:paraId="011C7873" w14:textId="77777777" w:rsidR="00AE3D7F" w:rsidRPr="00396148" w:rsidRDefault="00AE3D7F" w:rsidP="00AC5C2F">
      <w:pPr>
        <w:pStyle w:val="Heading2"/>
        <w:spacing w:line="276" w:lineRule="auto"/>
        <w:rPr>
          <w:rFonts w:ascii="Calibri" w:hAnsi="Calibri" w:cs="Calibri"/>
          <w:lang w:eastAsia="ko-KR"/>
        </w:rPr>
      </w:pPr>
      <w:r w:rsidRPr="00396148">
        <w:rPr>
          <w:rFonts w:ascii="Calibri" w:hAnsi="Calibri" w:cs="Calibri"/>
          <w:lang w:eastAsia="ko-KR"/>
        </w:rPr>
        <w:t>Methods</w:t>
      </w:r>
    </w:p>
    <w:p w14:paraId="3C458BD3" w14:textId="77777777" w:rsidR="00AE3D7F" w:rsidRPr="00870BCD" w:rsidRDefault="00AE3D7F" w:rsidP="00AC5C2F">
      <w:pPr>
        <w:spacing w:line="276" w:lineRule="auto"/>
        <w:rPr>
          <w:rFonts w:ascii="Calibri" w:eastAsia="Malgun Gothic" w:hAnsi="Calibri" w:cs="Calibri"/>
          <w:sz w:val="22"/>
          <w:szCs w:val="22"/>
          <w:lang w:val="en-US" w:eastAsia="ko-KR"/>
        </w:rPr>
      </w:pPr>
      <w:r w:rsidRPr="00396148">
        <w:rPr>
          <w:rFonts w:ascii="Calibri" w:hAnsi="Calibri" w:cs="Calibri"/>
          <w:sz w:val="22"/>
          <w:szCs w:val="22"/>
          <w:lang w:eastAsia="ko-KR"/>
        </w:rPr>
        <w:t xml:space="preserve">Our analyses used an age-structured transmission dynamic model to reconstruct a single chikungunya outbreak in Brazil in 2022, combined with a probabilistic benefit-risk framework to estimate benefit-risk ratios for </w:t>
      </w:r>
      <w:proofErr w:type="spellStart"/>
      <w:r w:rsidRPr="00396148">
        <w:rPr>
          <w:rFonts w:ascii="Calibri" w:hAnsi="Calibri" w:cs="Calibri"/>
          <w:sz w:val="22"/>
          <w:szCs w:val="22"/>
          <w:lang w:eastAsia="ko-KR"/>
        </w:rPr>
        <w:t>Ixchiq</w:t>
      </w:r>
      <w:proofErr w:type="spellEnd"/>
      <w:r w:rsidRPr="00396148">
        <w:rPr>
          <w:rFonts w:ascii="Calibri" w:hAnsi="Calibri" w:cs="Calibri"/>
          <w:sz w:val="22"/>
          <w:szCs w:val="22"/>
          <w:lang w:eastAsia="ko-KR"/>
        </w:rPr>
        <w:t xml:space="preserve"> chikungunya vaccine under two vaccination </w:t>
      </w:r>
      <w:r>
        <w:rPr>
          <w:rFonts w:ascii="Calibri" w:eastAsia="Malgun Gothic" w:hAnsi="Calibri" w:cs="Calibri" w:hint="eastAsia"/>
          <w:sz w:val="22"/>
          <w:szCs w:val="22"/>
          <w:lang w:eastAsia="ko-KR"/>
        </w:rPr>
        <w:t>use cases</w:t>
      </w:r>
      <w:r w:rsidRPr="00396148">
        <w:rPr>
          <w:rFonts w:ascii="Calibri" w:hAnsi="Calibri" w:cs="Calibri"/>
          <w:sz w:val="22"/>
          <w:szCs w:val="22"/>
          <w:lang w:eastAsia="ko-KR"/>
        </w:rPr>
        <w:t>: (</w:t>
      </w:r>
      <w:proofErr w:type="spellStart"/>
      <w:r w:rsidRPr="00396148">
        <w:rPr>
          <w:rFonts w:ascii="Calibri" w:hAnsi="Calibri" w:cs="Calibri"/>
          <w:sz w:val="22"/>
          <w:szCs w:val="22"/>
          <w:lang w:eastAsia="ko-KR"/>
        </w:rPr>
        <w:t>i</w:t>
      </w:r>
      <w:proofErr w:type="spellEnd"/>
      <w:r w:rsidRPr="00396148">
        <w:rPr>
          <w:rFonts w:ascii="Calibri" w:hAnsi="Calibri" w:cs="Calibri"/>
          <w:sz w:val="22"/>
          <w:szCs w:val="22"/>
          <w:lang w:eastAsia="ko-KR"/>
        </w:rPr>
        <w:t xml:space="preserve">) outbreak-response immunisation and (ii) travel vaccination, each evaluated in adults aged 18–64 years and those aged 65 years and older. For outbreak-response immunisation, </w:t>
      </w:r>
      <w:r>
        <w:rPr>
          <w:rFonts w:ascii="Calibri" w:eastAsia="Malgun Gothic" w:hAnsi="Calibri" w:cs="Calibri" w:hint="eastAsia"/>
          <w:sz w:val="22"/>
          <w:szCs w:val="22"/>
          <w:lang w:eastAsia="ko-KR"/>
        </w:rPr>
        <w:t>i</w:t>
      </w:r>
      <w:r w:rsidRPr="00D71EAB">
        <w:rPr>
          <w:rFonts w:ascii="Calibri" w:hAnsi="Calibri" w:cs="Calibri"/>
          <w:sz w:val="22"/>
          <w:szCs w:val="22"/>
          <w:lang w:eastAsia="ko-KR"/>
        </w:rPr>
        <w:t>n the serostatus-adjusted scenario, susceptibility at the time of vaccination was used as a proxy for seronegative status. Vaccine-associated risk was applied only to the proportion of vaccine recipients allocated from the susceptible compartment. This proportion was derived from the simulated epidemic state at the time doses were administered and therefore varied across campaign scenarios.</w:t>
      </w:r>
      <w:r>
        <w:rPr>
          <w:rFonts w:ascii="Calibri" w:eastAsia="Malgun Gothic" w:hAnsi="Calibri" w:cs="Calibri" w:hint="eastAsia"/>
          <w:sz w:val="22"/>
          <w:szCs w:val="22"/>
          <w:lang w:eastAsia="ko-KR"/>
        </w:rPr>
        <w:t xml:space="preserve"> </w:t>
      </w:r>
    </w:p>
    <w:p w14:paraId="5311F266" w14:textId="77777777" w:rsidR="00AE3D7F" w:rsidRPr="00396148" w:rsidRDefault="00AE3D7F" w:rsidP="00AC5C2F">
      <w:pPr>
        <w:spacing w:line="276" w:lineRule="auto"/>
        <w:rPr>
          <w:rFonts w:ascii="Calibri" w:eastAsia="Malgun Gothic" w:hAnsi="Calibri" w:cs="Calibri"/>
          <w:sz w:val="22"/>
          <w:szCs w:val="22"/>
          <w:lang w:eastAsia="ko-KR"/>
        </w:rPr>
      </w:pPr>
      <w:r w:rsidRPr="00396148">
        <w:rPr>
          <w:rFonts w:ascii="Calibri" w:hAnsi="Calibri" w:cs="Calibri"/>
          <w:sz w:val="22"/>
          <w:szCs w:val="22"/>
          <w:lang w:eastAsia="ko-KR"/>
        </w:rPr>
        <w:t xml:space="preserve">For travel vaccination, we estimated daily </w:t>
      </w:r>
      <w:r>
        <w:rPr>
          <w:rFonts w:ascii="Calibri" w:eastAsia="Malgun Gothic" w:hAnsi="Calibri" w:cs="Calibri" w:hint="eastAsia"/>
          <w:sz w:val="22"/>
          <w:szCs w:val="22"/>
          <w:lang w:eastAsia="ko-KR"/>
        </w:rPr>
        <w:t>FOIs</w:t>
      </w:r>
      <w:r w:rsidRPr="00396148">
        <w:rPr>
          <w:rFonts w:ascii="Calibri" w:hAnsi="Calibri" w:cs="Calibri"/>
          <w:sz w:val="22"/>
          <w:szCs w:val="22"/>
          <w:lang w:eastAsia="ko-KR"/>
        </w:rPr>
        <w:t xml:space="preserve"> and varied travellers' entry timing and travel duration. Across both </w:t>
      </w:r>
      <w:r>
        <w:rPr>
          <w:rFonts w:ascii="Calibri" w:eastAsia="Malgun Gothic" w:hAnsi="Calibri" w:cs="Calibri" w:hint="eastAsia"/>
          <w:sz w:val="22"/>
          <w:szCs w:val="22"/>
          <w:lang w:eastAsia="ko-KR"/>
        </w:rPr>
        <w:t>use cases</w:t>
      </w:r>
      <w:r w:rsidRPr="00396148">
        <w:rPr>
          <w:rFonts w:ascii="Calibri" w:hAnsi="Calibri" w:cs="Calibri"/>
          <w:sz w:val="22"/>
          <w:szCs w:val="22"/>
          <w:lang w:eastAsia="ko-KR"/>
        </w:rPr>
        <w:t>, we estimated vaccine</w:t>
      </w:r>
      <w:r>
        <w:rPr>
          <w:rFonts w:eastAsia="Malgun Gothic" w:hint="eastAsia"/>
          <w:lang w:eastAsia="ko-KR"/>
        </w:rPr>
        <w:t>-</w:t>
      </w:r>
      <w:r w:rsidRPr="001D2EE2">
        <w:rPr>
          <w:rFonts w:ascii="Calibri" w:hAnsi="Calibri" w:cs="Calibri"/>
          <w:sz w:val="22"/>
          <w:szCs w:val="22"/>
          <w:lang w:eastAsia="ko-KR"/>
        </w:rPr>
        <w:t xml:space="preserve">associated </w:t>
      </w:r>
      <w:r>
        <w:rPr>
          <w:rFonts w:ascii="Calibri" w:eastAsia="Malgun Gothic" w:hAnsi="Calibri" w:cs="Calibri" w:hint="eastAsia"/>
          <w:sz w:val="22"/>
          <w:szCs w:val="22"/>
          <w:lang w:eastAsia="ko-KR"/>
        </w:rPr>
        <w:t>safety risks</w:t>
      </w:r>
      <w:r w:rsidRPr="00396148">
        <w:rPr>
          <w:rFonts w:ascii="Calibri" w:hAnsi="Calibri" w:cs="Calibri"/>
          <w:sz w:val="22"/>
          <w:szCs w:val="22"/>
          <w:lang w:eastAsia="ko-KR"/>
        </w:rPr>
        <w:t xml:space="preserve"> </w:t>
      </w:r>
      <w:r>
        <w:rPr>
          <w:rFonts w:ascii="Calibri" w:eastAsia="Malgun Gothic" w:hAnsi="Calibri" w:cs="Calibri" w:hint="eastAsia"/>
          <w:sz w:val="22"/>
          <w:szCs w:val="22"/>
          <w:lang w:eastAsia="ko-KR"/>
        </w:rPr>
        <w:t xml:space="preserve">(deaths, SAEs, and DALYs), benefits (averted outcomes) </w:t>
      </w:r>
      <w:r w:rsidRPr="00396148">
        <w:rPr>
          <w:rFonts w:ascii="Calibri" w:hAnsi="Calibri" w:cs="Calibri"/>
          <w:sz w:val="22"/>
          <w:szCs w:val="22"/>
          <w:lang w:eastAsia="ko-KR"/>
        </w:rPr>
        <w:t>and probabilistically estimated benefit-risk ratios.</w:t>
      </w:r>
    </w:p>
    <w:p w14:paraId="728D02B3" w14:textId="77777777" w:rsidR="00AE3D7F" w:rsidRPr="00396148" w:rsidRDefault="00AE3D7F" w:rsidP="00AC5C2F">
      <w:pPr>
        <w:spacing w:line="276" w:lineRule="auto"/>
        <w:rPr>
          <w:rStyle w:val="IntenseEmphasis"/>
          <w:rFonts w:ascii="Calibri" w:eastAsia="Malgun Gothic" w:hAnsi="Calibri" w:cs="Calibri"/>
          <w:i w:val="0"/>
          <w:iCs w:val="0"/>
          <w:lang w:eastAsia="ko-KR"/>
        </w:rPr>
      </w:pPr>
      <w:r w:rsidRPr="00396148">
        <w:rPr>
          <w:rStyle w:val="IntenseEmphasis"/>
          <w:rFonts w:ascii="Calibri" w:eastAsia="Malgun Gothic" w:hAnsi="Calibri" w:cs="Calibri"/>
          <w:i w:val="0"/>
          <w:iCs w:val="0"/>
          <w:lang w:eastAsia="ko-KR"/>
        </w:rPr>
        <w:t xml:space="preserve">Study population and </w:t>
      </w:r>
      <w:r w:rsidRPr="00396148">
        <w:rPr>
          <w:rStyle w:val="IntenseEmphasis"/>
          <w:rFonts w:ascii="Calibri" w:hAnsi="Calibri" w:cs="Calibri"/>
          <w:i w:val="0"/>
          <w:iCs w:val="0"/>
          <w:lang w:eastAsia="ko-KR"/>
        </w:rPr>
        <w:t>transmission-setting classification</w:t>
      </w:r>
    </w:p>
    <w:p w14:paraId="26AD9074" w14:textId="07D8C1BC" w:rsidR="00AE3D7F" w:rsidRPr="00396148" w:rsidRDefault="00AE3D7F" w:rsidP="00CF6D3D">
      <w:pPr>
        <w:rPr>
          <w:rStyle w:val="IntenseEmphasis"/>
          <w:rFonts w:ascii="Calibri" w:eastAsia="Malgun Gothic" w:hAnsi="Calibri" w:cs="Calibri"/>
          <w:i w:val="0"/>
          <w:iCs w:val="0"/>
          <w:lang w:eastAsia="ko-KR"/>
        </w:rPr>
      </w:pPr>
      <w:r>
        <w:rPr>
          <w:rFonts w:ascii="Calibri" w:eastAsia="Malgun Gothic" w:hAnsi="Calibri" w:cs="Calibri" w:hint="eastAsia"/>
          <w:sz w:val="22"/>
          <w:szCs w:val="22"/>
          <w:lang w:eastAsia="ko-KR"/>
        </w:rPr>
        <w:lastRenderedPageBreak/>
        <w:t xml:space="preserve">We classified 27 federative units at admin level 1 in Brazil (hereby, </w:t>
      </w:r>
      <w:r w:rsidRPr="00CF6D3D">
        <w:rPr>
          <w:rFonts w:ascii="Calibri" w:eastAsia="Malgun Gothic" w:hAnsi="Calibri" w:cs="Calibri"/>
          <w:i/>
          <w:iCs/>
          <w:sz w:val="22"/>
          <w:szCs w:val="22"/>
          <w:lang w:eastAsia="ko-KR"/>
        </w:rPr>
        <w:t>state</w:t>
      </w:r>
      <w:r>
        <w:rPr>
          <w:rFonts w:ascii="Calibri" w:eastAsia="Malgun Gothic" w:hAnsi="Calibri" w:cs="Calibri" w:hint="eastAsia"/>
          <w:sz w:val="22"/>
          <w:szCs w:val="22"/>
          <w:lang w:eastAsia="ko-KR"/>
        </w:rPr>
        <w:t xml:space="preserve">) following the criteria applied to our previous modelling study </w:t>
      </w:r>
      <w:hyperlink r:id="rId33">
        <w:r w:rsidRPr="7212CC78">
          <w:rPr>
            <w:rFonts w:ascii="Calibri" w:eastAsia="Times New Roman" w:hAnsi="Calibri" w:cs="Calibri"/>
            <w:sz w:val="22"/>
            <w:szCs w:val="22"/>
            <w:vertAlign w:val="superscript"/>
          </w:rPr>
          <w:t>19</w:t>
        </w:r>
      </w:hyperlink>
      <w:r w:rsidRPr="7212CC78">
        <w:rPr>
          <w:rFonts w:ascii="Calibri" w:eastAsia="Malgun Gothic" w:hAnsi="Calibri" w:cs="Calibri"/>
          <w:sz w:val="22"/>
          <w:szCs w:val="22"/>
          <w:lang w:eastAsia="ko-KR"/>
        </w:rPr>
        <w:t>.</w:t>
      </w:r>
      <w:r>
        <w:rPr>
          <w:rFonts w:ascii="Calibri" w:eastAsia="Malgun Gothic" w:hAnsi="Calibri" w:cs="Calibri" w:hint="eastAsia"/>
          <w:sz w:val="22"/>
          <w:szCs w:val="22"/>
          <w:lang w:eastAsia="ko-KR"/>
        </w:rPr>
        <w:t xml:space="preserve"> We excluded states with insufficient epidemic signal</w:t>
      </w:r>
      <w:r w:rsidR="72F54845" w:rsidRPr="0B74B21A">
        <w:rPr>
          <w:rFonts w:ascii="Calibri" w:eastAsia="Malgun Gothic" w:hAnsi="Calibri" w:cs="Calibri"/>
          <w:sz w:val="22"/>
          <w:szCs w:val="22"/>
          <w:lang w:eastAsia="ko-KR"/>
        </w:rPr>
        <w:t>:</w:t>
      </w:r>
      <w:r w:rsidR="00875A7D">
        <w:rPr>
          <w:rFonts w:ascii="Calibri" w:eastAsia="Malgun Gothic" w:hAnsi="Calibri" w:cs="Calibri"/>
          <w:sz w:val="22"/>
          <w:szCs w:val="22"/>
          <w:lang w:eastAsia="ko-KR"/>
        </w:rPr>
        <w:t xml:space="preserve"> </w:t>
      </w:r>
      <w:r w:rsidR="33BF6FC1" w:rsidRPr="51D09B95">
        <w:rPr>
          <w:rFonts w:ascii="Calibri" w:eastAsia="Malgun Gothic" w:hAnsi="Calibri" w:cs="Calibri"/>
          <w:sz w:val="22"/>
          <w:szCs w:val="22"/>
          <w:lang w:eastAsia="ko-KR"/>
        </w:rPr>
        <w:t>fewer</w:t>
      </w:r>
      <w:r w:rsidRPr="3D505520">
        <w:rPr>
          <w:rFonts w:ascii="Calibri" w:eastAsia="Malgun Gothic" w:hAnsi="Calibri" w:cs="Calibri"/>
          <w:sz w:val="22"/>
          <w:szCs w:val="22"/>
          <w:lang w:eastAsia="ko-KR"/>
        </w:rPr>
        <w:t xml:space="preserve"> than</w:t>
      </w:r>
      <w:r>
        <w:rPr>
          <w:rFonts w:ascii="Calibri" w:eastAsia="Malgun Gothic" w:hAnsi="Calibri" w:cs="Calibri" w:hint="eastAsia"/>
          <w:sz w:val="22"/>
          <w:szCs w:val="22"/>
          <w:lang w:eastAsia="ko-KR"/>
        </w:rPr>
        <w:t xml:space="preserve"> 20 of peak symptomatic cases per million population or total symptomatic cases &lt; 500. </w:t>
      </w:r>
      <w:r w:rsidRPr="00DE6719">
        <w:rPr>
          <w:rFonts w:ascii="Calibri" w:eastAsia="Malgun Gothic" w:hAnsi="Calibri" w:cs="Calibri"/>
          <w:sz w:val="22"/>
          <w:szCs w:val="22"/>
          <w:lang w:eastAsia="ko-KR"/>
        </w:rPr>
        <w:t>Among the remaining 11 states, we performed k-means clustering on peak symptomatic cases per million and total cases to examine the empirical clustering pattern</w:t>
      </w:r>
      <w:r>
        <w:rPr>
          <w:rFonts w:ascii="Calibri" w:eastAsia="Malgun Gothic" w:hAnsi="Calibri" w:cs="Calibri" w:hint="eastAsia"/>
          <w:sz w:val="22"/>
          <w:szCs w:val="22"/>
          <w:lang w:eastAsia="ko-KR"/>
        </w:rPr>
        <w:t>. B</w:t>
      </w:r>
      <w:r w:rsidRPr="00DE6719">
        <w:rPr>
          <w:rFonts w:ascii="Calibri" w:eastAsia="Malgun Gothic" w:hAnsi="Calibri" w:cs="Calibri"/>
          <w:sz w:val="22"/>
          <w:szCs w:val="22"/>
          <w:lang w:eastAsia="ko-KR"/>
        </w:rPr>
        <w:t>ased on this, we categorised states by peak symptomatic cases per million population as low</w:t>
      </w:r>
      <w:r>
        <w:rPr>
          <w:rFonts w:ascii="Calibri" w:eastAsia="Malgun Gothic" w:hAnsi="Calibri" w:cs="Calibri" w:hint="eastAsia"/>
          <w:sz w:val="22"/>
          <w:szCs w:val="22"/>
          <w:lang w:eastAsia="ko-KR"/>
        </w:rPr>
        <w:t xml:space="preserve"> </w:t>
      </w:r>
      <w:r w:rsidRPr="00DE6719">
        <w:rPr>
          <w:rFonts w:ascii="Calibri" w:eastAsia="Malgun Gothic" w:hAnsi="Calibri" w:cs="Calibri"/>
          <w:sz w:val="22"/>
          <w:szCs w:val="22"/>
          <w:lang w:eastAsia="ko-KR"/>
        </w:rPr>
        <w:t>(&lt;100), moderate (100–200), or high (&gt;200) transmission setting</w:t>
      </w:r>
      <w:r>
        <w:rPr>
          <w:rFonts w:ascii="Calibri" w:eastAsia="Malgun Gothic" w:hAnsi="Calibri" w:cs="Calibri" w:hint="eastAsia"/>
          <w:sz w:val="22"/>
          <w:szCs w:val="22"/>
          <w:lang w:eastAsia="ko-KR"/>
        </w:rPr>
        <w:t xml:space="preserve">. </w:t>
      </w:r>
    </w:p>
    <w:p w14:paraId="6B8B7CB1" w14:textId="77777777" w:rsidR="00AE3D7F" w:rsidRPr="00396148" w:rsidRDefault="00AE3D7F" w:rsidP="00AC5C2F">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hint="eastAsia"/>
          <w:i w:val="0"/>
          <w:iCs w:val="0"/>
          <w:lang w:eastAsia="ko-KR"/>
        </w:rPr>
        <w:t xml:space="preserve">Transmission dynamic </w:t>
      </w:r>
      <w:r w:rsidRPr="00396148">
        <w:rPr>
          <w:rStyle w:val="IntenseEmphasis"/>
          <w:rFonts w:ascii="Calibri" w:hAnsi="Calibri" w:cs="Calibri"/>
          <w:i w:val="0"/>
          <w:iCs w:val="0"/>
          <w:lang w:eastAsia="ko-KR"/>
        </w:rPr>
        <w:t xml:space="preserve">model </w:t>
      </w:r>
    </w:p>
    <w:p w14:paraId="613B883C" w14:textId="4FE30500" w:rsidR="00AE3D7F" w:rsidRDefault="00AE3D7F" w:rsidP="00B15B14">
      <w:pPr>
        <w:jc w:val="both"/>
        <w:rPr>
          <w:rFonts w:ascii="Calibri" w:eastAsia="Malgun Gothic" w:hAnsi="Calibri" w:cs="Calibri"/>
          <w:sz w:val="22"/>
          <w:szCs w:val="22"/>
          <w:lang w:eastAsia="ko-KR"/>
        </w:rPr>
      </w:pPr>
      <w:r w:rsidRPr="00A63CC4">
        <w:rPr>
          <w:rFonts w:ascii="Calibri" w:hAnsi="Calibri" w:cs="Calibri"/>
          <w:sz w:val="22"/>
          <w:szCs w:val="22"/>
        </w:rPr>
        <w:t xml:space="preserve">We </w:t>
      </w:r>
      <w:r w:rsidRPr="00B15B14">
        <w:rPr>
          <w:rFonts w:ascii="Calibri" w:eastAsia="Malgun Gothic" w:hAnsi="Calibri" w:cs="Calibri"/>
          <w:sz w:val="22"/>
          <w:szCs w:val="22"/>
          <w:lang w:eastAsia="ko-KR"/>
        </w:rPr>
        <w:t>fitted</w:t>
      </w:r>
      <w:r w:rsidRPr="00A63CC4">
        <w:rPr>
          <w:rFonts w:ascii="Calibri" w:hAnsi="Calibri" w:cs="Calibri"/>
          <w:sz w:val="22"/>
          <w:szCs w:val="22"/>
        </w:rPr>
        <w:t xml:space="preserve"> an age-structured</w:t>
      </w:r>
      <w:r w:rsidRPr="00B15B14">
        <w:rPr>
          <w:rFonts w:ascii="Calibri" w:eastAsia="Malgun Gothic" w:hAnsi="Calibri" w:cs="Calibri"/>
          <w:sz w:val="22"/>
          <w:szCs w:val="22"/>
          <w:lang w:eastAsia="ko-KR"/>
        </w:rPr>
        <w:t xml:space="preserve"> </w:t>
      </w:r>
      <w:r w:rsidRPr="00A63CC4">
        <w:rPr>
          <w:rFonts w:ascii="Calibri" w:hAnsi="Calibri" w:cs="Calibri"/>
          <w:sz w:val="22"/>
          <w:szCs w:val="22"/>
        </w:rPr>
        <w:t xml:space="preserve">SEIR (susceptible–exposed–infectious–recovered) transmission dynamic model </w:t>
      </w:r>
      <w:r w:rsidRPr="009634A3">
        <w:rPr>
          <w:rFonts w:ascii="Calibri" w:hAnsi="Calibri" w:cs="Calibri"/>
          <w:sz w:val="22"/>
          <w:szCs w:val="22"/>
        </w:rPr>
        <w:t xml:space="preserve">separately </w:t>
      </w:r>
      <w:r>
        <w:rPr>
          <w:rFonts w:ascii="Calibri" w:eastAsia="Malgun Gothic" w:hAnsi="Calibri" w:cs="Calibri" w:hint="eastAsia"/>
          <w:sz w:val="22"/>
          <w:szCs w:val="22"/>
          <w:lang w:eastAsia="ko-KR"/>
        </w:rPr>
        <w:t>to</w:t>
      </w:r>
      <w:r w:rsidRPr="009634A3">
        <w:rPr>
          <w:rFonts w:ascii="Calibri" w:hAnsi="Calibri" w:cs="Calibri"/>
          <w:sz w:val="22"/>
          <w:szCs w:val="22"/>
        </w:rPr>
        <w:t xml:space="preserve"> each of the 11 selected Brazilian states in 2022</w:t>
      </w:r>
      <w:r>
        <w:rPr>
          <w:rFonts w:ascii="Calibri" w:eastAsia="Malgun Gothic" w:hAnsi="Calibri" w:cs="Calibri" w:hint="eastAsia"/>
          <w:sz w:val="22"/>
          <w:szCs w:val="22"/>
          <w:lang w:eastAsia="ko-KR"/>
        </w:rPr>
        <w:t xml:space="preserve">, </w:t>
      </w:r>
      <w:r w:rsidRPr="00A63CC4">
        <w:rPr>
          <w:rFonts w:ascii="Calibri" w:hAnsi="Calibri" w:cs="Calibri"/>
          <w:sz w:val="22"/>
          <w:szCs w:val="22"/>
        </w:rPr>
        <w:t xml:space="preserve">with each state's population stratified into </w:t>
      </w:r>
      <w:commentRangeStart w:id="5"/>
      <w:r w:rsidRPr="00A63CC4">
        <w:rPr>
          <w:rFonts w:ascii="Calibri" w:hAnsi="Calibri" w:cs="Calibri"/>
          <w:sz w:val="22"/>
          <w:szCs w:val="22"/>
        </w:rPr>
        <w:t>age classes</w:t>
      </w:r>
      <w:commentRangeEnd w:id="5"/>
      <w:r w:rsidRPr="00B15B14">
        <w:rPr>
          <w:rStyle w:val="CommentReference"/>
          <w:rFonts w:ascii="Calibri" w:eastAsia="Malgun Gothic" w:hAnsi="Calibri" w:cs="Calibri"/>
          <w:sz w:val="22"/>
          <w:szCs w:val="22"/>
          <w:lang w:eastAsia="ko-KR"/>
        </w:rPr>
        <w:commentReference w:id="5"/>
      </w:r>
      <w:r w:rsidRPr="00B15B14">
        <w:rPr>
          <w:rFonts w:ascii="Calibri" w:eastAsia="Malgun Gothic" w:hAnsi="Calibri" w:cs="Calibri"/>
          <w:sz w:val="22"/>
          <w:szCs w:val="22"/>
          <w:lang w:eastAsia="ko-KR"/>
        </w:rPr>
        <w:t xml:space="preserve"> </w:t>
      </w:r>
      <w:r w:rsidR="00B8530F">
        <w:rPr>
          <w:rFonts w:ascii="Calibri" w:eastAsia="Malgun Gothic" w:hAnsi="Calibri" w:cs="Calibri" w:hint="eastAsia"/>
          <w:sz w:val="22"/>
          <w:szCs w:val="22"/>
          <w:lang w:eastAsia="ko-KR"/>
        </w:rPr>
        <w:t xml:space="preserve">spanning from </w:t>
      </w:r>
      <w:r w:rsidRPr="009634A3">
        <w:rPr>
          <w:rFonts w:ascii="Calibri" w:eastAsia="Malgun Gothic" w:hAnsi="Calibri" w:cs="Calibri"/>
          <w:sz w:val="22"/>
          <w:szCs w:val="22"/>
          <w:lang w:eastAsia="ko-KR"/>
        </w:rPr>
        <w:t>0 to &gt; 80 years old</w:t>
      </w:r>
      <w:r>
        <w:rPr>
          <w:rFonts w:ascii="Calibri" w:eastAsia="Malgun Gothic" w:hAnsi="Calibri" w:cs="Calibri"/>
          <w:sz w:val="22"/>
          <w:szCs w:val="22"/>
          <w:lang w:eastAsia="ko-KR"/>
        </w:rPr>
        <w:t>.</w:t>
      </w:r>
      <w:r>
        <w:rPr>
          <w:rFonts w:ascii="Calibri" w:eastAsia="Malgun Gothic" w:hAnsi="Calibri" w:cs="Calibri" w:hint="eastAsia"/>
          <w:sz w:val="22"/>
          <w:szCs w:val="22"/>
          <w:lang w:eastAsia="ko-KR"/>
        </w:rPr>
        <w:t xml:space="preserve"> </w:t>
      </w:r>
      <w:r w:rsidRPr="00B15B14">
        <w:rPr>
          <w:rFonts w:ascii="Calibri" w:eastAsia="Malgun Gothic" w:hAnsi="Calibri" w:cs="Calibri"/>
          <w:sz w:val="22"/>
          <w:szCs w:val="22"/>
          <w:lang w:eastAsia="ko-KR"/>
        </w:rPr>
        <w:t xml:space="preserve">For age group </w:t>
      </w:r>
      <m:oMath>
        <m:r>
          <w:rPr>
            <w:rFonts w:ascii="Cambria Math" w:hAnsi="Cambria Math" w:cs="Calibri"/>
            <w:color w:val="000000" w:themeColor="text1"/>
            <w:kern w:val="24"/>
            <w:sz w:val="22"/>
            <w:szCs w:val="22"/>
            <w:lang w:val="en-US"/>
          </w:rPr>
          <m:t>a</m:t>
        </m:r>
      </m:oMath>
      <w:r w:rsidRPr="009634A3">
        <w:rPr>
          <w:rFonts w:ascii="Calibri" w:eastAsia="Malgun Gothic" w:hAnsi="Calibri" w:cs="Calibri"/>
          <w:color w:val="000000" w:themeColor="text1"/>
          <w:kern w:val="24"/>
          <w:sz w:val="22"/>
          <w:szCs w:val="22"/>
          <w:lang w:val="en-US" w:eastAsia="ko-KR"/>
        </w:rPr>
        <w:t xml:space="preserve"> in a week</w:t>
      </w:r>
      <w:r w:rsidRPr="009634A3">
        <w:rPr>
          <w:rFonts w:ascii="Calibri" w:eastAsia="Malgun Gothic" w:hAnsi="Calibri" w:cs="Calibri"/>
          <w:color w:val="000000" w:themeColor="text1"/>
          <w:kern w:val="24"/>
          <w:sz w:val="21"/>
          <w:szCs w:val="21"/>
          <w:lang w:val="en-US" w:eastAsia="ko-KR"/>
        </w:rPr>
        <w:t xml:space="preserve"> </w:t>
      </w:r>
      <m:oMath>
        <m:r>
          <w:rPr>
            <w:rFonts w:ascii="Cambria Math" w:eastAsia="Malgun Gothic" w:hAnsi="Cambria Math" w:cs="Calibri"/>
            <w:color w:val="000000" w:themeColor="text1"/>
            <w:kern w:val="24"/>
            <w:sz w:val="21"/>
            <w:szCs w:val="21"/>
            <w:lang w:val="en-US" w:eastAsia="ko-KR"/>
          </w:rPr>
          <m:t>t</m:t>
        </m:r>
      </m:oMath>
      <w:r>
        <w:rPr>
          <w:rFonts w:ascii="Calibri" w:eastAsia="Malgun Gothic" w:hAnsi="Calibri" w:cs="Calibri" w:hint="eastAsia"/>
          <w:color w:val="000000" w:themeColor="text1"/>
          <w:kern w:val="24"/>
          <w:sz w:val="21"/>
          <w:szCs w:val="21"/>
          <w:lang w:val="en-US" w:eastAsia="ko-KR"/>
        </w:rPr>
        <w:t xml:space="preserve"> (t=1-52)</w:t>
      </w:r>
      <w:r w:rsidRPr="00B15B14">
        <w:rPr>
          <w:rFonts w:ascii="Calibri" w:eastAsia="Malgun Gothic" w:hAnsi="Calibri" w:cs="Calibri"/>
          <w:color w:val="000000" w:themeColor="text1"/>
          <w:kern w:val="24"/>
          <w:sz w:val="21"/>
          <w:szCs w:val="21"/>
          <w:lang w:val="en-US" w:eastAsia="ko-KR"/>
        </w:rPr>
        <w:t>,</w:t>
      </w:r>
      <w:r w:rsidRPr="009634A3">
        <w:rPr>
          <w:rFonts w:ascii="Calibri" w:eastAsia="Malgun Gothic" w:hAnsi="Calibri" w:cs="Calibri"/>
          <w:color w:val="000000" w:themeColor="text1"/>
          <w:kern w:val="24"/>
          <w:sz w:val="22"/>
          <w:szCs w:val="22"/>
          <w:lang w:val="en-US" w:eastAsia="ko-KR"/>
        </w:rPr>
        <w:t xml:space="preserve"> </w:t>
      </w:r>
      <w:r>
        <w:rPr>
          <w:rFonts w:ascii="Calibri" w:eastAsia="Malgun Gothic" w:hAnsi="Calibri" w:cs="Calibri"/>
          <w:color w:val="000000" w:themeColor="text1"/>
          <w:kern w:val="24"/>
          <w:sz w:val="22"/>
          <w:szCs w:val="22"/>
          <w:lang w:val="en-US" w:eastAsia="ko-KR"/>
        </w:rPr>
        <w:t>th</w:t>
      </w:r>
      <w:r>
        <w:rPr>
          <w:rFonts w:ascii="Calibri" w:eastAsia="Malgun Gothic" w:hAnsi="Calibri" w:cs="Calibri" w:hint="eastAsia"/>
          <w:color w:val="000000" w:themeColor="text1"/>
          <w:kern w:val="24"/>
          <w:sz w:val="22"/>
          <w:szCs w:val="22"/>
          <w:lang w:val="en-US" w:eastAsia="ko-KR"/>
        </w:rPr>
        <w:t xml:space="preserve">e </w:t>
      </w:r>
      <w:commentRangeStart w:id="6"/>
      <w:r w:rsidRPr="31887417">
        <w:rPr>
          <w:rFonts w:ascii="Calibri" w:eastAsia="Malgun Gothic" w:hAnsi="Calibri" w:cs="Calibri" w:hint="eastAsia"/>
          <w:color w:val="000000" w:themeColor="text1"/>
          <w:sz w:val="22"/>
          <w:szCs w:val="22"/>
          <w:lang w:val="en-US" w:eastAsia="ko-KR"/>
        </w:rPr>
        <w:t xml:space="preserve">FOI </w:t>
      </w:r>
      <w:commentRangeEnd w:id="6"/>
      <w:r w:rsidRPr="31887417">
        <w:rPr>
          <w:rStyle w:val="CommentReference"/>
          <w:rFonts w:ascii="Calibri" w:eastAsia="Malgun Gothic" w:hAnsi="Calibri" w:cs="Calibri"/>
          <w:color w:val="000000" w:themeColor="text1"/>
          <w:sz w:val="22"/>
          <w:szCs w:val="22"/>
          <w:lang w:val="en-US" w:eastAsia="ko-KR"/>
        </w:rPr>
        <w:commentReference w:id="6"/>
      </w:r>
      <w:r w:rsidRPr="31887417">
        <w:rPr>
          <w:rFonts w:ascii="Calibri" w:eastAsia="Malgun Gothic" w:hAnsi="Calibri" w:cs="Calibri" w:hint="eastAsia"/>
          <w:color w:val="000000" w:themeColor="text1"/>
          <w:sz w:val="22"/>
          <w:szCs w:val="22"/>
          <w:lang w:val="en-US" w:eastAsia="ko-KR"/>
        </w:rPr>
        <w:t xml:space="preserve">was defined as </w:t>
      </w:r>
    </w:p>
    <w:p w14:paraId="43E66267" w14:textId="21F0EA45" w:rsidR="00AE3D7F" w:rsidRPr="00CF6D3D" w:rsidRDefault="00017CCB" w:rsidP="00A63CC4">
      <w:pPr>
        <w:jc w:val="both"/>
        <w:rPr>
          <w:rFonts w:ascii="Calibri" w:eastAsia="Cambria Math" w:hAnsi="Calibri" w:cs="Calibri"/>
          <w:color w:val="000000"/>
          <w:kern w:val="24"/>
          <w:sz w:val="22"/>
          <w:szCs w:val="22"/>
        </w:rPr>
      </w:pPr>
      <m:oMathPara>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eastAsia="ko-KR"/>
                </w:rPr>
                <m:t>r,t</m:t>
              </m:r>
            </m:sub>
          </m:sSub>
          <m:r>
            <w:rPr>
              <w:rFonts w:ascii="Cambria Math" w:eastAsia="Malgun Gothic" w:hAnsi="Cambria Math" w:cs="Calibri"/>
              <w:sz w:val="22"/>
              <w:szCs w:val="22"/>
              <w:lang w:eastAsia="ko-KR"/>
            </w:rPr>
            <m:t>=</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f>
            <m:fPr>
              <m:ctrlPr>
                <w:rPr>
                  <w:rFonts w:ascii="Cambria Math" w:hAnsi="Cambria Math" w:cs="Calibri"/>
                  <w:i/>
                  <w:sz w:val="22"/>
                  <w:szCs w:val="22"/>
                </w:rPr>
              </m:ctrlPr>
            </m:fPr>
            <m:num>
              <m:nary>
                <m:naryPr>
                  <m:chr m:val="∑"/>
                  <m:limLoc m:val="undOvr"/>
                  <m:supHide m:val="1"/>
                  <m:ctrlPr>
                    <w:rPr>
                      <w:rFonts w:ascii="Cambria Math" w:hAnsi="Cambria Math" w:cs="Calibri"/>
                      <w:i/>
                      <w:sz w:val="22"/>
                      <w:szCs w:val="22"/>
                    </w:rPr>
                  </m:ctrlPr>
                </m:naryPr>
                <m:sub>
                  <m:r>
                    <w:rPr>
                      <w:rFonts w:ascii="Cambria Math" w:hAnsi="Cambria Math" w:cs="Calibri"/>
                      <w:sz w:val="22"/>
                      <w:szCs w:val="22"/>
                    </w:rPr>
                    <m:t>a</m:t>
                  </m:r>
                </m:sub>
                <m:sup/>
                <m:e>
                  <m:sSub>
                    <m:sSubPr>
                      <m:ctrlPr>
                        <w:rPr>
                          <w:rFonts w:ascii="Cambria Math" w:eastAsia="Malgun Gothic" w:hAnsi="Cambria Math" w:cs="Calibri"/>
                          <w:i/>
                          <w:sz w:val="22"/>
                          <w:szCs w:val="22"/>
                          <w:lang w:eastAsia="ko-KR"/>
                        </w:rPr>
                      </m:ctrlPr>
                    </m:sSubPr>
                    <m:e>
                      <m:r>
                        <w:rPr>
                          <w:rFonts w:ascii="Cambria Math" w:hAnsi="Cambria Math" w:cs="Calibri"/>
                          <w:sz w:val="22"/>
                          <w:szCs w:val="22"/>
                        </w:rPr>
                        <m:t>I</m:t>
                      </m:r>
                      <m:ctrlPr>
                        <w:rPr>
                          <w:rFonts w:ascii="Cambria Math" w:hAnsi="Cambria Math" w:cs="Calibri"/>
                          <w:i/>
                          <w:sz w:val="22"/>
                          <w:szCs w:val="22"/>
                        </w:rPr>
                      </m:ctrlPr>
                    </m:e>
                    <m:sub>
                      <m:r>
                        <w:rPr>
                          <w:rFonts w:ascii="Cambria Math" w:eastAsia="Malgun Gothic" w:hAnsi="Cambria Math" w:cs="Calibri"/>
                          <w:sz w:val="22"/>
                          <w:szCs w:val="22"/>
                          <w:lang w:eastAsia="ko-KR"/>
                        </w:rPr>
                        <m:t>a,r,t</m:t>
                      </m:r>
                    </m:sub>
                  </m:sSub>
                </m:e>
              </m:nary>
              <m:ctrlPr>
                <w:rPr>
                  <w:rFonts w:ascii="Cambria Math" w:eastAsia="Malgun Gothic" w:hAnsi="Cambria Math" w:cs="Calibri"/>
                  <w:i/>
                  <w:sz w:val="22"/>
                  <w:szCs w:val="22"/>
                  <w:lang w:eastAsia="ko-KR"/>
                </w:rPr>
              </m:ctrlPr>
            </m:num>
            <m:den>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N</m:t>
                  </m:r>
                </m:e>
                <m:sub>
                  <m:r>
                    <w:rPr>
                      <w:rFonts w:ascii="Cambria Math" w:eastAsia="Malgun Gothic" w:hAnsi="Cambria Math" w:cs="Calibri"/>
                      <w:sz w:val="22"/>
                      <w:szCs w:val="22"/>
                      <w:lang w:eastAsia="ko-KR"/>
                    </w:rPr>
                    <m:t>r</m:t>
                  </m:r>
                </m:sub>
              </m:sSub>
            </m:den>
          </m:f>
        </m:oMath>
      </m:oMathPara>
    </w:p>
    <w:p w14:paraId="7859E5E0" w14:textId="6051EB63" w:rsidR="00AE3D7F" w:rsidRDefault="00AE3D7F" w:rsidP="00205D14">
      <w:pPr>
        <w:rPr>
          <w:rFonts w:ascii="Calibri" w:eastAsia="Malgun Gothic" w:hAnsi="Calibri" w:cs="Calibri"/>
          <w:sz w:val="22"/>
          <w:szCs w:val="22"/>
          <w:lang w:eastAsia="ko-KR"/>
        </w:rPr>
      </w:pPr>
      <w:r w:rsidRPr="00485DCD">
        <w:rPr>
          <w:rFonts w:ascii="Calibri" w:eastAsia="Malgun Gothic" w:hAnsi="Calibri" w:cs="Calibri"/>
          <w:sz w:val="22"/>
          <w:szCs w:val="22"/>
          <w:lang w:eastAsia="ko-KR"/>
        </w:rPr>
        <w:t>For each state</w:t>
      </w:r>
      <w:r w:rsidR="31887417" w:rsidRPr="31887417">
        <w:rPr>
          <w:rFonts w:ascii="Calibri" w:hAnsi="Calibri" w:cs="Calibri"/>
          <w:sz w:val="22"/>
          <w:szCs w:val="22"/>
        </w:rPr>
        <w:t xml:space="preserve"> r</w:t>
      </w:r>
      <w:r w:rsidRPr="00485DCD">
        <w:rPr>
          <w:rFonts w:ascii="Calibri" w:eastAsia="Malgun Gothic" w:hAnsi="Calibri" w:cs="Calibri"/>
          <w:sz w:val="22"/>
          <w:szCs w:val="22"/>
          <w:lang w:eastAsia="ko-KR"/>
        </w:rPr>
        <w:t>, the time-varying transmission rate and corresponding latent epidemic trajectory were inferred from weekly reported symptomatic case data within a Bayesian framework.</w:t>
      </w:r>
      <w:r>
        <w:rPr>
          <w:rFonts w:ascii="Calibri" w:eastAsia="Malgun Gothic" w:hAnsi="Calibri" w:cs="Calibri" w:hint="eastAsia"/>
          <w:sz w:val="22"/>
          <w:szCs w:val="22"/>
          <w:lang w:eastAsia="ko-KR"/>
        </w:rPr>
        <w:t xml:space="preserve"> </w:t>
      </w:r>
      <w:r w:rsidRPr="007C404C">
        <w:rPr>
          <w:rFonts w:ascii="Calibri" w:eastAsia="Malgun Gothic" w:hAnsi="Calibri" w:cs="Calibri"/>
          <w:sz w:val="22"/>
          <w:szCs w:val="22"/>
          <w:lang w:eastAsia="ko-KR"/>
        </w:rPr>
        <w:t xml:space="preserve">Susceptible individuals progressed to the exposed compartment according to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eastAsia="ko-KR"/>
              </w:rPr>
              <m:t>t</m:t>
            </m:r>
          </m:sub>
        </m:sSub>
      </m:oMath>
      <w:r w:rsidRPr="007C404C">
        <w:rPr>
          <w:rFonts w:ascii="Calibri" w:eastAsia="Malgun Gothic" w:hAnsi="Calibri" w:cs="Calibri"/>
          <w:sz w:val="22"/>
          <w:szCs w:val="22"/>
          <w:lang w:eastAsia="ko-KR"/>
        </w:rPr>
        <w:t>, exposed individuals became infectious with weekly probability σ, and infectious individuals recovered with weekly probability γ. The fitted model was subsequently extended with a vaccinated compartment to simulate vaccination scenarios.</w:t>
      </w:r>
    </w:p>
    <w:p w14:paraId="2BD4C820" w14:textId="77777777" w:rsidR="00AE3D7F" w:rsidRPr="0042294A" w:rsidRDefault="00AE3D7F" w:rsidP="00205D14">
      <w:pPr>
        <w:rPr>
          <w:rFonts w:ascii="Calibri" w:eastAsia="Malgun Gothic" w:hAnsi="Calibri" w:cs="Calibri"/>
          <w:sz w:val="22"/>
          <w:szCs w:val="22"/>
          <w:lang w:eastAsia="ko-KR"/>
        </w:rPr>
      </w:pPr>
      <w:r w:rsidRPr="00DD3874">
        <w:rPr>
          <w:rFonts w:ascii="Calibri" w:hAnsi="Calibri" w:cs="Calibri"/>
          <w:sz w:val="22"/>
          <w:szCs w:val="22"/>
        </w:rPr>
        <w:t xml:space="preserve">For each </w:t>
      </w:r>
      <w:r w:rsidRPr="0042294A">
        <w:rPr>
          <w:rFonts w:ascii="Calibri" w:hAnsi="Calibri" w:cs="Calibri"/>
          <w:sz w:val="22"/>
          <w:szCs w:val="22"/>
        </w:rPr>
        <w:t xml:space="preserve">state </w:t>
      </w:r>
      <m:oMath>
        <m:r>
          <w:rPr>
            <w:rFonts w:ascii="Cambria Math" w:eastAsia="Malgun Gothic" w:hAnsi="Cambria Math" w:cs="Calibri"/>
            <w:sz w:val="22"/>
            <w:szCs w:val="22"/>
            <w:lang w:eastAsia="ko-KR"/>
          </w:rPr>
          <m:t>r</m:t>
        </m:r>
      </m:oMath>
      <w:r w:rsidRPr="0042294A">
        <w:rPr>
          <w:rFonts w:ascii="Calibri" w:hAnsi="Calibri" w:cs="Calibri"/>
          <w:sz w:val="22"/>
          <w:szCs w:val="22"/>
        </w:rPr>
        <w:t>,</w:t>
      </w:r>
      <w:r w:rsidRPr="0042294A">
        <w:rPr>
          <w:rFonts w:ascii="Calibri" w:eastAsia="Malgun Gothic" w:hAnsi="Calibri" w:cs="Calibri" w:hint="eastAsia"/>
          <w:sz w:val="22"/>
          <w:szCs w:val="22"/>
          <w:lang w:eastAsia="ko-KR"/>
        </w:rPr>
        <w:t xml:space="preserve"> the</w:t>
      </w:r>
      <w:r>
        <w:rPr>
          <w:rFonts w:ascii="Calibri" w:eastAsia="Malgun Gothic" w:hAnsi="Calibri" w:cs="Calibri" w:hint="eastAsia"/>
          <w:sz w:val="22"/>
          <w:szCs w:val="22"/>
          <w:lang w:eastAsia="ko-KR"/>
        </w:rPr>
        <w:t xml:space="preserve"> weekly transmission rates</w:t>
      </w:r>
      <w:r w:rsidRPr="0042294A">
        <w:rPr>
          <w:rFonts w:ascii="Calibri" w:eastAsia="Malgun Gothic" w:hAnsi="Calibri" w:cs="Calibri" w:hint="eastAsia"/>
          <w:sz w:val="22"/>
          <w:szCs w:val="22"/>
          <w:lang w:eastAsia="ko-KR"/>
        </w:rPr>
        <w:t xml:space="preserve">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oMath>
      <w:r w:rsidRPr="0042294A">
        <w:rPr>
          <w:rFonts w:ascii="Calibri" w:eastAsia="Malgun Gothic" w:hAnsi="Calibri" w:cs="Calibri" w:hint="eastAsia"/>
          <w:sz w:val="22"/>
          <w:szCs w:val="22"/>
          <w:lang w:eastAsia="ko-KR"/>
        </w:rPr>
        <w:t xml:space="preserve"> </w:t>
      </w:r>
      <w:r w:rsidRPr="0042294A">
        <w:rPr>
          <w:rFonts w:ascii="Calibri" w:hAnsi="Calibri" w:cs="Calibri"/>
          <w:sz w:val="22"/>
          <w:szCs w:val="22"/>
        </w:rPr>
        <w:t xml:space="preserve">was </w:t>
      </w:r>
      <w:r w:rsidRPr="0042294A">
        <w:rPr>
          <w:rFonts w:ascii="Calibri" w:eastAsia="Malgun Gothic" w:hAnsi="Calibri" w:cs="Calibri"/>
          <w:sz w:val="22"/>
          <w:szCs w:val="22"/>
          <w:lang w:eastAsia="ko-KR"/>
        </w:rPr>
        <w:t>modelled</w:t>
      </w:r>
      <w:r w:rsidRPr="0042294A">
        <w:rPr>
          <w:rFonts w:ascii="Calibri" w:eastAsia="Malgun Gothic" w:hAnsi="Calibri" w:cs="Calibri" w:hint="eastAsia"/>
          <w:sz w:val="22"/>
          <w:szCs w:val="22"/>
          <w:lang w:eastAsia="ko-KR"/>
        </w:rPr>
        <w:t xml:space="preserve"> as a smoothed trajectory on the log scale</w:t>
      </w:r>
      <w:r>
        <w:rPr>
          <w:rFonts w:ascii="Calibri" w:eastAsia="Malgun Gothic" w:hAnsi="Calibri" w:cs="Calibri" w:hint="eastAsia"/>
          <w:sz w:val="22"/>
          <w:szCs w:val="22"/>
          <w:lang w:eastAsia="ko-KR"/>
        </w:rPr>
        <w:t xml:space="preserve"> using a </w:t>
      </w:r>
      <w:r>
        <w:rPr>
          <w:rFonts w:ascii="Calibri" w:eastAsia="Malgun Gothic" w:hAnsi="Calibri" w:cs="Calibri"/>
          <w:sz w:val="22"/>
          <w:szCs w:val="22"/>
          <w:lang w:eastAsia="ko-KR"/>
        </w:rPr>
        <w:t>random walk</w:t>
      </w:r>
      <w:r>
        <w:rPr>
          <w:rFonts w:ascii="Calibri" w:eastAsia="Malgun Gothic" w:hAnsi="Calibri" w:cs="Calibri" w:hint="eastAsia"/>
          <w:sz w:val="22"/>
          <w:szCs w:val="22"/>
          <w:lang w:eastAsia="ko-KR"/>
        </w:rPr>
        <w:t>:</w:t>
      </w:r>
      <w:r w:rsidRPr="0042294A">
        <w:rPr>
          <w:rFonts w:ascii="Calibri" w:eastAsia="Malgun Gothic" w:hAnsi="Calibri" w:cs="Calibri" w:hint="eastAsia"/>
          <w:sz w:val="22"/>
          <w:szCs w:val="22"/>
          <w:lang w:eastAsia="ko-KR"/>
        </w:rPr>
        <w:t xml:space="preserve"> </w:t>
      </w:r>
    </w:p>
    <w:p w14:paraId="1D0E2FF2" w14:textId="5343A525" w:rsidR="00AE3D7F" w:rsidRPr="00F5288D" w:rsidRDefault="00017CCB" w:rsidP="004A34D6">
      <w:pPr>
        <w:jc w:val="center"/>
        <w:rPr>
          <w:rFonts w:ascii="Calibri" w:eastAsia="Malgun Gothic" w:hAnsi="Calibri" w:cs="Calibri"/>
          <w:sz w:val="22"/>
          <w:szCs w:val="22"/>
        </w:rPr>
      </w:pPr>
      <m:oMathPara>
        <m:oMath>
          <m:sSub>
            <m:sSubPr>
              <m:ctrlPr>
                <w:rPr>
                  <w:rFonts w:ascii="Cambria Math" w:hAnsi="Cambria Math" w:cs="Calibri"/>
                  <w:i/>
                  <w:sz w:val="22"/>
                  <w:szCs w:val="22"/>
                </w:rPr>
              </m:ctrlPr>
            </m:sSubPr>
            <m:e>
              <m:r>
                <m:rPr>
                  <m:sty m:val="p"/>
                </m:rPr>
                <w:rPr>
                  <w:rFonts w:ascii="Cambria Math" w:hAnsi="Cambria Math" w:cs="Calibri"/>
                  <w:sz w:val="22"/>
                  <w:szCs w:val="22"/>
                </w:rPr>
                <m:t>log⁡</m:t>
              </m:r>
              <m:r>
                <w:rPr>
                  <w:rFonts w:ascii="Cambria Math" w:eastAsia="Malgun Gothic" w:hAnsi="Cambria Math" w:cs="Calibri"/>
                  <w:sz w:val="22"/>
                  <w:szCs w:val="22"/>
                  <w:lang w:eastAsia="ko-KR"/>
                </w:rPr>
                <m:t>(</m:t>
              </m:r>
              <m:r>
                <w:rPr>
                  <w:rFonts w:ascii="Cambria Math" w:hAnsi="Cambria Math" w:cs="Calibri"/>
                  <w:sz w:val="22"/>
                  <w:szCs w:val="22"/>
                </w:rPr>
                <m:t>β</m:t>
              </m:r>
            </m:e>
            <m:sub>
              <m:r>
                <w:rPr>
                  <w:rFonts w:ascii="Cambria Math" w:eastAsia="Malgun Gothic" w:hAnsi="Cambria Math" w:cs="Calibri"/>
                  <w:sz w:val="22"/>
                  <w:szCs w:val="22"/>
                  <w:lang w:eastAsia="ko-KR"/>
                </w:rPr>
                <m:t>r,t</m:t>
              </m:r>
            </m:sub>
          </m:sSub>
          <m:r>
            <w:rPr>
              <w:rFonts w:ascii="Cambria Math" w:hAnsi="Cambria Math" w:cs="Calibri"/>
              <w:sz w:val="22"/>
              <w:szCs w:val="22"/>
            </w:rPr>
            <m:t>)</m:t>
          </m:r>
          <m:r>
            <w:rPr>
              <w:rFonts w:ascii="Cambria Math" w:eastAsia="Malgun Gothic" w:hAnsi="Cambria Math" w:cs="Calibri"/>
              <w:sz w:val="22"/>
              <w:szCs w:val="22"/>
              <w:lang w:eastAsia="ko-KR"/>
            </w:rPr>
            <m:t xml:space="preserve">= </m:t>
          </m:r>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α</m:t>
              </m:r>
            </m:e>
            <m:sub>
              <m:r>
                <w:rPr>
                  <w:rFonts w:ascii="Cambria Math" w:eastAsia="Malgun Gothic" w:hAnsi="Cambria Math" w:cs="Calibri"/>
                  <w:sz w:val="22"/>
                  <w:szCs w:val="22"/>
                  <w:lang w:eastAsia="ko-KR"/>
                </w:rPr>
                <m:t>β,r</m:t>
              </m:r>
            </m:sub>
          </m:sSub>
          <m:r>
            <w:rPr>
              <w:rFonts w:ascii="Cambria Math" w:hAnsi="Cambria Math" w:cs="Calibri"/>
              <w:sz w:val="22"/>
              <w:szCs w:val="22"/>
            </w:rPr>
            <m:t>+</m:t>
          </m:r>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δ</m:t>
              </m:r>
            </m:e>
            <m:sub>
              <m:r>
                <w:rPr>
                  <w:rFonts w:ascii="Cambria Math" w:eastAsia="Malgun Gothic" w:hAnsi="Cambria Math" w:cs="Calibri"/>
                  <w:sz w:val="22"/>
                  <w:szCs w:val="22"/>
                  <w:lang w:eastAsia="ko-KR"/>
                </w:rPr>
                <m:t>r,t</m:t>
              </m:r>
            </m:sub>
          </m:sSub>
        </m:oMath>
      </m:oMathPara>
    </w:p>
    <w:p w14:paraId="445212DB" w14:textId="77777777" w:rsidR="00AE3D7F" w:rsidRPr="004A34D6" w:rsidRDefault="00AE3D7F" w:rsidP="00A63CC4">
      <w:pPr>
        <w:rPr>
          <w:rFonts w:ascii="Calibri" w:eastAsia="Malgun Gothic" w:hAnsi="Calibri" w:cs="Calibri"/>
          <w:sz w:val="22"/>
          <w:szCs w:val="22"/>
          <w:lang w:eastAsia="ko-KR"/>
        </w:rPr>
      </w:pPr>
      <w:r>
        <w:rPr>
          <w:rFonts w:ascii="Calibri" w:eastAsia="Malgun Gothic" w:hAnsi="Calibri" w:cs="Calibri"/>
          <w:sz w:val="22"/>
          <w:szCs w:val="22"/>
          <w:lang w:eastAsia="ko-KR"/>
        </w:rPr>
        <w:t>W</w:t>
      </w:r>
      <w:r>
        <w:rPr>
          <w:rFonts w:ascii="Calibri" w:eastAsia="Malgun Gothic" w:hAnsi="Calibri" w:cs="Calibri" w:hint="eastAsia"/>
          <w:sz w:val="22"/>
          <w:szCs w:val="22"/>
          <w:lang w:eastAsia="ko-KR"/>
        </w:rPr>
        <w:t xml:space="preserve">here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α</m:t>
            </m:r>
          </m:e>
          <m:sub>
            <m:r>
              <w:rPr>
                <w:rFonts w:ascii="Cambria Math" w:eastAsia="Malgun Gothic" w:hAnsi="Cambria Math" w:cs="Calibri"/>
                <w:sz w:val="22"/>
                <w:szCs w:val="22"/>
                <w:lang w:eastAsia="ko-KR"/>
              </w:rPr>
              <m:t>β</m:t>
            </m:r>
          </m:sub>
        </m:sSub>
      </m:oMath>
      <w:r>
        <w:rPr>
          <w:rFonts w:ascii="Calibri" w:eastAsia="Malgun Gothic" w:hAnsi="Calibri" w:cs="Calibri" w:hint="eastAsia"/>
          <w:sz w:val="22"/>
          <w:szCs w:val="22"/>
          <w:lang w:eastAsia="ko-KR"/>
        </w:rPr>
        <w:t xml:space="preserve"> represents the state-specific average log transmission level and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δ</m:t>
            </m:r>
          </m:e>
          <m:sub>
            <m:r>
              <w:rPr>
                <w:rFonts w:ascii="Cambria Math" w:eastAsia="Malgun Gothic" w:hAnsi="Cambria Math" w:cs="Calibri"/>
                <w:sz w:val="22"/>
                <w:szCs w:val="22"/>
                <w:lang w:eastAsia="ko-KR"/>
              </w:rPr>
              <m:t>t</m:t>
            </m:r>
          </m:sub>
        </m:sSub>
      </m:oMath>
      <w:r>
        <w:rPr>
          <w:rFonts w:ascii="Calibri" w:eastAsia="Malgun Gothic" w:hAnsi="Calibri" w:cs="Calibri" w:hint="eastAsia"/>
          <w:sz w:val="22"/>
          <w:szCs w:val="22"/>
          <w:lang w:eastAsia="ko-KR"/>
        </w:rPr>
        <w:t xml:space="preserve"> represents a random walk deviation allowing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oMath>
      <w:r>
        <w:rPr>
          <w:rFonts w:ascii="Calibri" w:eastAsia="Malgun Gothic" w:hAnsi="Calibri" w:cs="Calibri" w:hint="eastAsia"/>
          <w:sz w:val="22"/>
          <w:szCs w:val="22"/>
          <w:lang w:eastAsia="ko-KR"/>
        </w:rPr>
        <w:t xml:space="preserve"> </w:t>
      </w:r>
      <w:commentRangeStart w:id="7"/>
      <w:r>
        <w:rPr>
          <w:rFonts w:ascii="Calibri" w:eastAsia="Malgun Gothic" w:hAnsi="Calibri" w:cs="Calibri" w:hint="eastAsia"/>
          <w:sz w:val="22"/>
          <w:szCs w:val="22"/>
          <w:lang w:eastAsia="ko-KR"/>
        </w:rPr>
        <w:t xml:space="preserve">vary between weeks. </w:t>
      </w:r>
      <w:commentRangeEnd w:id="7"/>
      <w:r w:rsidRPr="004A34D6">
        <w:rPr>
          <w:rStyle w:val="CommentReference"/>
          <w:rFonts w:ascii="Calibri" w:eastAsia="Malgun Gothic" w:hAnsi="Calibri" w:cs="Calibri"/>
          <w:sz w:val="22"/>
          <w:szCs w:val="22"/>
          <w:lang w:eastAsia="ko-KR"/>
        </w:rPr>
        <w:commentReference w:id="7"/>
      </w:r>
    </w:p>
    <w:p w14:paraId="1BAA4164" w14:textId="77777777" w:rsidR="00AE3D7F" w:rsidRPr="00CF6D3D" w:rsidRDefault="00AE3D7F" w:rsidP="00CF6D3D">
      <w:pPr>
        <w:spacing w:line="276" w:lineRule="auto"/>
        <w:rPr>
          <w:rFonts w:ascii="Calibri" w:eastAsia="Malgun Gothic" w:hAnsi="Calibri" w:cs="Calibri"/>
          <w:color w:val="0F4761" w:themeColor="accent1" w:themeShade="BF"/>
          <w:lang w:eastAsia="ko-KR"/>
        </w:rPr>
      </w:pPr>
      <w:r>
        <w:rPr>
          <w:rStyle w:val="IntenseEmphasis"/>
          <w:rFonts w:ascii="Calibri" w:eastAsia="Malgun Gothic" w:hAnsi="Calibri" w:cs="Calibri" w:hint="eastAsia"/>
          <w:i w:val="0"/>
          <w:iCs w:val="0"/>
          <w:lang w:eastAsia="ko-KR"/>
        </w:rPr>
        <w:t>Observation model</w:t>
      </w:r>
    </w:p>
    <w:p w14:paraId="6D9B4708" w14:textId="77777777" w:rsidR="00AE3D7F" w:rsidRPr="00570AA1" w:rsidRDefault="00AE3D7F" w:rsidP="00205D14">
      <w:pPr>
        <w:rPr>
          <w:rFonts w:ascii="Calibri" w:eastAsia="Malgun Gothic" w:hAnsi="Calibri" w:cs="Calibri"/>
          <w:i/>
          <w:sz w:val="22"/>
          <w:szCs w:val="22"/>
          <w:lang w:eastAsia="ko-KR"/>
        </w:rPr>
      </w:pPr>
      <w:r>
        <w:rPr>
          <w:rFonts w:ascii="Calibri" w:eastAsia="Malgun Gothic" w:hAnsi="Calibri" w:cs="Calibri" w:hint="eastAsia"/>
          <w:sz w:val="22"/>
          <w:szCs w:val="22"/>
          <w:lang w:eastAsia="ko-KR"/>
        </w:rPr>
        <w:t xml:space="preserve">Reported symptomatic cases in each state were linked to model-predicted new infectious </w:t>
      </w:r>
      <w:r w:rsidDel="003060F3">
        <w:rPr>
          <w:rFonts w:ascii="Calibri" w:eastAsia="Malgun Gothic" w:hAnsi="Calibri" w:cs="Calibri" w:hint="eastAsia"/>
          <w:sz w:val="22"/>
          <w:szCs w:val="22"/>
          <w:lang w:eastAsia="ko-KR"/>
        </w:rPr>
        <w:t xml:space="preserve">onsets </w:t>
      </w:r>
      <w:r>
        <w:rPr>
          <w:rFonts w:ascii="Calibri" w:eastAsia="Malgun Gothic" w:hAnsi="Calibri" w:cs="Calibri" w:hint="eastAsia"/>
          <w:sz w:val="22"/>
          <w:szCs w:val="22"/>
          <w:lang w:eastAsia="ko-KR"/>
        </w:rPr>
        <w:t xml:space="preserve">through an effective infection to report probability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 eff</m:t>
            </m:r>
          </m:sub>
        </m:sSub>
        <m:r>
          <w:rPr>
            <w:rFonts w:ascii="Cambria Math" w:eastAsia="Malgun Gothic" w:hAnsi="Calibri" w:cs="Calibri"/>
            <w:sz w:val="22"/>
            <w:szCs w:val="22"/>
            <w:lang w:eastAsia="ko-KR"/>
          </w:rPr>
          <m:t>)</m:t>
        </m:r>
      </m:oMath>
      <w:r>
        <w:rPr>
          <w:rFonts w:ascii="Calibri" w:eastAsia="Malgun Gothic" w:hAnsi="Calibri" w:cs="Calibri" w:hint="eastAsia"/>
          <w:sz w:val="22"/>
          <w:szCs w:val="22"/>
          <w:lang w:eastAsia="ko-KR"/>
        </w:rPr>
        <w:t xml:space="preserve">  under a negative binomial observation model with overdispersion parameter </w:t>
      </w:r>
      <m:oMath>
        <m:r>
          <w:rPr>
            <w:rFonts w:ascii="Cambria Math" w:eastAsia="Malgun Gothic" w:hAnsi="Cambria Math" w:cs="Calibri"/>
            <w:sz w:val="22"/>
            <w:szCs w:val="22"/>
            <w:lang w:eastAsia="ko-KR"/>
          </w:rPr>
          <m:t>(</m:t>
        </m:r>
        <m:r>
          <w:rPr>
            <w:rFonts w:ascii="Cambria Math" w:hAnsi="Cambria Math" w:cs="Calibri"/>
            <w:sz w:val="22"/>
            <w:szCs w:val="22"/>
          </w:rPr>
          <m:t>φ)</m:t>
        </m:r>
      </m:oMath>
      <w:r>
        <w:rPr>
          <w:rFonts w:ascii="Calibri" w:eastAsia="Malgun Gothic" w:hAnsi="Calibri" w:cs="Calibri" w:hint="eastAsia"/>
          <w:sz w:val="22"/>
          <w:szCs w:val="22"/>
          <w:lang w:eastAsia="ko-KR"/>
        </w:rPr>
        <w:t xml:space="preserve">. We decomposed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 eff</m:t>
            </m:r>
          </m:sub>
        </m:sSub>
      </m:oMath>
      <w:r>
        <w:rPr>
          <w:rFonts w:ascii="Calibri" w:eastAsia="Malgun Gothic" w:hAnsi="Calibri" w:cs="Calibri" w:hint="eastAsia"/>
          <w:sz w:val="22"/>
          <w:szCs w:val="22"/>
          <w:lang w:eastAsia="ko-KR"/>
        </w:rPr>
        <w:t xml:space="preserve"> into the probability that an infection becomes symptomatic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m:t>
        </m:r>
      </m:oMath>
      <w:r>
        <w:rPr>
          <w:rFonts w:ascii="Calibri" w:eastAsia="Malgun Gothic" w:hAnsi="Calibri" w:cs="Calibri" w:hint="eastAsia"/>
          <w:sz w:val="22"/>
          <w:szCs w:val="22"/>
          <w:lang w:eastAsia="ko-KR"/>
        </w:rPr>
        <w:t xml:space="preserve"> and the </w:t>
      </w:r>
      <w:r>
        <w:rPr>
          <w:rFonts w:ascii="Calibri" w:eastAsia="Malgun Gothic" w:hAnsi="Calibri" w:cs="Calibri"/>
          <w:sz w:val="22"/>
          <w:szCs w:val="22"/>
          <w:lang w:eastAsia="ko-KR"/>
        </w:rPr>
        <w:t>probability</w:t>
      </w:r>
      <w:r>
        <w:rPr>
          <w:rFonts w:ascii="Calibri" w:eastAsia="Malgun Gothic" w:hAnsi="Calibri" w:cs="Calibri" w:hint="eastAsia"/>
          <w:sz w:val="22"/>
          <w:szCs w:val="22"/>
          <w:lang w:eastAsia="ko-KR"/>
        </w:rPr>
        <w:t xml:space="preserve"> that a symptomatic infection is reported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r>
          <w:rPr>
            <w:rFonts w:ascii="Cambria Math" w:eastAsia="Malgun Gothic" w:hAnsi="Calibri" w:cs="Calibri"/>
            <w:sz w:val="22"/>
            <w:szCs w:val="22"/>
            <w:lang w:eastAsia="ko-KR"/>
          </w:rPr>
          <m:t>)</m:t>
        </m:r>
      </m:oMath>
      <w:r>
        <w:rPr>
          <w:rFonts w:ascii="Calibri" w:eastAsia="Malgun Gothic" w:hAnsi="Calibri" w:cs="Calibri" w:hint="eastAsia"/>
          <w:sz w:val="22"/>
          <w:szCs w:val="22"/>
          <w:lang w:eastAsia="ko-KR"/>
        </w:rPr>
        <w:t xml:space="preserve">, such </w:t>
      </w:r>
      <w:r>
        <w:rPr>
          <w:rFonts w:ascii="Calibri" w:eastAsia="Malgun Gothic" w:hAnsi="Calibri" w:cs="Calibri"/>
          <w:sz w:val="22"/>
          <w:szCs w:val="22"/>
          <w:lang w:eastAsia="ko-KR"/>
        </w:rPr>
        <w:t>that</w:t>
      </w:r>
      <w:r>
        <w:rPr>
          <w:rFonts w:ascii="Calibri" w:eastAsia="Malgun Gothic" w:hAnsi="Calibri" w:cs="Calibri" w:hint="eastAsia"/>
          <w:sz w:val="22"/>
          <w:szCs w:val="22"/>
          <w:lang w:eastAsia="ko-KR"/>
        </w:rPr>
        <w:t xml:space="preserve">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eff</m:t>
            </m:r>
          </m:sub>
        </m:sSub>
        <m:r>
          <w:rPr>
            <w:rFonts w:ascii="Cambria Math" w:eastAsia="Malgun Gothic" w:hAnsi="Cambria Math" w:cs="Calibri"/>
            <w:sz w:val="22"/>
            <w:szCs w:val="22"/>
            <w:lang w:eastAsia="ko-KR"/>
          </w:rPr>
          <m:t>=</m:t>
        </m:r>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 xml:space="preserve"> </m:t>
        </m:r>
        <m:r>
          <w:rPr>
            <w:rFonts w:ascii="Cambria Math" w:hAnsi="Cambria Math" w:cs="Calibri"/>
            <w:sz w:val="22"/>
            <w:szCs w:val="22"/>
          </w:rPr>
          <m:t xml:space="preserve">∙ </m:t>
        </m:r>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Pr>
          <w:rFonts w:ascii="Calibri" w:eastAsia="Malgun Gothic" w:hAnsi="Calibri" w:cs="Calibri" w:hint="eastAsia"/>
          <w:sz w:val="22"/>
          <w:szCs w:val="22"/>
          <w:lang w:eastAsia="ko-KR"/>
        </w:rPr>
        <w:t xml:space="preserve">. The symptomatic probability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m:t>
        </m:r>
      </m:oMath>
      <w:r>
        <w:rPr>
          <w:rFonts w:ascii="Calibri" w:eastAsia="Malgun Gothic" w:hAnsi="Calibri" w:cs="Calibri" w:hint="eastAsia"/>
          <w:sz w:val="22"/>
          <w:szCs w:val="22"/>
          <w:lang w:eastAsia="ko-KR"/>
        </w:rPr>
        <w:t xml:space="preserve"> was fixed across all states as an external input as </w:t>
      </w:r>
      <w:r w:rsidRPr="001F45A6">
        <w:rPr>
          <w:rFonts w:ascii="Calibri" w:eastAsia="Malgun Gothic" w:hAnsi="Calibri" w:cs="Calibri"/>
          <w:sz w:val="22"/>
          <w:szCs w:val="22"/>
          <w:lang w:eastAsia="ko-KR"/>
        </w:rPr>
        <w:t>52.4% (</w:t>
      </w:r>
      <w:r>
        <w:rPr>
          <w:rFonts w:ascii="Calibri" w:eastAsia="Malgun Gothic" w:hAnsi="Calibri" w:cs="Calibri" w:hint="eastAsia"/>
          <w:sz w:val="22"/>
          <w:szCs w:val="22"/>
          <w:lang w:eastAsia="ko-KR"/>
        </w:rPr>
        <w:t xml:space="preserve">95%UI: </w:t>
      </w:r>
      <w:r w:rsidRPr="001F45A6">
        <w:rPr>
          <w:rFonts w:ascii="Calibri" w:eastAsia="Malgun Gothic" w:hAnsi="Calibri" w:cs="Calibri"/>
          <w:sz w:val="22"/>
          <w:szCs w:val="22"/>
          <w:lang w:eastAsia="ko-KR"/>
        </w:rPr>
        <w:t>40.6, 64.1)</w:t>
      </w:r>
      <w:r>
        <w:rPr>
          <w:rFonts w:ascii="Calibri" w:eastAsia="Malgun Gothic" w:hAnsi="Calibri" w:cs="Calibri" w:hint="eastAsia"/>
          <w:sz w:val="22"/>
          <w:szCs w:val="22"/>
          <w:lang w:eastAsia="ko-KR"/>
        </w:rPr>
        <w:t xml:space="preserve"> </w:t>
      </w:r>
      <w:hyperlink r:id="rId34" w:history="1">
        <w:r>
          <w:rPr>
            <w:rFonts w:ascii="Calibri" w:eastAsia="Times New Roman" w:hAnsi="Calibri" w:cs="Calibri"/>
            <w:sz w:val="22"/>
            <w:vertAlign w:val="superscript"/>
          </w:rPr>
          <w:t>26</w:t>
        </w:r>
      </w:hyperlink>
      <w:r>
        <w:rPr>
          <w:rFonts w:ascii="Calibri" w:eastAsia="Malgun Gothic" w:hAnsi="Calibri" w:cs="Calibri" w:hint="eastAsia"/>
          <w:sz w:val="22"/>
          <w:szCs w:val="22"/>
          <w:lang w:eastAsia="ko-KR"/>
        </w:rPr>
        <w:t xml:space="preserve">, whereas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Pr>
          <w:rFonts w:ascii="Calibri" w:eastAsia="Malgun Gothic" w:hAnsi="Calibri" w:cs="Calibri" w:hint="eastAsia"/>
          <w:sz w:val="22"/>
          <w:szCs w:val="22"/>
          <w:lang w:eastAsia="ko-KR"/>
        </w:rPr>
        <w:t xml:space="preserve"> was estimated separately for each state. </w:t>
      </w:r>
    </w:p>
    <w:p w14:paraId="7900F676" w14:textId="77777777" w:rsidR="00AE3D7F" w:rsidRPr="00CF6D3D" w:rsidRDefault="0006779E" w:rsidP="00D46F4D">
      <w:pPr>
        <w:spacing w:line="360" w:lineRule="auto"/>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m:t>
              </m:r>
            </m:e>
            <m:sub>
              <m:r>
                <w:rPr>
                  <w:rFonts w:ascii="Cambria Math" w:hAnsi="Cambria Math" w:cs="Calibri"/>
                  <w:sz w:val="22"/>
                  <w:szCs w:val="22"/>
                </w:rPr>
                <m:t>a,r</m:t>
              </m:r>
              <m:r>
                <w:rPr>
                  <w:rFonts w:ascii="Cambria Math" w:eastAsia="Malgun Gothic" w:hAnsi="Cambria Math" w:cs="Calibri"/>
                  <w:sz w:val="22"/>
                  <w:szCs w:val="22"/>
                  <w:lang w:eastAsia="ko-KR"/>
                </w:rPr>
                <m:t>,</m:t>
              </m:r>
              <m:r>
                <w:rPr>
                  <w:rFonts w:ascii="Cambria Math" w:hAnsi="Cambria Math" w:cs="Calibri"/>
                  <w:sz w:val="22"/>
                  <w:szCs w:val="22"/>
                </w:rPr>
                <m:t>t</m:t>
              </m:r>
            </m:sub>
            <m:sup>
              <m:r>
                <w:rPr>
                  <w:rFonts w:ascii="Cambria Math" w:hAnsi="Cambria Math" w:cs="Calibri"/>
                  <w:sz w:val="22"/>
                  <w:szCs w:val="22"/>
                </w:rPr>
                <m:t>obs</m:t>
              </m:r>
            </m:sup>
          </m:sSubSup>
          <m:r>
            <w:rPr>
              <w:rFonts w:ascii="Cambria Math" w:hAnsi="Cambria Math" w:cs="Calibri"/>
              <w:sz w:val="22"/>
              <w:szCs w:val="22"/>
            </w:rPr>
            <m:t xml:space="preserve"> ~ NegBin </m:t>
          </m:r>
          <m:d>
            <m:dPr>
              <m:ctrlPr>
                <w:rPr>
                  <w:rFonts w:ascii="Cambria Math" w:hAnsi="Cambria Math" w:cs="Calibri"/>
                  <w:i/>
                  <w:sz w:val="22"/>
                  <w:szCs w:val="22"/>
                </w:rPr>
              </m:ctrlPr>
            </m:dPr>
            <m:e>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r,eff</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I</m:t>
                  </m:r>
                </m:e>
                <m:sub>
                  <m:r>
                    <w:rPr>
                      <w:rFonts w:ascii="Cambria Math" w:hAnsi="Cambria Math" w:cs="Calibri"/>
                      <w:sz w:val="22"/>
                      <w:szCs w:val="22"/>
                    </w:rPr>
                    <m:t>a</m:t>
                  </m:r>
                  <m:r>
                    <w:rPr>
                      <w:rFonts w:ascii="Cambria Math" w:eastAsia="Malgun Gothic" w:hAnsi="Cambria Math" w:cs="Calibri"/>
                      <w:sz w:val="22"/>
                      <w:szCs w:val="22"/>
                      <w:lang w:eastAsia="ko-KR"/>
                    </w:rPr>
                    <m:t>,</m:t>
                  </m:r>
                  <m:r>
                    <w:rPr>
                      <w:rFonts w:ascii="Cambria Math" w:hAnsi="Cambria Math" w:cs="Calibri"/>
                      <w:sz w:val="22"/>
                      <w:szCs w:val="22"/>
                    </w:rPr>
                    <m:t>r</m:t>
                  </m:r>
                  <m:r>
                    <w:rPr>
                      <w:rFonts w:ascii="Cambria Math" w:eastAsia="Malgun Gothic" w:hAnsi="Cambria Math" w:cs="Calibri"/>
                      <w:sz w:val="22"/>
                      <w:szCs w:val="22"/>
                      <w:lang w:eastAsia="ko-KR"/>
                    </w:rPr>
                    <m:t>,</m:t>
                  </m:r>
                  <m:r>
                    <w:rPr>
                      <w:rFonts w:ascii="Cambria Math" w:hAnsi="Cambria Math" w:cs="Calibri"/>
                      <w:sz w:val="22"/>
                      <w:szCs w:val="22"/>
                    </w:rPr>
                    <m:t>t</m:t>
                  </m:r>
                </m:sub>
              </m:sSub>
              <m:r>
                <w:rPr>
                  <w:rFonts w:ascii="Cambria Math" w:hAnsi="Cambria Math" w:cs="Calibri"/>
                  <w:sz w:val="22"/>
                  <w:szCs w:val="22"/>
                </w:rPr>
                <m:t xml:space="preserve"> , φ</m:t>
              </m:r>
            </m:e>
          </m:d>
        </m:oMath>
      </m:oMathPara>
    </w:p>
    <w:p w14:paraId="34FC171C" w14:textId="77777777" w:rsidR="00AE3D7F" w:rsidRDefault="00AE3D7F" w:rsidP="00F52585">
      <w:pPr>
        <w:rPr>
          <w:rFonts w:ascii="Calibri" w:eastAsia="Malgun Gothic" w:hAnsi="Calibri" w:cs="Calibri"/>
          <w:sz w:val="22"/>
          <w:szCs w:val="22"/>
          <w:lang w:eastAsia="ko-KR"/>
        </w:rPr>
      </w:pPr>
      <w:r>
        <w:rPr>
          <w:rFonts w:ascii="Calibri" w:eastAsia="Malgun Gothic" w:hAnsi="Calibri" w:cs="Calibri" w:hint="eastAsia"/>
          <w:sz w:val="22"/>
          <w:szCs w:val="22"/>
          <w:lang w:eastAsia="ko-KR"/>
        </w:rPr>
        <w:lastRenderedPageBreak/>
        <w:t xml:space="preserve">The prior for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Pr>
          <w:rFonts w:ascii="Calibri" w:eastAsia="Malgun Gothic" w:hAnsi="Calibri" w:cs="Calibri" w:hint="eastAsia"/>
          <w:sz w:val="22"/>
          <w:szCs w:val="22"/>
          <w:lang w:eastAsia="ko-KR"/>
        </w:rPr>
        <w:t xml:space="preserve"> was informed by a </w:t>
      </w:r>
      <w:r w:rsidRPr="008B43CD" w:rsidDel="00136016">
        <w:rPr>
          <w:rFonts w:ascii="Calibri" w:hAnsi="Calibri" w:cs="Calibri"/>
          <w:sz w:val="22"/>
          <w:szCs w:val="22"/>
        </w:rPr>
        <w:t xml:space="preserve">national-level </w:t>
      </w:r>
      <w:r w:rsidDel="00F52585">
        <w:rPr>
          <w:rFonts w:ascii="Calibri" w:eastAsia="Malgun Gothic" w:hAnsi="Calibri" w:cs="Calibri"/>
          <w:sz w:val="22"/>
          <w:szCs w:val="22"/>
          <w:lang w:eastAsia="ko-KR"/>
        </w:rPr>
        <w:t xml:space="preserve">calibration comparing </w:t>
      </w:r>
      <w:r w:rsidRPr="008B43CD">
        <w:rPr>
          <w:rFonts w:ascii="Calibri" w:hAnsi="Calibri" w:cs="Calibri"/>
          <w:sz w:val="22"/>
          <w:szCs w:val="22"/>
        </w:rPr>
        <w:t xml:space="preserve">long-term model-predicted </w:t>
      </w:r>
      <w:r>
        <w:rPr>
          <w:rFonts w:ascii="Calibri" w:eastAsia="Malgun Gothic" w:hAnsi="Calibri" w:cs="Calibri" w:hint="eastAsia"/>
          <w:sz w:val="22"/>
          <w:szCs w:val="22"/>
          <w:lang w:eastAsia="ko-KR"/>
        </w:rPr>
        <w:t xml:space="preserve">annual </w:t>
      </w:r>
      <w:r w:rsidRPr="008B43CD">
        <w:rPr>
          <w:rFonts w:ascii="Calibri" w:hAnsi="Calibri" w:cs="Calibri"/>
          <w:sz w:val="22"/>
          <w:szCs w:val="22"/>
        </w:rPr>
        <w:t>symptomatic cases</w:t>
      </w:r>
      <w:r>
        <w:rPr>
          <w:rFonts w:ascii="Calibri" w:eastAsia="Malgun Gothic" w:hAnsi="Calibri" w:cs="Calibri" w:hint="eastAsia"/>
          <w:sz w:val="22"/>
          <w:szCs w:val="22"/>
          <w:lang w:eastAsia="ko-KR"/>
        </w:rPr>
        <w:t xml:space="preserve"> in Brazil</w:t>
      </w:r>
      <w:r w:rsidRPr="008B43CD">
        <w:rPr>
          <w:rFonts w:ascii="Calibri" w:hAnsi="Calibri" w:cs="Calibri"/>
          <w:sz w:val="22"/>
          <w:szCs w:val="22"/>
        </w:rPr>
        <w:t xml:space="preserve"> </w:t>
      </w:r>
      <w:r>
        <w:rPr>
          <w:rFonts w:ascii="Calibri" w:eastAsia="Malgun Gothic" w:hAnsi="Calibri" w:cs="Calibri" w:hint="eastAsia"/>
          <w:sz w:val="22"/>
          <w:szCs w:val="22"/>
          <w:lang w:eastAsia="ko-KR"/>
        </w:rPr>
        <w:t>with</w:t>
      </w:r>
      <w:r w:rsidRPr="008B43CD" w:rsidDel="00F52585">
        <w:rPr>
          <w:rFonts w:ascii="Calibri" w:hAnsi="Calibri" w:cs="Calibri"/>
          <w:sz w:val="22"/>
          <w:szCs w:val="22"/>
        </w:rPr>
        <w:t xml:space="preserve"> </w:t>
      </w:r>
      <w:r w:rsidRPr="008B43CD">
        <w:rPr>
          <w:rFonts w:ascii="Calibri" w:hAnsi="Calibri" w:cs="Calibri"/>
          <w:sz w:val="22"/>
          <w:szCs w:val="22"/>
        </w:rPr>
        <w:t xml:space="preserve">reported </w:t>
      </w:r>
      <w:r>
        <w:rPr>
          <w:rFonts w:ascii="Calibri" w:eastAsia="Malgun Gothic" w:hAnsi="Calibri" w:cs="Calibri" w:hint="eastAsia"/>
          <w:sz w:val="22"/>
          <w:szCs w:val="22"/>
          <w:lang w:eastAsia="ko-KR"/>
        </w:rPr>
        <w:t>annual confirmed symptomatic cases</w:t>
      </w:r>
      <w:r w:rsidRPr="008B43CD">
        <w:rPr>
          <w:rFonts w:ascii="Calibri" w:hAnsi="Calibri" w:cs="Calibri"/>
          <w:sz w:val="22"/>
          <w:szCs w:val="22"/>
        </w:rPr>
        <w:t xml:space="preserve"> </w:t>
      </w:r>
      <w:r>
        <w:rPr>
          <w:rFonts w:ascii="Calibri" w:eastAsia="Malgun Gothic" w:hAnsi="Calibri" w:cs="Calibri" w:hint="eastAsia"/>
          <w:sz w:val="22"/>
          <w:szCs w:val="22"/>
          <w:lang w:eastAsia="ko-KR"/>
        </w:rPr>
        <w:t xml:space="preserve">during </w:t>
      </w:r>
      <w:r w:rsidRPr="008B43CD">
        <w:rPr>
          <w:rFonts w:ascii="Calibri" w:hAnsi="Calibri" w:cs="Calibri"/>
          <w:sz w:val="22"/>
          <w:szCs w:val="22"/>
        </w:rPr>
        <w:t>2014–2025</w:t>
      </w:r>
      <w:r>
        <w:rPr>
          <w:rFonts w:ascii="Calibri" w:eastAsia="Malgun Gothic" w:hAnsi="Calibri" w:cs="Calibri" w:hint="eastAsia"/>
          <w:sz w:val="22"/>
          <w:szCs w:val="22"/>
          <w:lang w:eastAsia="ko-KR"/>
        </w:rPr>
        <w:t xml:space="preserve"> </w:t>
      </w:r>
      <w:hyperlink r:id="rId35" w:history="1">
        <w:r>
          <w:rPr>
            <w:rFonts w:ascii="Calibri" w:eastAsia="Times New Roman" w:hAnsi="Calibri" w:cs="Calibri"/>
            <w:sz w:val="22"/>
            <w:vertAlign w:val="superscript"/>
          </w:rPr>
          <w:t>21</w:t>
        </w:r>
      </w:hyperlink>
      <w:r>
        <w:rPr>
          <w:rFonts w:ascii="Calibri" w:eastAsia="Malgun Gothic" w:hAnsi="Calibri" w:cs="Calibri" w:hint="eastAsia"/>
          <w:sz w:val="22"/>
          <w:lang w:eastAsia="ko-KR"/>
        </w:rPr>
        <w:t xml:space="preserve">. </w:t>
      </w:r>
      <w:r>
        <w:rPr>
          <w:rFonts w:ascii="Calibri" w:eastAsia="Malgun Gothic" w:hAnsi="Calibri" w:cs="Calibri" w:hint="eastAsia"/>
          <w:sz w:val="22"/>
          <w:szCs w:val="22"/>
          <w:lang w:eastAsia="ko-KR"/>
        </w:rPr>
        <w:t xml:space="preserve">Model </w:t>
      </w:r>
      <w:r w:rsidRPr="008B43CD">
        <w:rPr>
          <w:rFonts w:ascii="Calibri" w:hAnsi="Calibri" w:cs="Calibri"/>
          <w:sz w:val="22"/>
          <w:szCs w:val="22"/>
        </w:rPr>
        <w:t xml:space="preserve">predicted </w:t>
      </w:r>
      <w:r>
        <w:rPr>
          <w:rFonts w:ascii="Calibri" w:eastAsia="Malgun Gothic" w:hAnsi="Calibri" w:cs="Calibri" w:hint="eastAsia"/>
          <w:sz w:val="22"/>
          <w:szCs w:val="22"/>
          <w:lang w:eastAsia="ko-KR"/>
        </w:rPr>
        <w:t xml:space="preserve">long-term average annual symptomatic </w:t>
      </w:r>
      <w:r w:rsidRPr="008B43CD">
        <w:rPr>
          <w:rFonts w:ascii="Calibri" w:hAnsi="Calibri" w:cs="Calibri"/>
          <w:sz w:val="22"/>
          <w:szCs w:val="22"/>
        </w:rPr>
        <w:t xml:space="preserve">cases </w:t>
      </w:r>
      <w:r>
        <w:rPr>
          <w:rFonts w:ascii="Calibri" w:eastAsia="Malgun Gothic" w:hAnsi="Calibri" w:cs="Calibri" w:hint="eastAsia"/>
          <w:sz w:val="22"/>
          <w:szCs w:val="22"/>
          <w:lang w:eastAsia="ko-KR"/>
        </w:rPr>
        <w:t xml:space="preserve">in Brazil </w:t>
      </w:r>
      <w:r w:rsidRPr="008B43CD">
        <w:rPr>
          <w:rFonts w:ascii="Calibri" w:hAnsi="Calibri" w:cs="Calibri"/>
          <w:sz w:val="22"/>
          <w:szCs w:val="22"/>
        </w:rPr>
        <w:t>(883,544; 95% UI</w:t>
      </w:r>
      <w:r>
        <w:rPr>
          <w:rFonts w:ascii="Calibri" w:eastAsia="Malgun Gothic" w:hAnsi="Calibri" w:cs="Calibri" w:hint="eastAsia"/>
          <w:sz w:val="22"/>
          <w:szCs w:val="22"/>
          <w:lang w:eastAsia="ko-KR"/>
        </w:rPr>
        <w:t>:</w:t>
      </w:r>
      <w:r w:rsidRPr="008B43CD">
        <w:rPr>
          <w:rFonts w:ascii="Calibri" w:hAnsi="Calibri" w:cs="Calibri"/>
          <w:sz w:val="22"/>
          <w:szCs w:val="22"/>
        </w:rPr>
        <w:t xml:space="preserve"> 684,889–1,079,146) implied </w:t>
      </w:r>
      <w:r>
        <w:rPr>
          <w:rFonts w:ascii="Calibri" w:eastAsia="Malgun Gothic" w:hAnsi="Calibri" w:cs="Calibri" w:hint="eastAsia"/>
          <w:sz w:val="22"/>
          <w:szCs w:val="22"/>
          <w:lang w:eastAsia="ko-KR"/>
        </w:rPr>
        <w:t xml:space="preserve">a median symptomatic case reporting probability of </w:t>
      </w:r>
      <w:r w:rsidRPr="008B43CD">
        <w:rPr>
          <w:rFonts w:ascii="Calibri" w:hAnsi="Calibri" w:cs="Calibri"/>
          <w:sz w:val="22"/>
          <w:szCs w:val="22"/>
        </w:rPr>
        <w:t>25%</w:t>
      </w:r>
      <w:r>
        <w:rPr>
          <w:rFonts w:ascii="Calibri" w:eastAsia="Malgun Gothic" w:hAnsi="Calibri" w:cs="Calibri" w:hint="eastAsia"/>
          <w:sz w:val="22"/>
          <w:szCs w:val="22"/>
          <w:lang w:eastAsia="ko-KR"/>
        </w:rPr>
        <w:t xml:space="preserve">. We represented this information using </w:t>
      </w:r>
    </w:p>
    <w:p w14:paraId="460F6BF5" w14:textId="77777777" w:rsidR="00AE3D7F" w:rsidRPr="00F52585" w:rsidRDefault="0006779E" w:rsidP="0042294A">
      <w:pPr>
        <w:rPr>
          <w:rFonts w:ascii="Calibri" w:eastAsia="Malgun Gothic" w:hAnsi="Calibri" w:cs="Calibri"/>
          <w:sz w:val="22"/>
          <w:szCs w:val="22"/>
          <w:lang w:eastAsia="ko-KR"/>
        </w:rPr>
      </w:pPr>
      <m:oMathPara>
        <m:oMath>
          <m:sSub>
            <m:sSubPr>
              <m:ctrlPr>
                <w:rPr>
                  <w:rFonts w:ascii="Cambria Math" w:hAnsi="Cambria Math" w:cs="Calibri"/>
                  <w:i/>
                  <w:sz w:val="22"/>
                  <w:szCs w:val="22"/>
                </w:rPr>
              </m:ctrlPr>
            </m:sSubPr>
            <m:e>
              <m:r>
                <w:rPr>
                  <w:rFonts w:ascii="Cambria Math" w:hAnsi="Cambria Math" w:cs="Calibri" w:hint="eastAsia"/>
                  <w:sz w:val="22"/>
                  <w:szCs w:val="22"/>
                </w:rPr>
                <m:t>ρ</m:t>
              </m:r>
              <m:ctrlPr>
                <w:rPr>
                  <w:rFonts w:ascii="Cambria Math" w:hAnsi="Cambria Math" w:cs="Calibri" w:hint="eastAsia"/>
                  <w:i/>
                  <w:sz w:val="22"/>
                  <w:szCs w:val="22"/>
                </w:rPr>
              </m:ctrlPr>
            </m:e>
            <m:sub>
              <m:r>
                <w:rPr>
                  <w:rFonts w:ascii="Cambria Math" w:eastAsia="Malgun Gothic" w:hAnsi="Cambria Math" w:cs="Calibri"/>
                  <w:sz w:val="22"/>
                  <w:szCs w:val="22"/>
                  <w:lang w:eastAsia="ko-KR"/>
                </w:rPr>
                <m:t>r,sym</m:t>
              </m:r>
            </m:sub>
          </m:sSub>
          <m:r>
            <w:rPr>
              <w:rFonts w:ascii="Cambria Math" w:hAnsi="Cambria Math" w:cs="Calibri"/>
              <w:sz w:val="22"/>
              <w:szCs w:val="22"/>
            </w:rPr>
            <m:t xml:space="preserve">  ~ Beta (20,60)</m:t>
          </m:r>
        </m:oMath>
      </m:oMathPara>
    </w:p>
    <w:p w14:paraId="58AD673A" w14:textId="77777777" w:rsidR="00AE3D7F" w:rsidRDefault="00AE3D7F" w:rsidP="00CF2371">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hint="eastAsia"/>
          <w:i w:val="0"/>
          <w:iCs w:val="0"/>
          <w:lang w:eastAsia="ko-KR"/>
        </w:rPr>
        <w:t xml:space="preserve">Bayesian </w:t>
      </w:r>
      <w:r>
        <w:rPr>
          <w:rStyle w:val="IntenseEmphasis"/>
          <w:rFonts w:ascii="Calibri" w:eastAsia="Malgun Gothic" w:hAnsi="Calibri" w:cs="Calibri"/>
          <w:i w:val="0"/>
          <w:iCs w:val="0"/>
          <w:lang w:eastAsia="ko-KR"/>
        </w:rPr>
        <w:t>model</w:t>
      </w:r>
      <w:r>
        <w:rPr>
          <w:rStyle w:val="IntenseEmphasis"/>
          <w:rFonts w:ascii="Calibri" w:eastAsia="Malgun Gothic" w:hAnsi="Calibri" w:cs="Calibri" w:hint="eastAsia"/>
          <w:i w:val="0"/>
          <w:iCs w:val="0"/>
          <w:lang w:eastAsia="ko-KR"/>
        </w:rPr>
        <w:t xml:space="preserve"> fitting</w:t>
      </w:r>
    </w:p>
    <w:p w14:paraId="0F5DF204" w14:textId="77777777" w:rsidR="00AE3D7F" w:rsidRPr="00CF6D3D" w:rsidRDefault="00AE3D7F" w:rsidP="00CF6D3D">
      <w:pPr>
        <w:rPr>
          <w:sz w:val="22"/>
          <w:szCs w:val="22"/>
        </w:rPr>
      </w:pPr>
      <w:r w:rsidRPr="00CF6D3D">
        <w:rPr>
          <w:sz w:val="22"/>
          <w:szCs w:val="22"/>
        </w:rPr>
        <w:t xml:space="preserve">Each </w:t>
      </w:r>
      <w:r>
        <w:rPr>
          <w:rFonts w:ascii="Calibri" w:eastAsia="Malgun Gothic" w:hAnsi="Calibri" w:cs="Calibri" w:hint="eastAsia"/>
          <w:sz w:val="22"/>
          <w:szCs w:val="22"/>
          <w:lang w:eastAsia="ko-KR"/>
        </w:rPr>
        <w:t xml:space="preserve">state-specific model was fitted independently using Hamiltonian Monte Carlo with the No-U-Turn Sampler implemented in Stan through </w:t>
      </w:r>
      <w:proofErr w:type="spellStart"/>
      <w:r>
        <w:rPr>
          <w:rFonts w:ascii="Calibri" w:eastAsia="Malgun Gothic" w:hAnsi="Calibri" w:cs="Calibri" w:hint="eastAsia"/>
          <w:sz w:val="22"/>
          <w:szCs w:val="22"/>
          <w:lang w:eastAsia="ko-KR"/>
        </w:rPr>
        <w:t>RStan</w:t>
      </w:r>
      <w:proofErr w:type="spellEnd"/>
      <w:r>
        <w:rPr>
          <w:rFonts w:ascii="Calibri" w:eastAsia="Malgun Gothic" w:hAnsi="Calibri" w:cs="Calibri" w:hint="eastAsia"/>
          <w:sz w:val="22"/>
          <w:szCs w:val="22"/>
          <w:lang w:eastAsia="ko-KR"/>
        </w:rPr>
        <w:t xml:space="preserve">. Four Markov chains were </w:t>
      </w:r>
      <w:r>
        <w:rPr>
          <w:rFonts w:ascii="Calibri" w:eastAsia="Malgun Gothic" w:hAnsi="Calibri" w:cs="Calibri"/>
          <w:sz w:val="22"/>
          <w:szCs w:val="22"/>
          <w:lang w:eastAsia="ko-KR"/>
        </w:rPr>
        <w:t>run</w:t>
      </w:r>
      <w:r>
        <w:rPr>
          <w:rFonts w:ascii="Calibri" w:eastAsia="Malgun Gothic" w:hAnsi="Calibri" w:cs="Calibri" w:hint="eastAsia"/>
          <w:sz w:val="22"/>
          <w:szCs w:val="22"/>
          <w:lang w:eastAsia="ko-KR"/>
        </w:rPr>
        <w:t xml:space="preserve"> for 5,000 iterations each, including 1,000 warm-up iterations, yielding 4,000 post-warm up draws per chain. Posterior convergence was assessed using trace plots, effective sample sizes, and m</w:t>
      </w:r>
      <w:r w:rsidRPr="00900706">
        <w:rPr>
          <w:rFonts w:ascii="Calibri" w:eastAsia="Malgun Gothic" w:hAnsi="Calibri" w:cs="Calibri"/>
          <w:sz w:val="22"/>
          <w:szCs w:val="22"/>
          <w:lang w:eastAsia="ko-KR"/>
        </w:rPr>
        <w:t>odel fit was evaluated using posterior predictive checks comparing aggregated observed weekly case counts with the corresponding model-fitted reported symptomatic case counts</w:t>
      </w:r>
      <w:r>
        <w:rPr>
          <w:rFonts w:ascii="Calibri" w:eastAsia="Malgun Gothic" w:hAnsi="Calibri" w:cs="Calibri" w:hint="eastAsia"/>
          <w:sz w:val="22"/>
          <w:szCs w:val="22"/>
          <w:lang w:eastAsia="ko-KR"/>
        </w:rPr>
        <w:t xml:space="preserve">.  </w:t>
      </w:r>
      <w:r w:rsidRPr="00042E6C">
        <w:rPr>
          <w:rFonts w:ascii="Calibri" w:eastAsia="Malgun Gothic" w:hAnsi="Calibri" w:cs="Calibri"/>
          <w:sz w:val="22"/>
          <w:szCs w:val="22"/>
          <w:lang w:eastAsia="ko-KR"/>
        </w:rPr>
        <w:t>Posterior distributions of model parameters and derived latent epidemic quantities were propagated through subsequent vaccination simulations.</w:t>
      </w:r>
    </w:p>
    <w:p w14:paraId="221A440B" w14:textId="77777777" w:rsidR="00AE3D7F" w:rsidRDefault="00AE3D7F" w:rsidP="00B6759C">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hint="eastAsia"/>
          <w:i w:val="0"/>
          <w:iCs w:val="0"/>
          <w:lang w:eastAsia="ko-KR"/>
        </w:rPr>
        <w:t>Baseline immunity</w:t>
      </w:r>
    </w:p>
    <w:p w14:paraId="64B12380" w14:textId="77777777" w:rsidR="00AE3D7F" w:rsidRDefault="00AE3D7F" w:rsidP="00B6759C">
      <w:pPr>
        <w:spacing w:line="276" w:lineRule="auto"/>
        <w:rPr>
          <w:rFonts w:ascii="Calibri" w:eastAsia="Malgun Gothic" w:hAnsi="Calibri" w:cs="Calibri"/>
          <w:sz w:val="22"/>
          <w:szCs w:val="22"/>
          <w:lang w:eastAsia="ko-KR"/>
        </w:rPr>
      </w:pPr>
      <w:r w:rsidRPr="00CA231E">
        <w:rPr>
          <w:rFonts w:ascii="Calibri" w:eastAsia="Malgun Gothic" w:hAnsi="Calibri" w:cs="Calibri"/>
          <w:sz w:val="22"/>
          <w:szCs w:val="22"/>
          <w:lang w:eastAsia="ko-KR"/>
        </w:rPr>
        <w:t xml:space="preserve">Because CHIKV has only been circulating since 2014 in Brazil, we estimated baseline immunity </w:t>
      </w:r>
      <m:oMath>
        <m:r>
          <w:rPr>
            <w:rFonts w:ascii="Cambria Math" w:eastAsia="Malgun Gothic" w:hAnsi="Cambria Math" w:cs="Calibri"/>
            <w:sz w:val="22"/>
            <w:szCs w:val="22"/>
            <w:lang w:eastAsia="ko-KR"/>
          </w:rPr>
          <m:t>p</m:t>
        </m:r>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m:t>
            </m:r>
          </m:e>
        </m:d>
      </m:oMath>
      <w:r>
        <w:rPr>
          <w:rFonts w:ascii="Calibri" w:eastAsia="Malgun Gothic" w:hAnsi="Calibri" w:cs="Calibri" w:hint="eastAsia"/>
          <w:sz w:val="22"/>
          <w:szCs w:val="22"/>
          <w:lang w:eastAsia="ko-KR"/>
        </w:rPr>
        <w:t xml:space="preserve"> </w:t>
      </w:r>
      <w:r w:rsidRPr="00CA231E">
        <w:rPr>
          <w:rFonts w:ascii="Calibri" w:eastAsia="Malgun Gothic" w:hAnsi="Calibri" w:cs="Calibri"/>
          <w:sz w:val="22"/>
          <w:szCs w:val="22"/>
          <w:lang w:eastAsia="ko-KR"/>
        </w:rPr>
        <w:t xml:space="preserve">under the assumption of a finite circulation history since 2014, using state-specific long-term average FOI (λ) derived from </w:t>
      </w:r>
      <w:r>
        <w:rPr>
          <w:rFonts w:ascii="Calibri" w:eastAsia="Malgun Gothic" w:hAnsi="Calibri" w:cs="Calibri" w:hint="eastAsia"/>
          <w:sz w:val="22"/>
          <w:szCs w:val="22"/>
          <w:lang w:eastAsia="ko-KR"/>
        </w:rPr>
        <w:t xml:space="preserve">global FOI predictions </w:t>
      </w:r>
      <w:r w:rsidRPr="00CA231E">
        <w:rPr>
          <w:rFonts w:ascii="Calibri" w:eastAsia="Malgun Gothic" w:hAnsi="Calibri" w:cs="Calibri"/>
          <w:sz w:val="22"/>
          <w:szCs w:val="22"/>
          <w:lang w:eastAsia="ko-KR"/>
        </w:rPr>
        <w:t xml:space="preserve">and spatially </w:t>
      </w:r>
      <w:r>
        <w:rPr>
          <w:rFonts w:ascii="Calibri" w:eastAsia="Malgun Gothic" w:hAnsi="Calibri" w:cs="Calibri" w:hint="eastAsia"/>
          <w:sz w:val="22"/>
          <w:szCs w:val="22"/>
          <w:lang w:eastAsia="ko-KR"/>
        </w:rPr>
        <w:t>aggregated</w:t>
      </w:r>
      <w:r w:rsidRPr="00CA231E">
        <w:rPr>
          <w:rFonts w:ascii="Calibri" w:eastAsia="Malgun Gothic" w:hAnsi="Calibri" w:cs="Calibri"/>
          <w:sz w:val="22"/>
          <w:szCs w:val="22"/>
          <w:lang w:eastAsia="ko-KR"/>
        </w:rPr>
        <w:t xml:space="preserve"> to each state</w:t>
      </w:r>
      <w:r>
        <w:rPr>
          <w:rFonts w:ascii="Calibri" w:eastAsia="Malgun Gothic" w:hAnsi="Calibri" w:cs="Calibri" w:hint="eastAsia"/>
          <w:sz w:val="22"/>
          <w:szCs w:val="22"/>
          <w:lang w:eastAsia="ko-KR"/>
        </w:rPr>
        <w:t xml:space="preserve"> </w:t>
      </w:r>
      <w:hyperlink r:id="rId36" w:history="1">
        <w:r>
          <w:rPr>
            <w:rFonts w:ascii="Calibri" w:eastAsia="Times New Roman" w:hAnsi="Calibri" w:cs="Calibri"/>
            <w:sz w:val="22"/>
            <w:vertAlign w:val="superscript"/>
          </w:rPr>
          <w:t>21</w:t>
        </w:r>
      </w:hyperlink>
      <w:r w:rsidRPr="00CA231E">
        <w:rPr>
          <w:rFonts w:ascii="Calibri" w:eastAsia="Malgun Gothic" w:hAnsi="Calibri" w:cs="Calibri"/>
          <w:sz w:val="22"/>
          <w:szCs w:val="22"/>
          <w:lang w:eastAsia="ko-KR"/>
        </w:rPr>
        <w:t>. This was used to initialise the susceptible population at the start of the outbreak.</w:t>
      </w:r>
    </w:p>
    <w:p w14:paraId="7AABC69B" w14:textId="77777777" w:rsidR="00AE3D7F" w:rsidRPr="00CF6D3D" w:rsidRDefault="00AE3D7F" w:rsidP="00CF6D3D">
      <w:pPr>
        <w:spacing w:line="276" w:lineRule="auto"/>
        <w:jc w:val="center"/>
      </w:pPr>
      <m:oMathPara>
        <m:oMath>
          <m:r>
            <w:rPr>
              <w:rFonts w:ascii="Cambria Math" w:eastAsia="Malgun Gothic" w:hAnsi="Cambria Math" w:cs="Calibri"/>
              <w:sz w:val="22"/>
              <w:szCs w:val="22"/>
              <w:lang w:eastAsia="ko-KR"/>
            </w:rPr>
            <m:t>p</m:t>
          </m:r>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m:t>
              </m:r>
            </m:e>
          </m:d>
          <m:r>
            <w:rPr>
              <w:rFonts w:ascii="Cambria Math" w:eastAsia="Malgun Gothic" w:hAnsi="Cambria Math" w:cs="Calibri"/>
              <w:sz w:val="22"/>
              <w:szCs w:val="22"/>
              <w:lang w:eastAsia="ko-KR"/>
            </w:rPr>
            <m:t>=1-</m:t>
          </m:r>
          <m:r>
            <m:rPr>
              <m:sty m:val="p"/>
            </m:rPr>
            <w:rPr>
              <w:rFonts w:ascii="Cambria Math" w:eastAsia="Malgun Gothic" w:hAnsi="Cambria Math" w:cs="Calibri"/>
              <w:sz w:val="22"/>
              <w:szCs w:val="22"/>
              <w:lang w:eastAsia="ko-KR"/>
            </w:rPr>
            <m:t>exp⁡</m:t>
          </m:r>
          <m:r>
            <w:rPr>
              <w:rFonts w:ascii="Cambria Math" w:eastAsia="Malgun Gothic" w:hAnsi="Cambria Math" w:cs="Calibri"/>
              <w:sz w:val="22"/>
              <w:szCs w:val="22"/>
              <w:lang w:eastAsia="ko-KR"/>
            </w:rPr>
            <m:t>(-λ ∙</m:t>
          </m:r>
          <m:func>
            <m:funcPr>
              <m:ctrlPr>
                <w:rPr>
                  <w:rFonts w:ascii="Cambria Math" w:eastAsia="Malgun Gothic" w:hAnsi="Cambria Math" w:cs="Calibri"/>
                  <w:i/>
                  <w:sz w:val="22"/>
                  <w:szCs w:val="22"/>
                  <w:lang w:eastAsia="ko-KR"/>
                </w:rPr>
              </m:ctrlPr>
            </m:funcPr>
            <m:fName>
              <m:r>
                <m:rPr>
                  <m:sty m:val="p"/>
                </m:rPr>
                <w:rPr>
                  <w:rFonts w:ascii="Cambria Math" w:eastAsia="Malgun Gothic" w:hAnsi="Cambria Math" w:cs="Calibri"/>
                  <w:sz w:val="22"/>
                  <w:szCs w:val="22"/>
                  <w:lang w:eastAsia="ko-KR"/>
                </w:rPr>
                <m:t>min</m:t>
              </m:r>
            </m:fName>
            <m:e>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age, 8</m:t>
                  </m:r>
                </m:e>
              </m:d>
            </m:e>
          </m:func>
          <m:r>
            <w:rPr>
              <w:rFonts w:ascii="Cambria Math" w:eastAsia="Malgun Gothic" w:hAnsi="Cambria Math" w:cs="Calibri"/>
              <w:sz w:val="22"/>
              <w:szCs w:val="22"/>
              <w:lang w:eastAsia="ko-KR"/>
            </w:rPr>
            <m:t>)</m:t>
          </m:r>
        </m:oMath>
      </m:oMathPara>
    </w:p>
    <w:p w14:paraId="2AEF11BC" w14:textId="77777777" w:rsidR="00AE3D7F" w:rsidRPr="00CF6D3D" w:rsidRDefault="00AE3D7F" w:rsidP="00CF6D3D">
      <w:pPr>
        <w:spacing w:line="276" w:lineRule="auto"/>
        <w:rPr>
          <w:rFonts w:ascii="Calibri" w:eastAsia="Malgun Gothic" w:hAnsi="Calibri" w:cs="Calibri"/>
          <w:color w:val="0F4761" w:themeColor="accent1" w:themeShade="BF"/>
          <w:lang w:eastAsia="ko-KR"/>
        </w:rPr>
      </w:pPr>
      <w:r>
        <w:rPr>
          <w:rStyle w:val="IntenseEmphasis"/>
          <w:rFonts w:ascii="Calibri" w:eastAsia="Malgun Gothic" w:hAnsi="Calibri" w:cs="Calibri" w:hint="eastAsia"/>
          <w:i w:val="0"/>
          <w:iCs w:val="0"/>
          <w:lang w:eastAsia="ko-KR"/>
        </w:rPr>
        <w:t>Vaccine protection mechanism scenario</w:t>
      </w:r>
    </w:p>
    <w:p w14:paraId="308822A7" w14:textId="77777777" w:rsidR="00AE3D7F" w:rsidRPr="00E92429" w:rsidRDefault="00AE3D7F" w:rsidP="005C15A5">
      <w:pPr>
        <w:rPr>
          <w:rFonts w:ascii="Calibri" w:eastAsia="Malgun Gothic" w:hAnsi="Calibri" w:cs="Calibri"/>
          <w:sz w:val="22"/>
          <w:szCs w:val="22"/>
          <w:lang w:eastAsia="ko-KR"/>
        </w:rPr>
      </w:pPr>
      <w:r w:rsidRPr="00A63CC4">
        <w:rPr>
          <w:rFonts w:ascii="Calibri" w:hAnsi="Calibri" w:cs="Calibri"/>
          <w:sz w:val="22"/>
          <w:szCs w:val="22"/>
        </w:rPr>
        <w:t>For outbreak-response immunisation, we modelled two vaccine protection mechanisms: (</w:t>
      </w:r>
      <w:proofErr w:type="spellStart"/>
      <w:r w:rsidRPr="00A63CC4">
        <w:rPr>
          <w:rFonts w:ascii="Calibri" w:hAnsi="Calibri" w:cs="Calibri"/>
          <w:sz w:val="22"/>
          <w:szCs w:val="22"/>
        </w:rPr>
        <w:t>i</w:t>
      </w:r>
      <w:proofErr w:type="spellEnd"/>
      <w:r w:rsidRPr="00A63CC4">
        <w:rPr>
          <w:rFonts w:ascii="Calibri" w:hAnsi="Calibri" w:cs="Calibri"/>
          <w:sz w:val="22"/>
          <w:szCs w:val="22"/>
        </w:rPr>
        <w:t xml:space="preserve">) disease-blocking only, under which vaccination does not alter the </w:t>
      </w:r>
      <w:r w:rsidRPr="00E92429">
        <w:rPr>
          <w:rFonts w:ascii="Calibri" w:eastAsia="Malgun Gothic" w:hAnsi="Calibri" w:cs="Calibri"/>
          <w:sz w:val="22"/>
          <w:szCs w:val="22"/>
          <w:lang w:eastAsia="ko-KR"/>
        </w:rPr>
        <w:t>FOI</w:t>
      </w:r>
      <w:r w:rsidRPr="00A63CC4">
        <w:rPr>
          <w:rFonts w:ascii="Calibri" w:hAnsi="Calibri" w:cs="Calibri"/>
          <w:sz w:val="22"/>
          <w:szCs w:val="22"/>
        </w:rPr>
        <w:t xml:space="preserve"> and total infections are unchanged, but symptomatic disease is reduced by the disease-blocking efficacy among the vaccinated; and (ii) disease-and-infection blocking, under which successfully vaccinated individuals acquire immunity 14 days post-vaccination and therefore alter the FOI</w:t>
      </w:r>
      <w:r w:rsidRPr="00E92429">
        <w:rPr>
          <w:rFonts w:ascii="Calibri" w:eastAsia="Malgun Gothic" w:hAnsi="Calibri" w:cs="Calibri"/>
          <w:sz w:val="22"/>
          <w:szCs w:val="22"/>
          <w:lang w:eastAsia="ko-KR"/>
        </w:rPr>
        <w:t xml:space="preserve">. </w:t>
      </w:r>
      <w:r w:rsidRPr="00A63CC4">
        <w:rPr>
          <w:rFonts w:ascii="Calibri" w:hAnsi="Calibri" w:cs="Calibri"/>
          <w:sz w:val="22"/>
          <w:szCs w:val="22"/>
        </w:rPr>
        <w:t>We assumed an all-or-nothing vaccine</w:t>
      </w:r>
      <w:r w:rsidRPr="00E92429">
        <w:rPr>
          <w:rFonts w:ascii="Calibri" w:eastAsia="Malgun Gothic" w:hAnsi="Calibri" w:cs="Calibri"/>
          <w:sz w:val="22"/>
          <w:szCs w:val="22"/>
          <w:lang w:eastAsia="ko-KR"/>
        </w:rPr>
        <w:t xml:space="preserve">, with the same vaccine efficacy applied to both mechanisms. In the absence of clinical efficacy estimates, we applied the Phase 3 </w:t>
      </w:r>
      <w:proofErr w:type="spellStart"/>
      <w:r w:rsidRPr="00E92429">
        <w:rPr>
          <w:rFonts w:ascii="Calibri" w:eastAsia="Malgun Gothic" w:hAnsi="Calibri" w:cs="Calibri"/>
          <w:sz w:val="22"/>
          <w:szCs w:val="22"/>
          <w:lang w:eastAsia="ko-KR"/>
        </w:rPr>
        <w:t>seroresponse</w:t>
      </w:r>
      <w:proofErr w:type="spellEnd"/>
      <w:r w:rsidRPr="00E92429">
        <w:rPr>
          <w:rFonts w:ascii="Calibri" w:eastAsia="Malgun Gothic" w:hAnsi="Calibri" w:cs="Calibri"/>
          <w:sz w:val="22"/>
          <w:szCs w:val="22"/>
          <w:lang w:eastAsia="ko-KR"/>
        </w:rPr>
        <w:t xml:space="preserve"> rate 98.9% (95% CI: 96.7–99.8) as a proxy for both vaccine efficacy against disease only, and against disease and infection</w:t>
      </w:r>
      <w:r>
        <w:rPr>
          <w:rFonts w:ascii="Calibri" w:eastAsia="Malgun Gothic" w:hAnsi="Calibri" w:cs="Calibri" w:hint="eastAsia"/>
          <w:sz w:val="22"/>
          <w:szCs w:val="22"/>
          <w:lang w:eastAsia="ko-KR"/>
        </w:rPr>
        <w:t xml:space="preserve"> </w:t>
      </w:r>
      <w:hyperlink r:id="rId37" w:history="1">
        <w:r>
          <w:rPr>
            <w:rFonts w:ascii="Calibri" w:eastAsia="Times New Roman" w:hAnsi="Calibri" w:cs="Calibri"/>
            <w:sz w:val="22"/>
            <w:vertAlign w:val="superscript"/>
          </w:rPr>
          <w:t>10</w:t>
        </w:r>
      </w:hyperlink>
      <w:r w:rsidRPr="00E92429">
        <w:rPr>
          <w:rFonts w:ascii="Calibri" w:eastAsia="Malgun Gothic" w:hAnsi="Calibri" w:cs="Calibri"/>
          <w:sz w:val="22"/>
          <w:szCs w:val="22"/>
          <w:lang w:eastAsia="ko-KR"/>
        </w:rPr>
        <w:t>.</w:t>
      </w:r>
    </w:p>
    <w:p w14:paraId="71A633D6" w14:textId="77777777" w:rsidR="00AE3D7F" w:rsidRDefault="00AE3D7F" w:rsidP="00C6400A">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hint="eastAsia"/>
          <w:i w:val="0"/>
          <w:iCs w:val="0"/>
          <w:lang w:eastAsia="ko-KR"/>
        </w:rPr>
        <w:t xml:space="preserve">Post-licensure vaccine safety risk </w:t>
      </w:r>
    </w:p>
    <w:p w14:paraId="101F8A69" w14:textId="77777777" w:rsidR="00AE3D7F" w:rsidRDefault="00AE3D7F" w:rsidP="00CF6D3D">
      <w:pPr>
        <w:tabs>
          <w:tab w:val="left" w:pos="7470"/>
        </w:tabs>
        <w:spacing w:line="276" w:lineRule="auto"/>
        <w:rPr>
          <w:rFonts w:ascii="Calibri" w:eastAsia="Malgun Gothic" w:hAnsi="Calibri" w:cs="Calibri"/>
          <w:sz w:val="22"/>
          <w:szCs w:val="22"/>
          <w:lang w:eastAsia="ko-KR"/>
        </w:rPr>
      </w:pPr>
      <w:r>
        <w:rPr>
          <w:rFonts w:ascii="Calibri" w:eastAsia="Malgun Gothic" w:hAnsi="Calibri" w:cs="Calibri" w:hint="eastAsia"/>
          <w:sz w:val="22"/>
          <w:szCs w:val="22"/>
          <w:lang w:eastAsia="ko-KR"/>
        </w:rPr>
        <w:t xml:space="preserve">Age-specific post-licensure safety risks were parameterised using the FDA case-level review of SAEs reported to VAERS as of 15 August 2025. </w:t>
      </w:r>
      <w:r w:rsidRPr="00FC67AB">
        <w:rPr>
          <w:rFonts w:ascii="Calibri" w:eastAsia="Malgun Gothic" w:hAnsi="Calibri" w:cs="Calibri"/>
          <w:sz w:val="22"/>
          <w:szCs w:val="22"/>
          <w:lang w:eastAsia="ko-KR"/>
        </w:rPr>
        <w:t xml:space="preserve">Of 32 unique SAE reports, 26 were assessed by FDA reviewers as clinically consistent with chikungunya-like illness: six among individuals aged &lt;65 years and 20 among those aged ≥65 years. One of the 20 chikungunya-like cases among </w:t>
      </w:r>
      <w:r w:rsidRPr="00FC67AB">
        <w:rPr>
          <w:rFonts w:ascii="Calibri" w:eastAsia="Malgun Gothic" w:hAnsi="Calibri" w:cs="Calibri"/>
          <w:sz w:val="22"/>
          <w:szCs w:val="22"/>
          <w:lang w:eastAsia="ko-KR"/>
        </w:rPr>
        <w:lastRenderedPageBreak/>
        <w:t xml:space="preserve">individuals aged ≥65 years was the fatal vaccine-strain encephalitis assessed by the FDA as attributable to </w:t>
      </w:r>
      <w:proofErr w:type="spellStart"/>
      <w:r w:rsidRPr="00FC67AB">
        <w:rPr>
          <w:rFonts w:ascii="Calibri" w:eastAsia="Malgun Gothic" w:hAnsi="Calibri" w:cs="Calibri"/>
          <w:sz w:val="22"/>
          <w:szCs w:val="22"/>
          <w:lang w:eastAsia="ko-KR"/>
        </w:rPr>
        <w:t>Ixchiq</w:t>
      </w:r>
      <w:proofErr w:type="spellEnd"/>
      <w:r w:rsidRPr="00FC67AB">
        <w:rPr>
          <w:rFonts w:ascii="Calibri" w:eastAsia="Malgun Gothic" w:hAnsi="Calibri" w:cs="Calibri"/>
          <w:sz w:val="22"/>
          <w:szCs w:val="22"/>
          <w:lang w:eastAsia="ko-KR"/>
        </w:rPr>
        <w:t xml:space="preserve"> with high certainty. We therefore parameterised non-fatal vaccine-associated SAE risk using six events among individuals aged &lt;65 years and 19 events among those aged ≥65 years, and mortality risk using the single fatal encephalitis case </w:t>
      </w:r>
      <w:hyperlink r:id="rId38">
        <w:r>
          <w:rPr>
            <w:rFonts w:ascii="Calibri" w:hAnsi="Calibri" w:cs="Calibri"/>
            <w:sz w:val="22"/>
            <w:szCs w:val="22"/>
            <w:vertAlign w:val="superscript"/>
          </w:rPr>
          <w:t>12</w:t>
        </w:r>
      </w:hyperlink>
      <w:r w:rsidRPr="00396148">
        <w:rPr>
          <w:rFonts w:ascii="Calibri" w:eastAsia="Malgun Gothic" w:hAnsi="Calibri" w:cs="Calibri"/>
          <w:sz w:val="22"/>
          <w:szCs w:val="22"/>
        </w:rPr>
        <w:t xml:space="preserve">.  </w:t>
      </w:r>
      <w:r>
        <w:rPr>
          <w:rFonts w:ascii="Calibri" w:eastAsia="Malgun Gothic" w:hAnsi="Calibri" w:cs="Calibri" w:hint="eastAsia"/>
          <w:sz w:val="22"/>
          <w:szCs w:val="22"/>
          <w:lang w:eastAsia="ko-KR"/>
        </w:rPr>
        <w:t xml:space="preserve">The </w:t>
      </w:r>
      <w:r w:rsidRPr="004E7AF6">
        <w:rPr>
          <w:rFonts w:ascii="Calibri" w:eastAsia="Malgun Gothic" w:hAnsi="Calibri" w:cs="Calibri"/>
          <w:sz w:val="22"/>
          <w:szCs w:val="22"/>
          <w:lang w:eastAsia="ko-KR"/>
        </w:rPr>
        <w:t>estimates of doses administered worldwide</w:t>
      </w:r>
      <w:r>
        <w:rPr>
          <w:rFonts w:ascii="Calibri" w:eastAsia="Malgun Gothic" w:hAnsi="Calibri" w:cs="Calibri" w:hint="eastAsia"/>
          <w:sz w:val="22"/>
          <w:szCs w:val="22"/>
          <w:lang w:eastAsia="ko-KR"/>
        </w:rPr>
        <w:t xml:space="preserve"> were </w:t>
      </w:r>
      <w:r w:rsidRPr="004E7AF6">
        <w:rPr>
          <w:rFonts w:ascii="Calibri" w:eastAsia="Malgun Gothic" w:hAnsi="Calibri" w:cs="Calibri"/>
          <w:sz w:val="22"/>
          <w:szCs w:val="22"/>
          <w:lang w:eastAsia="ko-KR"/>
        </w:rPr>
        <w:t>32,949 among individuals aged &lt;65 years and 18,445 among those aged ≥65 years.</w:t>
      </w:r>
    </w:p>
    <w:p w14:paraId="250DA6C1" w14:textId="77777777" w:rsidR="00AE3D7F" w:rsidRPr="00FE6354" w:rsidRDefault="00AE3D7F">
      <w:pPr>
        <w:rPr>
          <w:rFonts w:ascii="Calibri" w:eastAsia="Malgun Gothic" w:hAnsi="Calibri" w:cs="Calibri"/>
          <w:sz w:val="22"/>
          <w:szCs w:val="22"/>
          <w:lang w:eastAsia="ko-KR"/>
        </w:rPr>
      </w:pPr>
      <w:r>
        <w:rPr>
          <w:rFonts w:ascii="Calibri" w:eastAsia="Malgun Gothic" w:hAnsi="Calibri" w:cs="Calibri" w:hint="eastAsia"/>
          <w:sz w:val="22"/>
          <w:szCs w:val="22"/>
          <w:lang w:eastAsia="ko-KR"/>
        </w:rPr>
        <w:t>Because direct evidence relating pre-vaccination CHIKV immunity to serious post-vaccination outcome is currently not established, w</w:t>
      </w:r>
      <w:r w:rsidRPr="00DD3874">
        <w:rPr>
          <w:rFonts w:ascii="Calibri" w:hAnsi="Calibri" w:cs="Calibri"/>
          <w:sz w:val="22"/>
          <w:szCs w:val="22"/>
        </w:rPr>
        <w:t xml:space="preserve">e considered two </w:t>
      </w:r>
      <w:r>
        <w:rPr>
          <w:rFonts w:ascii="Calibri" w:eastAsia="Malgun Gothic" w:hAnsi="Calibri" w:cs="Calibri" w:hint="eastAsia"/>
          <w:sz w:val="22"/>
          <w:szCs w:val="22"/>
          <w:lang w:eastAsia="ko-KR"/>
        </w:rPr>
        <w:t xml:space="preserve">structural sensitivity </w:t>
      </w:r>
      <w:r w:rsidRPr="00DD3874">
        <w:rPr>
          <w:rFonts w:ascii="Calibri" w:hAnsi="Calibri" w:cs="Calibri"/>
          <w:sz w:val="22"/>
          <w:szCs w:val="22"/>
        </w:rPr>
        <w:t>scenarios for</w:t>
      </w:r>
      <w:r>
        <w:rPr>
          <w:rFonts w:ascii="Calibri" w:eastAsia="Malgun Gothic" w:hAnsi="Calibri" w:cs="Calibri" w:hint="eastAsia"/>
          <w:sz w:val="22"/>
          <w:szCs w:val="22"/>
          <w:lang w:eastAsia="ko-KR"/>
        </w:rPr>
        <w:t xml:space="preserve"> the relationship between pre-vaccination serostatus and vaccine-associated risk. In the base-risk </w:t>
      </w:r>
      <w:r>
        <w:rPr>
          <w:rFonts w:ascii="Calibri" w:eastAsia="Malgun Gothic" w:hAnsi="Calibri" w:cs="Calibri"/>
          <w:sz w:val="22"/>
          <w:szCs w:val="22"/>
          <w:lang w:eastAsia="ko-KR"/>
        </w:rPr>
        <w:t>scenario</w:t>
      </w:r>
      <w:r>
        <w:rPr>
          <w:rFonts w:ascii="Calibri" w:eastAsia="Malgun Gothic" w:hAnsi="Calibri" w:cs="Calibri" w:hint="eastAsia"/>
          <w:sz w:val="22"/>
          <w:szCs w:val="22"/>
          <w:lang w:eastAsia="ko-KR"/>
        </w:rPr>
        <w:t xml:space="preserve">, the same </w:t>
      </w:r>
      <w:r w:rsidRPr="00B4370A">
        <w:rPr>
          <w:rFonts w:ascii="Calibri" w:eastAsia="Malgun Gothic" w:hAnsi="Calibri" w:cs="Calibri"/>
          <w:sz w:val="22"/>
          <w:szCs w:val="22"/>
          <w:lang w:eastAsia="ko-KR"/>
        </w:rPr>
        <w:t xml:space="preserve">age-specific </w:t>
      </w:r>
      <w:r>
        <w:rPr>
          <w:rFonts w:ascii="Calibri" w:eastAsia="Malgun Gothic" w:hAnsi="Calibri" w:cs="Calibri" w:hint="eastAsia"/>
          <w:sz w:val="22"/>
          <w:szCs w:val="22"/>
          <w:lang w:eastAsia="ko-KR"/>
        </w:rPr>
        <w:t xml:space="preserve">safety risk was applied irrespective of serostatus. In a serostatus-adjusted scenario, we assumed </w:t>
      </w:r>
      <w:r>
        <w:rPr>
          <w:rFonts w:ascii="Calibri" w:eastAsia="Malgun Gothic" w:hAnsi="Calibri" w:cs="Calibri"/>
          <w:sz w:val="22"/>
          <w:szCs w:val="22"/>
          <w:lang w:eastAsia="ko-KR"/>
        </w:rPr>
        <w:t>that</w:t>
      </w:r>
      <w:r>
        <w:rPr>
          <w:rFonts w:ascii="Calibri" w:eastAsia="Malgun Gothic" w:hAnsi="Calibri" w:cs="Calibri" w:hint="eastAsia"/>
          <w:sz w:val="22"/>
          <w:szCs w:val="22"/>
          <w:lang w:eastAsia="ko-KR"/>
        </w:rPr>
        <w:t xml:space="preserve"> pre-existing CHIKV immunity prevented vaccine-strain replication and therefore applied vaccine-associated risk only to seronegative individuals. </w:t>
      </w:r>
    </w:p>
    <w:p w14:paraId="17C2EDF7" w14:textId="77777777" w:rsidR="00AE3D7F" w:rsidRPr="005C15A5" w:rsidRDefault="00AE3D7F" w:rsidP="005C15A5">
      <w:pPr>
        <w:spacing w:line="276" w:lineRule="auto"/>
        <w:rPr>
          <w:rStyle w:val="IntenseEmphasis"/>
          <w:rFonts w:ascii="Calibri" w:eastAsia="Malgun Gothic" w:hAnsi="Calibri" w:cs="Calibri"/>
          <w:i w:val="0"/>
          <w:iCs w:val="0"/>
          <w:lang w:eastAsia="ko-KR"/>
        </w:rPr>
      </w:pPr>
      <w:r w:rsidRPr="005C15A5">
        <w:rPr>
          <w:rStyle w:val="IntenseEmphasis"/>
          <w:rFonts w:ascii="Calibri" w:eastAsia="Malgun Gothic" w:hAnsi="Calibri" w:cs="Calibri"/>
          <w:i w:val="0"/>
          <w:iCs w:val="0"/>
          <w:lang w:eastAsia="ko-KR"/>
        </w:rPr>
        <w:t xml:space="preserve">Outbreak-response immunisation </w:t>
      </w:r>
    </w:p>
    <w:p w14:paraId="2C2FEAE2" w14:textId="77777777" w:rsidR="00AE3D7F" w:rsidRPr="00CF6D3D" w:rsidRDefault="00AE3D7F" w:rsidP="00CF6D3D">
      <w:pPr>
        <w:rPr>
          <w:sz w:val="22"/>
          <w:szCs w:val="22"/>
        </w:rPr>
      </w:pPr>
      <w:r w:rsidRPr="00EF6AD3">
        <w:rPr>
          <w:rFonts w:ascii="Calibri" w:eastAsia="Malgun Gothic" w:hAnsi="Calibri" w:cs="Calibri"/>
          <w:sz w:val="22"/>
          <w:szCs w:val="22"/>
          <w:lang w:eastAsia="ko-KR"/>
        </w:rPr>
        <w:t>In the base-case</w:t>
      </w:r>
      <w:r>
        <w:rPr>
          <w:rFonts w:ascii="Calibri" w:eastAsia="Malgun Gothic" w:hAnsi="Calibri" w:cs="Calibri" w:hint="eastAsia"/>
          <w:sz w:val="22"/>
          <w:szCs w:val="22"/>
          <w:lang w:eastAsia="ko-KR"/>
        </w:rPr>
        <w:t xml:space="preserve"> reference</w:t>
      </w:r>
      <w:r w:rsidRPr="00EF6AD3">
        <w:rPr>
          <w:rFonts w:ascii="Calibri" w:eastAsia="Malgun Gothic" w:hAnsi="Calibri" w:cs="Calibri"/>
          <w:sz w:val="22"/>
          <w:szCs w:val="22"/>
          <w:lang w:eastAsia="ko-KR"/>
        </w:rPr>
        <w:t xml:space="preserve"> scenario, vaccination was assumed to begin two weeks after the start of the</w:t>
      </w:r>
      <w:r>
        <w:rPr>
          <w:rFonts w:ascii="Calibri" w:eastAsia="Malgun Gothic" w:hAnsi="Calibri" w:cs="Calibri" w:hint="eastAsia"/>
          <w:sz w:val="22"/>
          <w:szCs w:val="22"/>
          <w:lang w:eastAsia="ko-KR"/>
        </w:rPr>
        <w:t xml:space="preserve"> outbreak</w:t>
      </w:r>
      <w:r w:rsidRPr="00EF6AD3">
        <w:rPr>
          <w:rFonts w:ascii="Calibri" w:eastAsia="Malgun Gothic" w:hAnsi="Calibri" w:cs="Calibri"/>
          <w:sz w:val="22"/>
          <w:szCs w:val="22"/>
          <w:lang w:eastAsia="ko-KR"/>
        </w:rPr>
        <w:t>. Total vaccine supply was fixed at a</w:t>
      </w:r>
      <w:r>
        <w:rPr>
          <w:rFonts w:ascii="Calibri" w:eastAsia="Malgun Gothic" w:hAnsi="Calibri" w:cs="Calibri" w:hint="eastAsia"/>
          <w:sz w:val="22"/>
          <w:szCs w:val="22"/>
          <w:lang w:eastAsia="ko-KR"/>
        </w:rPr>
        <w:t xml:space="preserve"> </w:t>
      </w:r>
      <w:r w:rsidRPr="00EF6AD3">
        <w:rPr>
          <w:rFonts w:ascii="Calibri" w:eastAsia="Malgun Gothic" w:hAnsi="Calibri" w:cs="Calibri"/>
          <w:sz w:val="22"/>
          <w:szCs w:val="22"/>
          <w:lang w:eastAsia="ko-KR"/>
        </w:rPr>
        <w:t>50% coverage of the targeted age group's population. We assumed a single-dose vaccine, with immunity acquired 14 days after administration. Doses were delivered at a constant weekly rate of 10% of total supply, until the target coverage was reached.</w:t>
      </w:r>
      <w:r>
        <w:rPr>
          <w:rFonts w:ascii="Calibri" w:eastAsia="Malgun Gothic" w:hAnsi="Calibri" w:cs="Calibri" w:hint="eastAsia"/>
          <w:sz w:val="22"/>
          <w:szCs w:val="22"/>
          <w:lang w:eastAsia="ko-KR"/>
        </w:rPr>
        <w:t xml:space="preserve"> </w:t>
      </w:r>
      <w:r w:rsidRPr="006F14CD">
        <w:rPr>
          <w:rFonts w:ascii="Calibri" w:eastAsia="Malgun Gothic" w:hAnsi="Calibri" w:cs="Calibri"/>
          <w:sz w:val="22"/>
          <w:szCs w:val="22"/>
          <w:lang w:eastAsia="ko-KR"/>
        </w:rPr>
        <w:t xml:space="preserve">To characterise how the benefit-risk </w:t>
      </w:r>
      <w:r>
        <w:rPr>
          <w:rFonts w:ascii="Calibri" w:eastAsia="Malgun Gothic" w:hAnsi="Calibri" w:cs="Calibri" w:hint="eastAsia"/>
          <w:sz w:val="22"/>
          <w:szCs w:val="22"/>
          <w:lang w:eastAsia="ko-KR"/>
        </w:rPr>
        <w:t>ratio</w:t>
      </w:r>
      <w:r w:rsidRPr="006F14CD">
        <w:rPr>
          <w:rFonts w:ascii="Calibri" w:eastAsia="Malgun Gothic" w:hAnsi="Calibri" w:cs="Calibri"/>
          <w:sz w:val="22"/>
          <w:szCs w:val="22"/>
          <w:lang w:eastAsia="ko-KR"/>
        </w:rPr>
        <w:t xml:space="preserve"> varies with campaign timing and </w:t>
      </w:r>
      <w:r>
        <w:rPr>
          <w:rFonts w:ascii="Calibri" w:eastAsia="Malgun Gothic" w:hAnsi="Calibri" w:cs="Calibri" w:hint="eastAsia"/>
          <w:sz w:val="22"/>
          <w:szCs w:val="22"/>
          <w:lang w:eastAsia="ko-KR"/>
        </w:rPr>
        <w:t>vaccine coverage</w:t>
      </w:r>
      <w:r w:rsidRPr="006F14CD">
        <w:rPr>
          <w:rFonts w:ascii="Calibri" w:eastAsia="Malgun Gothic" w:hAnsi="Calibri" w:cs="Calibri"/>
          <w:sz w:val="22"/>
          <w:szCs w:val="22"/>
          <w:lang w:eastAsia="ko-KR"/>
        </w:rPr>
        <w:t>, we evaluated a continuous decision surface across campaign start week (1–52) and target coverage (10–90%), for each state, age group, vaccine-protection mechanism</w:t>
      </w:r>
      <w:r>
        <w:rPr>
          <w:rFonts w:ascii="Calibri" w:eastAsia="Malgun Gothic" w:hAnsi="Calibri" w:cs="Calibri" w:hint="eastAsia"/>
          <w:sz w:val="22"/>
          <w:szCs w:val="22"/>
          <w:lang w:eastAsia="ko-KR"/>
        </w:rPr>
        <w:t xml:space="preserve">, and vaccine-associated risk assumptions. </w:t>
      </w:r>
    </w:p>
    <w:p w14:paraId="4552A4E3" w14:textId="77777777" w:rsidR="00AE3D7F" w:rsidRPr="00CF6D3D" w:rsidRDefault="00AE3D7F" w:rsidP="00AC5C2F">
      <w:pPr>
        <w:spacing w:line="276" w:lineRule="auto"/>
        <w:rPr>
          <w:rFonts w:ascii="Calibri" w:eastAsia="Malgun Gothic" w:hAnsi="Calibri" w:cs="Calibri"/>
          <w:color w:val="0F4761" w:themeColor="accent1" w:themeShade="BF"/>
          <w:lang w:eastAsia="ko-KR"/>
        </w:rPr>
      </w:pPr>
      <w:r w:rsidRPr="003574E3">
        <w:rPr>
          <w:rStyle w:val="IntenseEmphasis"/>
          <w:rFonts w:ascii="Calibri" w:eastAsia="Malgun Gothic" w:hAnsi="Calibri" w:cs="Calibri"/>
          <w:i w:val="0"/>
          <w:lang w:eastAsia="ko-KR"/>
        </w:rPr>
        <w:t>Travel vaccination</w:t>
      </w:r>
    </w:p>
    <w:p w14:paraId="0E8C6891" w14:textId="77777777" w:rsidR="00AE3D7F" w:rsidRPr="00396148" w:rsidRDefault="00AE3D7F" w:rsidP="00DD37EE">
      <w:pPr>
        <w:spacing w:line="276" w:lineRule="auto"/>
        <w:rPr>
          <w:rFonts w:ascii="Calibri" w:eastAsia="Malgun Gothic" w:hAnsi="Calibri" w:cs="Calibri"/>
          <w:sz w:val="22"/>
          <w:szCs w:val="22"/>
          <w:lang w:eastAsia="ko-KR"/>
        </w:rPr>
      </w:pPr>
      <w:r>
        <w:rPr>
          <w:rFonts w:ascii="Calibri" w:eastAsia="Malgun Gothic" w:hAnsi="Calibri" w:cs="Calibri" w:hint="eastAsia"/>
          <w:sz w:val="22"/>
          <w:szCs w:val="22"/>
          <w:lang w:eastAsia="ko-KR"/>
        </w:rPr>
        <w:t xml:space="preserve">We </w:t>
      </w:r>
      <w:r>
        <w:rPr>
          <w:rFonts w:ascii="Calibri" w:eastAsia="Malgun Gothic" w:hAnsi="Calibri" w:cs="Calibri"/>
          <w:sz w:val="22"/>
          <w:szCs w:val="22"/>
          <w:lang w:eastAsia="ko-KR"/>
        </w:rPr>
        <w:t>modelled</w:t>
      </w:r>
      <w:r>
        <w:rPr>
          <w:rFonts w:ascii="Calibri" w:eastAsia="Malgun Gothic" w:hAnsi="Calibri" w:cs="Calibri" w:hint="eastAsia"/>
          <w:sz w:val="22"/>
          <w:szCs w:val="22"/>
          <w:lang w:eastAsia="ko-KR"/>
        </w:rPr>
        <w:t xml:space="preserve"> </w:t>
      </w:r>
      <w:r>
        <w:rPr>
          <w:rFonts w:ascii="Calibri" w:eastAsia="Malgun Gothic" w:hAnsi="Calibri" w:cs="Calibri"/>
          <w:sz w:val="22"/>
          <w:szCs w:val="22"/>
          <w:lang w:eastAsia="ko-KR"/>
        </w:rPr>
        <w:t>travellers</w:t>
      </w:r>
      <w:r>
        <w:rPr>
          <w:rFonts w:ascii="Calibri" w:eastAsia="Malgun Gothic" w:hAnsi="Calibri" w:cs="Calibri" w:hint="eastAsia"/>
          <w:sz w:val="22"/>
          <w:szCs w:val="22"/>
          <w:lang w:eastAsia="ko-KR"/>
        </w:rPr>
        <w:t xml:space="preserve"> from regions without </w:t>
      </w:r>
      <w:r w:rsidRPr="00396148">
        <w:rPr>
          <w:rFonts w:ascii="Calibri" w:eastAsia="Malgun Gothic" w:hAnsi="Calibri" w:cs="Calibri"/>
          <w:sz w:val="22"/>
          <w:szCs w:val="22"/>
        </w:rPr>
        <w:t>autochthonous CHIKV transmission</w:t>
      </w:r>
      <w:r>
        <w:rPr>
          <w:rFonts w:ascii="Calibri" w:eastAsia="Malgun Gothic" w:hAnsi="Calibri" w:cs="Calibri" w:hint="eastAsia"/>
          <w:sz w:val="22"/>
          <w:szCs w:val="22"/>
          <w:lang w:eastAsia="ko-KR"/>
        </w:rPr>
        <w:t xml:space="preserve"> visiting states with active transmission. </w:t>
      </w:r>
      <w:proofErr w:type="spellStart"/>
      <w:r>
        <w:rPr>
          <w:rFonts w:ascii="Calibri" w:eastAsia="Malgun Gothic" w:hAnsi="Calibri" w:cs="Calibri"/>
          <w:sz w:val="22"/>
          <w:szCs w:val="22"/>
          <w:lang w:val="en-US" w:eastAsia="ko-KR"/>
        </w:rPr>
        <w:t>Travellers</w:t>
      </w:r>
      <w:proofErr w:type="spellEnd"/>
      <w:r>
        <w:rPr>
          <w:rFonts w:ascii="Calibri" w:eastAsia="Malgun Gothic" w:hAnsi="Calibri" w:cs="Calibri"/>
          <w:sz w:val="22"/>
          <w:szCs w:val="22"/>
          <w:lang w:val="en-US" w:eastAsia="ko-KR"/>
        </w:rPr>
        <w:t xml:space="preserve"> were </w:t>
      </w:r>
      <w:r>
        <w:rPr>
          <w:rFonts w:ascii="Calibri" w:eastAsia="Malgun Gothic" w:hAnsi="Calibri" w:cs="Calibri" w:hint="eastAsia"/>
          <w:sz w:val="22"/>
          <w:szCs w:val="22"/>
          <w:lang w:eastAsia="ko-KR"/>
        </w:rPr>
        <w:t>assumed</w:t>
      </w:r>
      <w:r>
        <w:rPr>
          <w:rFonts w:ascii="Calibri" w:eastAsia="Malgun Gothic" w:hAnsi="Calibri" w:cs="Calibri"/>
          <w:sz w:val="22"/>
          <w:szCs w:val="22"/>
          <w:lang w:eastAsia="ko-KR"/>
        </w:rPr>
        <w:t xml:space="preserve"> to be</w:t>
      </w:r>
      <w:r>
        <w:rPr>
          <w:rFonts w:ascii="Calibri" w:eastAsia="Malgun Gothic" w:hAnsi="Calibri" w:cs="Calibri" w:hint="eastAsia"/>
          <w:sz w:val="22"/>
          <w:szCs w:val="22"/>
          <w:lang w:eastAsia="ko-KR"/>
        </w:rPr>
        <w:t xml:space="preserve"> fully seronegative at departure and </w:t>
      </w:r>
      <w:r>
        <w:rPr>
          <w:rFonts w:ascii="Calibri" w:eastAsia="Malgun Gothic" w:hAnsi="Calibri" w:cs="Calibri"/>
          <w:sz w:val="22"/>
          <w:szCs w:val="22"/>
          <w:lang w:eastAsia="ko-KR"/>
        </w:rPr>
        <w:t>to experience</w:t>
      </w:r>
      <w:r>
        <w:rPr>
          <w:rFonts w:ascii="Calibri" w:eastAsia="Malgun Gothic" w:hAnsi="Calibri" w:cs="Calibri" w:hint="eastAsia"/>
          <w:sz w:val="22"/>
          <w:szCs w:val="22"/>
          <w:lang w:eastAsia="ko-KR"/>
        </w:rPr>
        <w:t xml:space="preserve"> the same daily FOI as </w:t>
      </w:r>
      <w:proofErr w:type="gramStart"/>
      <w:r>
        <w:rPr>
          <w:rFonts w:ascii="Calibri" w:eastAsia="Malgun Gothic" w:hAnsi="Calibri" w:cs="Calibri" w:hint="eastAsia"/>
          <w:sz w:val="22"/>
          <w:szCs w:val="22"/>
          <w:lang w:eastAsia="ko-KR"/>
        </w:rPr>
        <w:t xml:space="preserve">local </w:t>
      </w:r>
      <w:r>
        <w:rPr>
          <w:rFonts w:ascii="Calibri" w:eastAsia="Malgun Gothic" w:hAnsi="Calibri" w:cs="Calibri"/>
          <w:sz w:val="22"/>
          <w:szCs w:val="22"/>
          <w:lang w:eastAsia="ko-KR"/>
        </w:rPr>
        <w:t>residents</w:t>
      </w:r>
      <w:proofErr w:type="gramEnd"/>
      <w:r>
        <w:rPr>
          <w:rFonts w:ascii="Calibri" w:eastAsia="Malgun Gothic" w:hAnsi="Calibri" w:cs="Calibri"/>
          <w:sz w:val="22"/>
          <w:szCs w:val="22"/>
          <w:lang w:eastAsia="ko-KR"/>
        </w:rPr>
        <w:t xml:space="preserve"> during their stay</w:t>
      </w:r>
      <w:r>
        <w:rPr>
          <w:rFonts w:ascii="Calibri" w:eastAsia="Malgun Gothic" w:hAnsi="Calibri" w:cs="Calibri" w:hint="eastAsia"/>
          <w:sz w:val="22"/>
          <w:szCs w:val="22"/>
          <w:lang w:eastAsia="ko-KR"/>
        </w:rPr>
        <w:t>. Because travel vaccination is administered</w:t>
      </w:r>
      <w:r>
        <w:rPr>
          <w:rFonts w:ascii="Calibri" w:eastAsia="Malgun Gothic" w:hAnsi="Calibri" w:cs="Calibri"/>
          <w:sz w:val="22"/>
          <w:szCs w:val="22"/>
          <w:lang w:eastAsia="ko-KR"/>
        </w:rPr>
        <w:t xml:space="preserve"> at the individual level</w:t>
      </w:r>
      <w:r>
        <w:rPr>
          <w:rFonts w:ascii="Calibri" w:eastAsia="Malgun Gothic" w:hAnsi="Calibri" w:cs="Calibri" w:hint="eastAsia"/>
          <w:sz w:val="22"/>
          <w:szCs w:val="22"/>
          <w:lang w:eastAsia="ko-KR"/>
        </w:rPr>
        <w:t xml:space="preserve">, we did not model indirect </w:t>
      </w:r>
      <w:r>
        <w:rPr>
          <w:rFonts w:ascii="Calibri" w:eastAsia="Malgun Gothic" w:hAnsi="Calibri" w:cs="Calibri"/>
          <w:sz w:val="22"/>
          <w:szCs w:val="22"/>
          <w:lang w:eastAsia="ko-KR"/>
        </w:rPr>
        <w:t>vaccine effects</w:t>
      </w:r>
      <w:r>
        <w:rPr>
          <w:rFonts w:ascii="Calibri" w:eastAsia="Malgun Gothic" w:hAnsi="Calibri" w:cs="Calibri" w:hint="eastAsia"/>
          <w:sz w:val="22"/>
          <w:szCs w:val="22"/>
          <w:lang w:eastAsia="ko-KR"/>
        </w:rPr>
        <w:t xml:space="preserve">. </w:t>
      </w:r>
      <w:r>
        <w:rPr>
          <w:rFonts w:ascii="Calibri" w:eastAsia="Malgun Gothic" w:hAnsi="Calibri" w:cs="Calibri"/>
          <w:sz w:val="22"/>
          <w:szCs w:val="22"/>
          <w:lang w:eastAsia="ko-KR"/>
        </w:rPr>
        <w:t>V</w:t>
      </w:r>
      <w:r>
        <w:rPr>
          <w:rFonts w:ascii="Calibri" w:eastAsia="Malgun Gothic" w:hAnsi="Calibri" w:cs="Calibri" w:hint="eastAsia"/>
          <w:sz w:val="22"/>
          <w:szCs w:val="22"/>
          <w:lang w:eastAsia="ko-KR"/>
        </w:rPr>
        <w:t xml:space="preserve">accination was </w:t>
      </w:r>
      <w:r>
        <w:rPr>
          <w:rFonts w:ascii="Calibri" w:eastAsia="Malgun Gothic" w:hAnsi="Calibri" w:cs="Calibri"/>
          <w:sz w:val="22"/>
          <w:szCs w:val="22"/>
          <w:lang w:eastAsia="ko-KR"/>
        </w:rPr>
        <w:t xml:space="preserve">therefore </w:t>
      </w:r>
      <w:r>
        <w:rPr>
          <w:rFonts w:ascii="Calibri" w:eastAsia="Malgun Gothic" w:hAnsi="Calibri" w:cs="Calibri" w:hint="eastAsia"/>
          <w:sz w:val="22"/>
          <w:szCs w:val="22"/>
          <w:lang w:eastAsia="ko-KR"/>
        </w:rPr>
        <w:t xml:space="preserve">assumed to reduce </w:t>
      </w:r>
      <w:r>
        <w:rPr>
          <w:rFonts w:ascii="Calibri" w:eastAsia="Malgun Gothic" w:hAnsi="Calibri" w:cs="Calibri"/>
          <w:sz w:val="22"/>
          <w:szCs w:val="22"/>
          <w:lang w:eastAsia="ko-KR"/>
        </w:rPr>
        <w:t>disease outcomes following</w:t>
      </w:r>
      <w:r>
        <w:rPr>
          <w:rFonts w:ascii="Calibri" w:eastAsia="Malgun Gothic" w:hAnsi="Calibri" w:cs="Calibri" w:hint="eastAsia"/>
          <w:sz w:val="22"/>
          <w:szCs w:val="22"/>
          <w:lang w:eastAsia="ko-KR"/>
        </w:rPr>
        <w:t xml:space="preserve"> infection, but not the probability of infection itself. For each state </w:t>
      </w:r>
      <m:oMath>
        <m:r>
          <w:rPr>
            <w:rFonts w:ascii="Cambria Math" w:eastAsia="Malgun Gothic" w:hAnsi="Cambria Math" w:cs="Calibri"/>
            <w:sz w:val="22"/>
            <w:szCs w:val="22"/>
            <w:lang w:eastAsia="ko-KR"/>
          </w:rPr>
          <m:t>r</m:t>
        </m:r>
      </m:oMath>
      <w:r w:rsidRPr="0042294A">
        <w:rPr>
          <w:rFonts w:ascii="Calibri" w:hAnsi="Calibri" w:cs="Calibri"/>
          <w:sz w:val="22"/>
          <w:szCs w:val="22"/>
        </w:rPr>
        <w:t>,</w:t>
      </w:r>
      <w:r>
        <w:rPr>
          <w:rFonts w:ascii="Calibri" w:eastAsia="Malgun Gothic" w:hAnsi="Calibri" w:cs="Calibri" w:hint="eastAsia"/>
          <w:sz w:val="22"/>
          <w:szCs w:val="22"/>
          <w:lang w:eastAsia="ko-KR"/>
        </w:rPr>
        <w:t xml:space="preserve"> </w:t>
      </w:r>
      <w:r>
        <w:rPr>
          <w:rFonts w:ascii="Calibri" w:eastAsia="Malgun Gothic" w:hAnsi="Calibri" w:cs="Calibri"/>
          <w:sz w:val="22"/>
          <w:szCs w:val="22"/>
          <w:lang w:eastAsia="ko-KR"/>
        </w:rPr>
        <w:t>and posterior draw</w:t>
      </w:r>
      <w:r>
        <w:rPr>
          <w:rFonts w:ascii="Calibri" w:eastAsia="Malgun Gothic" w:hAnsi="Calibri" w:cs="Calibri" w:hint="eastAsia"/>
          <w:sz w:val="22"/>
          <w:szCs w:val="22"/>
          <w:lang w:eastAsia="ko-KR"/>
        </w:rPr>
        <w:t xml:space="preserve"> </w:t>
      </w:r>
      <m:oMath>
        <m:r>
          <m:rPr>
            <m:sty m:val="p"/>
          </m:rPr>
          <w:rPr>
            <w:rFonts w:ascii="Cambria Math" w:eastAsia="Malgun Gothic" w:hAnsi="Cambria Math" w:cs="Calibri"/>
            <w:sz w:val="22"/>
            <w:szCs w:val="22"/>
            <w:lang w:eastAsia="ko-KR"/>
          </w:rPr>
          <m:t>d</m:t>
        </m:r>
      </m:oMath>
      <w:r>
        <w:rPr>
          <w:rFonts w:ascii="Calibri" w:eastAsia="Malgun Gothic" w:hAnsi="Calibri" w:cs="Calibri"/>
          <w:sz w:val="22"/>
          <w:szCs w:val="22"/>
          <w:lang w:eastAsia="ko-KR"/>
        </w:rPr>
        <w:t xml:space="preserve">, </w:t>
      </w:r>
      <w:r>
        <w:rPr>
          <w:rFonts w:ascii="Calibri" w:eastAsia="Malgun Gothic" w:hAnsi="Calibri" w:cs="Calibri" w:hint="eastAsia"/>
          <w:sz w:val="22"/>
          <w:szCs w:val="22"/>
          <w:lang w:eastAsia="ko-KR"/>
        </w:rPr>
        <w:t xml:space="preserve">the fitted weekly FOI </w:t>
      </w:r>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r,t</m:t>
            </m:r>
          </m:sub>
        </m:sSub>
        <m:r>
          <m:rPr>
            <m:sty m:val="p"/>
          </m:rPr>
          <w:rPr>
            <w:rFonts w:ascii="Cambria Math" w:eastAsia="Malgun Gothic" w:hAnsi="Cambria Math" w:cs="Calibri"/>
            <w:sz w:val="22"/>
            <w:szCs w:val="22"/>
            <w:lang w:eastAsia="ko-KR"/>
          </w:rPr>
          <m:t>)</m:t>
        </m:r>
        <m:r>
          <m:rPr>
            <m:sty m:val="p"/>
          </m:rPr>
          <w:rPr>
            <w:rFonts w:ascii="Cambria Math" w:eastAsia="Malgun Gothic" w:hAnsi="Cambria Math" w:cs="Calibri" w:hint="eastAsia"/>
            <w:sz w:val="22"/>
            <w:szCs w:val="22"/>
            <w:lang w:eastAsia="ko-KR"/>
          </w:rPr>
          <m:t xml:space="preserve"> </m:t>
        </m:r>
      </m:oMath>
      <w:r>
        <w:rPr>
          <w:rFonts w:ascii="Calibri" w:eastAsia="Malgun Gothic" w:hAnsi="Calibri" w:cs="Calibri" w:hint="eastAsia"/>
          <w:sz w:val="22"/>
          <w:szCs w:val="22"/>
          <w:lang w:eastAsia="ko-KR"/>
        </w:rPr>
        <w:t xml:space="preserve"> was distributed evenly across 7 days to obtain </w:t>
      </w:r>
      <w:r>
        <w:rPr>
          <w:rFonts w:ascii="Calibri" w:eastAsia="Malgun Gothic" w:hAnsi="Calibri" w:cs="Calibri"/>
          <w:sz w:val="22"/>
          <w:szCs w:val="22"/>
          <w:lang w:eastAsia="ko-KR"/>
        </w:rPr>
        <w:t>the corresponding</w:t>
      </w:r>
      <w:r>
        <w:rPr>
          <w:rFonts w:ascii="Calibri" w:eastAsia="Malgun Gothic" w:hAnsi="Calibri" w:cs="Calibri" w:hint="eastAsia"/>
          <w:sz w:val="22"/>
          <w:szCs w:val="22"/>
          <w:lang w:eastAsia="ko-KR"/>
        </w:rPr>
        <w:t xml:space="preserve"> daily </w:t>
      </w:r>
      <w:r>
        <w:rPr>
          <w:rFonts w:ascii="Calibri" w:eastAsia="Malgun Gothic" w:hAnsi="Calibri" w:cs="Calibri"/>
          <w:sz w:val="22"/>
          <w:szCs w:val="22"/>
          <w:lang w:eastAsia="ko-KR"/>
        </w:rPr>
        <w:t>infection</w:t>
      </w:r>
      <w:r>
        <w:rPr>
          <w:rFonts w:ascii="Calibri" w:eastAsia="Malgun Gothic" w:hAnsi="Calibri" w:cs="Calibri" w:hint="eastAsia"/>
          <w:sz w:val="22"/>
          <w:szCs w:val="22"/>
          <w:lang w:eastAsia="ko-KR"/>
        </w:rPr>
        <w:t xml:space="preserve"> hazard</w:t>
      </w:r>
      <w:r>
        <w:rPr>
          <w:rFonts w:ascii="Calibri" w:eastAsia="Malgun Gothic" w:hAnsi="Calibri" w:cs="Calibri"/>
          <w:sz w:val="22"/>
          <w:szCs w:val="22"/>
          <w:lang w:eastAsia="ko-KR"/>
        </w:rPr>
        <w:t>,</w:t>
      </w:r>
    </w:p>
    <w:p w14:paraId="3B943CD2" w14:textId="77777777" w:rsidR="00AE3D7F" w:rsidRPr="00396148" w:rsidRDefault="0006779E" w:rsidP="002F5844">
      <w:pPr>
        <w:spacing w:line="276" w:lineRule="auto"/>
        <w:rPr>
          <w:rFonts w:ascii="Calibri" w:eastAsia="Malgun Gothic" w:hAnsi="Calibri" w:cs="Calibri"/>
          <w:sz w:val="22"/>
          <w:szCs w:val="22"/>
          <w:lang w:eastAsia="ko-KR"/>
        </w:rPr>
      </w:pPr>
      <m:oMathPara>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r>
            <w:rPr>
              <w:rFonts w:ascii="Cambria Math" w:hAnsi="Cambria Math" w:cs="Calibri"/>
              <w:sz w:val="22"/>
              <w:szCs w:val="22"/>
            </w:rPr>
            <m:t>=</m:t>
          </m:r>
          <m:f>
            <m:fPr>
              <m:ctrlPr>
                <w:rPr>
                  <w:rFonts w:ascii="Cambria Math" w:hAnsi="Cambria Math" w:cs="Calibri"/>
                  <w:i/>
                  <w:sz w:val="22"/>
                  <w:szCs w:val="22"/>
                </w:rPr>
              </m:ctrlPr>
            </m:fPr>
            <m:num>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r,t</m:t>
                  </m:r>
                </m:sub>
              </m:sSub>
            </m:num>
            <m:den>
              <m:r>
                <w:rPr>
                  <w:rFonts w:ascii="Cambria Math" w:hAnsi="Cambria Math" w:cs="Calibri"/>
                  <w:sz w:val="22"/>
                  <w:szCs w:val="22"/>
                </w:rPr>
                <m:t>7</m:t>
              </m:r>
            </m:den>
          </m:f>
        </m:oMath>
      </m:oMathPara>
    </w:p>
    <w:p w14:paraId="40EE1C54" w14:textId="77777777" w:rsidR="00AE3D7F" w:rsidRDefault="00AE3D7F" w:rsidP="002F5844">
      <w:pPr>
        <w:spacing w:line="276" w:lineRule="auto"/>
        <w:rPr>
          <w:rFonts w:ascii="Calibri" w:eastAsia="Malgun Gothic" w:hAnsi="Calibri" w:cs="Calibri"/>
          <w:sz w:val="22"/>
          <w:szCs w:val="22"/>
          <w:lang w:eastAsia="ko-KR"/>
        </w:rPr>
      </w:pPr>
      <w:r>
        <w:rPr>
          <w:rFonts w:ascii="Calibri" w:eastAsia="Malgun Gothic" w:hAnsi="Calibri" w:cs="Calibri"/>
          <w:sz w:val="22"/>
          <w:szCs w:val="22"/>
        </w:rPr>
        <w:t xml:space="preserve">For a trip beginning on day </w:t>
      </w:r>
      <m:oMath>
        <m:r>
          <m:rPr>
            <m:sty m:val="p"/>
          </m:rPr>
          <w:rPr>
            <w:rFonts w:ascii="Cambria Math" w:eastAsia="Malgun Gothic" w:hAnsi="Cambria Math" w:cs="Calibri"/>
            <w:sz w:val="22"/>
            <w:szCs w:val="22"/>
            <w:lang w:eastAsia="ko-KR"/>
          </w:rPr>
          <m:t>j</m:t>
        </m:r>
      </m:oMath>
      <w:r>
        <w:rPr>
          <w:rFonts w:ascii="Calibri" w:eastAsia="Malgun Gothic" w:hAnsi="Calibri" w:cs="Calibri"/>
          <w:sz w:val="22"/>
          <w:szCs w:val="22"/>
          <w:lang w:eastAsia="ko-KR"/>
        </w:rPr>
        <w:t xml:space="preserve"> and lasting </w:t>
      </w:r>
      <m:oMath>
        <m:r>
          <w:rPr>
            <w:rFonts w:ascii="Cambria Math" w:eastAsia="Malgun Gothic" w:hAnsi="Cambria Math" w:cs="Calibri"/>
            <w:sz w:val="22"/>
            <w:szCs w:val="22"/>
            <w:lang w:eastAsia="ko-KR"/>
          </w:rPr>
          <m:t>D</m:t>
        </m:r>
      </m:oMath>
      <w:r>
        <w:rPr>
          <w:rFonts w:ascii="Calibri" w:eastAsia="Malgun Gothic" w:hAnsi="Calibri" w:cs="Calibri"/>
          <w:sz w:val="22"/>
          <w:szCs w:val="22"/>
          <w:lang w:eastAsia="ko-KR"/>
        </w:rPr>
        <w:t xml:space="preserve"> days, the cumulative infection hazard was calculated as </w:t>
      </w:r>
    </w:p>
    <w:p w14:paraId="09C1ACC4" w14:textId="77777777" w:rsidR="00AE3D7F" w:rsidRPr="003574E3" w:rsidRDefault="0006779E" w:rsidP="003574E3">
      <w:pPr>
        <w:spacing w:line="276" w:lineRule="auto"/>
        <w:rPr>
          <w:rFonts w:ascii="Calibri" w:eastAsia="Malgun Gothic" w:hAnsi="Calibri" w:cs="Calibri"/>
          <w:sz w:val="22"/>
          <w:szCs w:val="22"/>
        </w:rPr>
      </w:pPr>
      <m:oMathPara>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H</m:t>
              </m:r>
            </m:e>
            <m:sub>
              <m:r>
                <m:rPr>
                  <m:sty m:val="p"/>
                </m:rPr>
                <w:rPr>
                  <w:rFonts w:ascii="Cambria Math" w:eastAsia="Malgun Gothic" w:hAnsi="Cambria Math" w:cs="Calibri"/>
                  <w:sz w:val="22"/>
                  <w:szCs w:val="22"/>
                  <w:lang w:eastAsia="ko-KR"/>
                </w:rPr>
                <m:t>r,j,d</m:t>
              </m:r>
            </m:sub>
          </m:sSub>
          <m:r>
            <w:rPr>
              <w:rFonts w:ascii="Cambria Math" w:hAnsi="Cambria Math" w:cs="Calibri"/>
              <w:sz w:val="22"/>
              <w:szCs w:val="22"/>
            </w:rPr>
            <m:t>=</m:t>
          </m:r>
          <m:nary>
            <m:naryPr>
              <m:chr m:val="∑"/>
              <m:limLoc m:val="undOvr"/>
              <m:ctrlPr>
                <w:rPr>
                  <w:rFonts w:ascii="Cambria Math" w:hAnsi="Cambria Math" w:cs="Calibri"/>
                  <w:i/>
                  <w:sz w:val="22"/>
                  <w:szCs w:val="22"/>
                </w:rPr>
              </m:ctrlPr>
            </m:naryPr>
            <m:sub>
              <m:r>
                <w:rPr>
                  <w:rFonts w:ascii="Cambria Math" w:hAnsi="Cambria Math" w:cs="Calibri"/>
                  <w:sz w:val="22"/>
                  <w:szCs w:val="22"/>
                </w:rPr>
                <m:t>d=j</m:t>
              </m:r>
            </m:sub>
            <m:sup>
              <m:r>
                <w:rPr>
                  <w:rFonts w:ascii="Cambria Math" w:hAnsi="Cambria Math" w:cs="Calibri"/>
                  <w:sz w:val="22"/>
                  <w:szCs w:val="22"/>
                </w:rPr>
                <m:t>j+D-1</m:t>
              </m:r>
            </m:sup>
            <m:e>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e>
          </m:nary>
        </m:oMath>
      </m:oMathPara>
    </w:p>
    <w:p w14:paraId="660DA468" w14:textId="2FF1F176" w:rsidR="00AE3D7F" w:rsidRPr="00261AB8" w:rsidRDefault="00AE3D7F" w:rsidP="002F5844">
      <w:pPr>
        <w:spacing w:line="276" w:lineRule="auto"/>
        <w:rPr>
          <w:rFonts w:ascii="Calibri" w:eastAsia="Malgun Gothic" w:hAnsi="Calibri" w:cs="Calibri"/>
          <w:sz w:val="22"/>
          <w:szCs w:val="22"/>
          <w:lang w:eastAsia="ko-KR"/>
        </w:rPr>
      </w:pPr>
      <w:r>
        <w:rPr>
          <w:rFonts w:ascii="Calibri" w:eastAsia="Malgun Gothic" w:hAnsi="Calibri" w:cs="Calibri"/>
          <w:sz w:val="22"/>
          <w:szCs w:val="22"/>
        </w:rPr>
        <w:lastRenderedPageBreak/>
        <w:t xml:space="preserve">Uncertainty in transmission was propagated by sampling from </w:t>
      </w:r>
      <w:r>
        <w:rPr>
          <w:rFonts w:ascii="Calibri" w:eastAsia="Malgun Gothic" w:hAnsi="Calibri" w:cs="Calibri" w:hint="eastAsia"/>
          <w:sz w:val="22"/>
          <w:szCs w:val="22"/>
          <w:lang w:eastAsia="ko-KR"/>
        </w:rPr>
        <w:t xml:space="preserve">the </w:t>
      </w:r>
      <w:r>
        <w:rPr>
          <w:rFonts w:ascii="Calibri" w:eastAsia="Malgun Gothic" w:hAnsi="Calibri" w:cs="Calibri"/>
          <w:sz w:val="22"/>
          <w:szCs w:val="22"/>
        </w:rPr>
        <w:t xml:space="preserve">posterior distribution of the </w:t>
      </w:r>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r>
          <w:rPr>
            <w:rFonts w:ascii="Cambria Math" w:eastAsia="Malgun Gothic" w:hAnsi="Cambria Math" w:cs="Calibri"/>
            <w:sz w:val="22"/>
            <w:szCs w:val="22"/>
            <w:lang w:eastAsia="ko-KR"/>
          </w:rPr>
          <m:t xml:space="preserve"> </m:t>
        </m:r>
      </m:oMath>
      <w:r>
        <w:rPr>
          <w:rFonts w:ascii="Calibri" w:eastAsia="Malgun Gothic" w:hAnsi="Calibri" w:cs="Calibri"/>
          <w:sz w:val="22"/>
          <w:szCs w:val="22"/>
        </w:rPr>
        <w:t xml:space="preserve">jointly with probabilistic draws for vaccine efficacy, </w:t>
      </w:r>
      <w:r w:rsidR="00046355">
        <w:rPr>
          <w:rFonts w:ascii="Calibri" w:eastAsia="Malgun Gothic" w:hAnsi="Calibri" w:cs="Calibri"/>
          <w:sz w:val="22"/>
          <w:szCs w:val="22"/>
        </w:rPr>
        <w:t>natural history</w:t>
      </w:r>
      <w:r>
        <w:rPr>
          <w:rFonts w:ascii="Calibri" w:eastAsia="Malgun Gothic" w:hAnsi="Calibri" w:cs="Calibri"/>
          <w:sz w:val="22"/>
          <w:szCs w:val="22"/>
        </w:rPr>
        <w:t xml:space="preserve"> of disease parameters, and vaccine </w:t>
      </w:r>
      <w:r>
        <w:rPr>
          <w:rFonts w:ascii="Calibri" w:eastAsia="Malgun Gothic" w:hAnsi="Calibri" w:cs="Calibri" w:hint="eastAsia"/>
          <w:sz w:val="22"/>
          <w:szCs w:val="22"/>
          <w:lang w:eastAsia="ko-KR"/>
        </w:rPr>
        <w:t xml:space="preserve">associated </w:t>
      </w:r>
      <w:r>
        <w:rPr>
          <w:rFonts w:ascii="Calibri" w:eastAsia="Malgun Gothic" w:hAnsi="Calibri" w:cs="Calibri"/>
          <w:sz w:val="22"/>
          <w:szCs w:val="22"/>
        </w:rPr>
        <w:t xml:space="preserve">adverse event risks. Travel associated infection probabilities were subsequently combined with the symptomatic probability and age-specific clinical progression probabilities to estimate chikungunya attributable hospitalisations, deaths, and DALYs with and without vaccination. </w:t>
      </w:r>
      <w:r w:rsidRPr="00261AB8">
        <w:rPr>
          <w:rFonts w:ascii="Calibri" w:eastAsia="Malgun Gothic" w:hAnsi="Calibri" w:cs="Calibri"/>
          <w:sz w:val="22"/>
          <w:szCs w:val="22"/>
        </w:rPr>
        <w:t>We evaluated a two-dimensional grid of entry week and travel duration across the full epidemic period to characterise variation in travel-associated infection risk and benefit-risk ratios.</w:t>
      </w:r>
    </w:p>
    <w:p w14:paraId="34691561" w14:textId="77777777" w:rsidR="00AE3D7F" w:rsidRPr="00B906F9" w:rsidRDefault="00AE3D7F" w:rsidP="00AC5C2F">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i w:val="0"/>
          <w:iCs w:val="0"/>
          <w:lang w:eastAsia="ko-KR"/>
        </w:rPr>
        <w:t xml:space="preserve">DALYs and </w:t>
      </w:r>
      <w:r>
        <w:rPr>
          <w:rStyle w:val="IntenseEmphasis"/>
          <w:rFonts w:ascii="Calibri" w:eastAsia="Malgun Gothic" w:hAnsi="Calibri" w:cs="Calibri" w:hint="eastAsia"/>
          <w:i w:val="0"/>
          <w:iCs w:val="0"/>
          <w:lang w:eastAsia="ko-KR"/>
        </w:rPr>
        <w:t>Benefit risk ratio estimation</w:t>
      </w:r>
    </w:p>
    <w:p w14:paraId="3E65FDC9" w14:textId="50AF0140" w:rsidR="00AE3D7F" w:rsidRPr="00874A5E" w:rsidRDefault="00AE3D7F" w:rsidP="002B63ED">
      <w:pPr>
        <w:tabs>
          <w:tab w:val="left" w:pos="7470"/>
        </w:tabs>
        <w:spacing w:line="276" w:lineRule="auto"/>
        <w:rPr>
          <w:rFonts w:ascii="Calibri" w:eastAsia="Malgun Gothic" w:hAnsi="Calibri" w:cs="Calibri"/>
          <w:sz w:val="22"/>
          <w:szCs w:val="22"/>
          <w:lang w:eastAsia="ko-KR"/>
        </w:rPr>
      </w:pPr>
      <w:r w:rsidRPr="00FA7BA8">
        <w:rPr>
          <w:rFonts w:ascii="Calibri" w:eastAsia="Malgun Gothic" w:hAnsi="Calibri" w:cs="Calibri"/>
          <w:sz w:val="22"/>
          <w:szCs w:val="22"/>
        </w:rPr>
        <w:t xml:space="preserve">DALYs were calculated as the sum of years lived with disability (YLDs) and years of life lost (YLLs). YLDs captured acute hospitalised, acute non-hospitalised, sub-acute, and chronic chikungunya disease phases using phase-specific disability weights, durations, and progression probabilities. YLLs were calculated from chikungunya-attributable deaths using the remaining life expectancy at the age of death. </w:t>
      </w:r>
      <w:r>
        <w:rPr>
          <w:rFonts w:ascii="Calibri" w:eastAsia="Malgun Gothic" w:hAnsi="Calibri" w:cs="Calibri" w:hint="eastAsia"/>
          <w:sz w:val="22"/>
          <w:szCs w:val="22"/>
          <w:lang w:eastAsia="ko-KR"/>
        </w:rPr>
        <w:t xml:space="preserve">Because long-term outcomes following serious chikungunya-like illness after </w:t>
      </w:r>
      <w:proofErr w:type="spellStart"/>
      <w:r>
        <w:rPr>
          <w:rFonts w:ascii="Calibri" w:eastAsia="Malgun Gothic" w:hAnsi="Calibri" w:cs="Calibri" w:hint="eastAsia"/>
          <w:sz w:val="22"/>
          <w:szCs w:val="22"/>
          <w:lang w:eastAsia="ko-KR"/>
        </w:rPr>
        <w:t>Ixchiq</w:t>
      </w:r>
      <w:proofErr w:type="spellEnd"/>
      <w:r>
        <w:rPr>
          <w:rFonts w:ascii="Calibri" w:eastAsia="Malgun Gothic" w:hAnsi="Calibri" w:cs="Calibri" w:hint="eastAsia"/>
          <w:sz w:val="22"/>
          <w:szCs w:val="22"/>
          <w:lang w:eastAsia="ko-KR"/>
        </w:rPr>
        <w:t xml:space="preserve"> vaccination have not been characterised, we assumed </w:t>
      </w:r>
      <w:r w:rsidRPr="004D5C24">
        <w:rPr>
          <w:rFonts w:ascii="Calibri" w:eastAsia="Malgun Gothic" w:hAnsi="Calibri" w:cs="Calibri"/>
          <w:sz w:val="22"/>
          <w:szCs w:val="22"/>
        </w:rPr>
        <w:t xml:space="preserve">non-fatal SAEs </w:t>
      </w:r>
      <w:r>
        <w:rPr>
          <w:rFonts w:ascii="Calibri" w:eastAsia="Malgun Gothic" w:hAnsi="Calibri" w:cs="Calibri" w:hint="eastAsia"/>
          <w:sz w:val="22"/>
          <w:szCs w:val="22"/>
          <w:lang w:eastAsia="ko-KR"/>
        </w:rPr>
        <w:t xml:space="preserve">to have acute severity equivalent to hospitalised </w:t>
      </w:r>
      <w:r>
        <w:rPr>
          <w:rFonts w:ascii="Calibri" w:eastAsia="Malgun Gothic" w:hAnsi="Calibri" w:cs="Calibri"/>
          <w:sz w:val="22"/>
          <w:szCs w:val="22"/>
          <w:lang w:eastAsia="ko-KR"/>
        </w:rPr>
        <w:t>natural</w:t>
      </w:r>
      <w:r>
        <w:rPr>
          <w:rFonts w:ascii="Calibri" w:eastAsia="Malgun Gothic" w:hAnsi="Calibri" w:cs="Calibri" w:hint="eastAsia"/>
          <w:sz w:val="22"/>
          <w:szCs w:val="22"/>
          <w:lang w:eastAsia="ko-KR"/>
        </w:rPr>
        <w:t xml:space="preserve"> chikungunya and to follow the same subsequent sub-acute and chronic disability progression as severe natural disease. Similarly, vaccine-associated deaths contributed years of life lost in the same manner as natural chikungunya-attributable deaths. </w:t>
      </w:r>
      <w:r w:rsidRPr="00FD203E">
        <w:rPr>
          <w:rStyle w:val="IntenseEmphasis"/>
          <w:rFonts w:ascii="Calibri" w:eastAsia="Malgun Gothic" w:hAnsi="Calibri" w:cs="Calibri"/>
          <w:i w:val="0"/>
          <w:iCs w:val="0"/>
          <w:color w:val="auto"/>
          <w:sz w:val="22"/>
          <w:szCs w:val="22"/>
        </w:rPr>
        <w:t xml:space="preserve">We derived age-specific hospitalisation rates and case-fatality rates among symptomatic chikungunya cases from the Brazilian national surveillance system (SINAN) and the study by Cerqueira-Silva et al </w:t>
      </w:r>
      <w:hyperlink r:id="rId39" w:history="1">
        <w:r>
          <w:rPr>
            <w:rFonts w:ascii="Calibri" w:eastAsia="Times New Roman" w:hAnsi="Calibri" w:cs="Calibri"/>
            <w:sz w:val="22"/>
            <w:vertAlign w:val="superscript"/>
          </w:rPr>
          <w:t>27,28</w:t>
        </w:r>
      </w:hyperlink>
      <w:r w:rsidRPr="00FD203E">
        <w:rPr>
          <w:rStyle w:val="IntenseEmphasis"/>
          <w:rFonts w:ascii="Calibri" w:eastAsia="Malgun Gothic" w:hAnsi="Calibri" w:cs="Calibri"/>
          <w:i w:val="0"/>
          <w:iCs w:val="0"/>
          <w:color w:val="auto"/>
          <w:sz w:val="22"/>
          <w:szCs w:val="22"/>
        </w:rPr>
        <w:t>. We estimated years lived with disability (YLDs) using a disability weight of 0.133 (95% UI: 0.09 - 0.19) for severe acute chikungunya and 0.31 (95% UI: 0.11 - 0.57) for chronic chikungunya</w:t>
      </w:r>
      <w:r>
        <w:rPr>
          <w:rStyle w:val="IntenseEmphasis"/>
          <w:rFonts w:ascii="Calibri" w:eastAsia="Malgun Gothic" w:hAnsi="Calibri" w:cs="Calibri" w:hint="eastAsia"/>
          <w:i w:val="0"/>
          <w:iCs w:val="0"/>
          <w:color w:val="auto"/>
          <w:sz w:val="22"/>
          <w:szCs w:val="22"/>
          <w:lang w:eastAsia="ko-KR"/>
        </w:rPr>
        <w:t xml:space="preserve"> </w:t>
      </w:r>
      <w:hyperlink r:id="rId40" w:history="1">
        <w:r>
          <w:rPr>
            <w:rFonts w:ascii="Calibri" w:eastAsia="Times New Roman" w:hAnsi="Calibri" w:cs="Calibri"/>
            <w:sz w:val="22"/>
            <w:vertAlign w:val="superscript"/>
          </w:rPr>
          <w:t>29</w:t>
        </w:r>
      </w:hyperlink>
      <w:r w:rsidRPr="00FD203E">
        <w:rPr>
          <w:rStyle w:val="IntenseEmphasis"/>
          <w:rFonts w:ascii="Calibri" w:eastAsia="Malgun Gothic" w:hAnsi="Calibri" w:cs="Calibri"/>
          <w:i w:val="0"/>
          <w:iCs w:val="0"/>
          <w:color w:val="auto"/>
          <w:sz w:val="22"/>
          <w:szCs w:val="22"/>
        </w:rPr>
        <w:t xml:space="preserve">. Duration of illnesses was applied separately for each disease phase (acute hospitalised, sub-acute, chronic) </w:t>
      </w:r>
      <w:hyperlink r:id="rId41" w:history="1">
        <w:r>
          <w:rPr>
            <w:rFonts w:ascii="Calibri" w:eastAsia="Times New Roman" w:hAnsi="Calibri" w:cs="Calibri"/>
            <w:sz w:val="22"/>
            <w:vertAlign w:val="superscript"/>
          </w:rPr>
          <w:t>3,30</w:t>
        </w:r>
      </w:hyperlink>
      <w:r w:rsidRPr="00FD203E">
        <w:rPr>
          <w:rStyle w:val="IntenseEmphasis"/>
          <w:rFonts w:ascii="Calibri" w:eastAsia="Malgun Gothic" w:hAnsi="Calibri" w:cs="Calibri"/>
          <w:i w:val="0"/>
          <w:iCs w:val="0"/>
          <w:color w:val="auto"/>
          <w:sz w:val="22"/>
          <w:szCs w:val="22"/>
        </w:rPr>
        <w:t>. Years of life lost (YLLs) were estimated as the remaining life years at the age of death, based on life expectancy for Brazil in 2023 predicted from UN World Population Prospects</w:t>
      </w:r>
      <w:r>
        <w:rPr>
          <w:rStyle w:val="IntenseEmphasis"/>
          <w:rFonts w:ascii="Calibri" w:eastAsia="Malgun Gothic" w:hAnsi="Calibri" w:cs="Calibri" w:hint="eastAsia"/>
          <w:i w:val="0"/>
          <w:iCs w:val="0"/>
          <w:color w:val="auto"/>
          <w:sz w:val="22"/>
          <w:szCs w:val="22"/>
          <w:lang w:eastAsia="ko-KR"/>
        </w:rPr>
        <w:t xml:space="preserve"> </w:t>
      </w:r>
      <w:r w:rsidR="000D2411" w:rsidRPr="000D2411">
        <w:rPr>
          <w:rStyle w:val="IntenseEmphasis"/>
          <w:rFonts w:ascii="Calibri" w:eastAsia="Malgun Gothic" w:hAnsi="Calibri" w:cs="Calibri"/>
          <w:i w:val="0"/>
          <w:iCs w:val="0"/>
          <w:color w:val="auto"/>
          <w:sz w:val="22"/>
          <w:szCs w:val="22"/>
        </w:rPr>
        <w:t>(</w:t>
      </w:r>
      <w:r w:rsidR="000D2411" w:rsidRPr="000D2411">
        <w:rPr>
          <w:rStyle w:val="IntenseEmphasis"/>
          <w:rFonts w:ascii="Calibri" w:eastAsia="Malgun Gothic" w:hAnsi="Calibri" w:cs="Calibri" w:hint="eastAsia"/>
          <w:i w:val="0"/>
          <w:iCs w:val="0"/>
          <w:color w:val="auto"/>
          <w:sz w:val="22"/>
          <w:szCs w:val="22"/>
          <w:lang w:eastAsia="ko-KR"/>
        </w:rPr>
        <w:t>Supplementary Data 1</w:t>
      </w:r>
      <w:r w:rsidR="000D2411" w:rsidRPr="00FD203E">
        <w:rPr>
          <w:rStyle w:val="IntenseEmphasis"/>
          <w:rFonts w:ascii="Calibri" w:eastAsia="Malgun Gothic" w:hAnsi="Calibri" w:cs="Calibri"/>
          <w:i w:val="0"/>
          <w:iCs w:val="0"/>
          <w:color w:val="auto"/>
          <w:sz w:val="22"/>
          <w:szCs w:val="22"/>
        </w:rPr>
        <w:t>)</w:t>
      </w:r>
      <w:hyperlink r:id="rId42" w:history="1">
        <w:r>
          <w:rPr>
            <w:rFonts w:ascii="Calibri" w:eastAsia="Times New Roman" w:hAnsi="Calibri" w:cs="Calibri"/>
            <w:sz w:val="22"/>
            <w:vertAlign w:val="superscript"/>
          </w:rPr>
          <w:t>31</w:t>
        </w:r>
      </w:hyperlink>
      <w:r w:rsidR="000D2411">
        <w:rPr>
          <w:rStyle w:val="IntenseEmphasis"/>
          <w:rFonts w:ascii="Calibri" w:eastAsia="Malgun Gothic" w:hAnsi="Calibri" w:cs="Calibri" w:hint="eastAsia"/>
          <w:i w:val="0"/>
          <w:iCs w:val="0"/>
          <w:color w:val="auto"/>
          <w:sz w:val="22"/>
          <w:szCs w:val="22"/>
          <w:lang w:eastAsia="ko-KR"/>
        </w:rPr>
        <w:t>.</w:t>
      </w:r>
    </w:p>
    <w:p w14:paraId="69C5CFCC" w14:textId="77777777" w:rsidR="00AE3D7F" w:rsidRPr="001B2CBB" w:rsidRDefault="00AE3D7F" w:rsidP="001B2CBB">
      <w:pPr>
        <w:spacing w:line="276" w:lineRule="auto"/>
        <w:rPr>
          <w:rFonts w:ascii="Calibri" w:eastAsia="Malgun Gothic" w:hAnsi="Calibri" w:cs="Calibri"/>
          <w:sz w:val="22"/>
          <w:szCs w:val="22"/>
          <w:lang w:eastAsia="ko-KR"/>
        </w:rPr>
      </w:pPr>
      <w:r w:rsidRPr="001B2CBB">
        <w:rPr>
          <w:rFonts w:ascii="Calibri" w:eastAsia="Malgun Gothic" w:hAnsi="Calibri" w:cs="Calibri"/>
          <w:sz w:val="22"/>
          <w:szCs w:val="22"/>
        </w:rPr>
        <w:t xml:space="preserve">We estimated the benefits and risks of vaccination per 10,000 vaccinated individuals for </w:t>
      </w:r>
      <w:r>
        <w:rPr>
          <w:rFonts w:ascii="Calibri" w:eastAsia="Malgun Gothic" w:hAnsi="Calibri" w:cs="Calibri" w:hint="eastAsia"/>
          <w:sz w:val="22"/>
          <w:szCs w:val="22"/>
          <w:lang w:eastAsia="ko-KR"/>
        </w:rPr>
        <w:t>SAEs,</w:t>
      </w:r>
      <w:r w:rsidRPr="001B2CBB">
        <w:rPr>
          <w:rFonts w:ascii="Calibri" w:eastAsia="Malgun Gothic" w:hAnsi="Calibri" w:cs="Calibri"/>
          <w:sz w:val="22"/>
          <w:szCs w:val="22"/>
        </w:rPr>
        <w:t xml:space="preserve"> deaths, and disability-adjusted life years (DALYs). Chikungunya-attributable SAEs were defined as hospitalisations </w:t>
      </w:r>
      <w:r>
        <w:rPr>
          <w:rFonts w:ascii="Calibri" w:eastAsia="Malgun Gothic" w:hAnsi="Calibri" w:cs="Calibri" w:hint="eastAsia"/>
          <w:sz w:val="22"/>
          <w:szCs w:val="22"/>
          <w:lang w:eastAsia="ko-KR"/>
        </w:rPr>
        <w:t>or</w:t>
      </w:r>
      <w:r w:rsidRPr="001B2CBB">
        <w:rPr>
          <w:rFonts w:ascii="Calibri" w:eastAsia="Malgun Gothic" w:hAnsi="Calibri" w:cs="Calibri"/>
          <w:sz w:val="22"/>
          <w:szCs w:val="22"/>
        </w:rPr>
        <w:t xml:space="preserve"> deaths</w:t>
      </w:r>
      <w:r>
        <w:rPr>
          <w:rFonts w:ascii="Calibri" w:eastAsia="Malgun Gothic" w:hAnsi="Calibri" w:cs="Calibri" w:hint="eastAsia"/>
          <w:sz w:val="22"/>
          <w:szCs w:val="22"/>
          <w:lang w:eastAsia="ko-KR"/>
        </w:rPr>
        <w:t xml:space="preserve"> following natural infection</w:t>
      </w:r>
      <w:r w:rsidRPr="001B2CBB">
        <w:rPr>
          <w:rFonts w:ascii="Calibri" w:eastAsia="Malgun Gothic" w:hAnsi="Calibri" w:cs="Calibri"/>
          <w:sz w:val="22"/>
          <w:szCs w:val="22"/>
        </w:rPr>
        <w:t>. Vaccine-a</w:t>
      </w:r>
      <w:r>
        <w:rPr>
          <w:rFonts w:ascii="Calibri" w:eastAsia="Malgun Gothic" w:hAnsi="Calibri" w:cs="Calibri" w:hint="eastAsia"/>
          <w:sz w:val="22"/>
          <w:szCs w:val="22"/>
          <w:lang w:eastAsia="ko-KR"/>
        </w:rPr>
        <w:t>ssociated</w:t>
      </w:r>
      <w:r w:rsidRPr="001B2CBB">
        <w:rPr>
          <w:rFonts w:ascii="Calibri" w:eastAsia="Malgun Gothic" w:hAnsi="Calibri" w:cs="Calibri"/>
          <w:sz w:val="22"/>
          <w:szCs w:val="22"/>
        </w:rPr>
        <w:t xml:space="preserve"> SAEs comprised non-fatal </w:t>
      </w:r>
      <w:r>
        <w:rPr>
          <w:rFonts w:ascii="Calibri" w:eastAsia="Malgun Gothic" w:hAnsi="Calibri" w:cs="Calibri" w:hint="eastAsia"/>
          <w:sz w:val="22"/>
          <w:szCs w:val="22"/>
          <w:lang w:eastAsia="ko-KR"/>
        </w:rPr>
        <w:t>serious chikungunya-like events</w:t>
      </w:r>
      <w:r w:rsidRPr="001B2CBB">
        <w:rPr>
          <w:rFonts w:ascii="Calibri" w:eastAsia="Malgun Gothic" w:hAnsi="Calibri" w:cs="Calibri"/>
          <w:sz w:val="22"/>
          <w:szCs w:val="22"/>
        </w:rPr>
        <w:t xml:space="preserve"> </w:t>
      </w:r>
      <w:r>
        <w:rPr>
          <w:rFonts w:ascii="Calibri" w:eastAsia="Malgun Gothic" w:hAnsi="Calibri" w:cs="Calibri" w:hint="eastAsia"/>
          <w:sz w:val="22"/>
          <w:szCs w:val="22"/>
          <w:lang w:eastAsia="ko-KR"/>
        </w:rPr>
        <w:t xml:space="preserve">and the fatal vaccine-strain encephalitis. </w:t>
      </w:r>
    </w:p>
    <w:p w14:paraId="64C1C5C2" w14:textId="77777777" w:rsidR="00AE3D7F" w:rsidRPr="00396148" w:rsidRDefault="00AE3D7F" w:rsidP="00AC5C2F">
      <w:pPr>
        <w:spacing w:line="276" w:lineRule="auto"/>
        <w:rPr>
          <w:rFonts w:ascii="Calibri" w:eastAsia="Malgun Gothic" w:hAnsi="Calibri" w:cs="Calibri"/>
          <w:sz w:val="22"/>
          <w:szCs w:val="22"/>
        </w:rPr>
      </w:pPr>
      <w:r w:rsidRPr="001B2CBB">
        <w:rPr>
          <w:rFonts w:ascii="Calibri" w:eastAsia="Malgun Gothic" w:hAnsi="Calibri" w:cs="Calibri"/>
          <w:sz w:val="22"/>
          <w:szCs w:val="22"/>
        </w:rPr>
        <w:t>For each outcome, benefit was defined as the number of chikungunya-attributable events or DALYs averted by vaccination relative to no vaccination, and risk as the corresponding vaccine-</w:t>
      </w:r>
      <w:r>
        <w:rPr>
          <w:rFonts w:ascii="Calibri" w:eastAsia="Malgun Gothic" w:hAnsi="Calibri" w:cs="Calibri" w:hint="eastAsia"/>
          <w:sz w:val="22"/>
          <w:szCs w:val="22"/>
          <w:lang w:eastAsia="ko-KR"/>
        </w:rPr>
        <w:t>associated</w:t>
      </w:r>
      <w:r w:rsidRPr="001B2CBB">
        <w:rPr>
          <w:rFonts w:ascii="Calibri" w:eastAsia="Malgun Gothic" w:hAnsi="Calibri" w:cs="Calibri"/>
          <w:sz w:val="22"/>
          <w:szCs w:val="22"/>
        </w:rPr>
        <w:t xml:space="preserve"> events or DALYs. Outcome</w:t>
      </w:r>
      <w:r>
        <w:rPr>
          <w:rFonts w:ascii="Calibri" w:eastAsia="Malgun Gothic" w:hAnsi="Calibri" w:cs="Calibri" w:hint="eastAsia"/>
          <w:sz w:val="22"/>
          <w:szCs w:val="22"/>
          <w:lang w:eastAsia="ko-KR"/>
        </w:rPr>
        <w:t xml:space="preserve"> </w:t>
      </w:r>
      <w:r w:rsidRPr="001B2CBB">
        <w:rPr>
          <w:rFonts w:ascii="Calibri" w:eastAsia="Malgun Gothic" w:hAnsi="Calibri" w:cs="Calibri"/>
          <w:sz w:val="22"/>
          <w:szCs w:val="22"/>
        </w:rPr>
        <w:t>specific benefit</w:t>
      </w:r>
      <w:r>
        <w:rPr>
          <w:rFonts w:ascii="Calibri" w:eastAsia="Malgun Gothic" w:hAnsi="Calibri" w:cs="Calibri" w:hint="eastAsia"/>
          <w:sz w:val="22"/>
          <w:szCs w:val="22"/>
          <w:lang w:eastAsia="ko-KR"/>
        </w:rPr>
        <w:t>-</w:t>
      </w:r>
      <w:r w:rsidRPr="001B2CBB">
        <w:rPr>
          <w:rFonts w:ascii="Calibri" w:eastAsia="Malgun Gothic" w:hAnsi="Calibri" w:cs="Calibri"/>
          <w:sz w:val="22"/>
          <w:szCs w:val="22"/>
        </w:rPr>
        <w:t>risk ratios were calculated as:</w:t>
      </w:r>
    </w:p>
    <w:tbl>
      <w:tblPr>
        <w:tblStyle w:val="TableGrid"/>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AE3D7F" w:rsidRPr="00396148" w14:paraId="24D67775" w14:textId="77777777" w:rsidTr="00FE3EAE">
        <w:trPr>
          <w:trHeight w:val="918"/>
        </w:trPr>
        <w:tc>
          <w:tcPr>
            <w:tcW w:w="8043" w:type="dxa"/>
          </w:tcPr>
          <w:p w14:paraId="78CC9EF5" w14:textId="77777777" w:rsidR="00AE3D7F" w:rsidRPr="00396148" w:rsidRDefault="00AE3D7F" w:rsidP="00581AF2">
            <w:pPr>
              <w:spacing w:line="276" w:lineRule="auto"/>
              <w:jc w:val="center"/>
              <w:rPr>
                <w:rFonts w:ascii="Calibri" w:hAnsi="Calibri" w:cs="Calibri"/>
              </w:rPr>
            </w:pPr>
            <m:oMathPara>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eastAsia="Malgun Gothic" w:hAnsi="Cambria Math" w:cs="Calibri"/>
                            <w:i/>
                          </w:rPr>
                        </m:ctrlPr>
                      </m:sSubPr>
                      <m:e>
                        <m:r>
                          <w:rPr>
                            <w:rFonts w:ascii="Cambria Math" w:hAnsi="Cambria Math" w:cs="Calibri"/>
                          </w:rPr>
                          <m:t>R</m:t>
                        </m:r>
                        <m:ctrlPr>
                          <w:rPr>
                            <w:rFonts w:ascii="Cambria Math" w:hAnsi="Cambria Math" w:cs="Calibri"/>
                            <w:i/>
                          </w:rPr>
                        </m:ctrlPr>
                      </m:e>
                      <m:sub>
                        <m:r>
                          <w:rPr>
                            <w:rFonts w:ascii="Cambria Math" w:eastAsia="Malgun Gothic" w:hAnsi="Cambria Math" w:cs="Calibri"/>
                          </w:rPr>
                          <m:t>vacc</m:t>
                        </m:r>
                      </m:sub>
                    </m:sSub>
                  </m:den>
                </m:f>
                <m:r>
                  <w:rPr>
                    <w:rFonts w:ascii="Cambria Math" w:hAnsi="Cambria Math" w:cs="Calibri"/>
                  </w:rPr>
                  <m:t xml:space="preserve"> </m:t>
                </m:r>
              </m:oMath>
            </m:oMathPara>
          </w:p>
        </w:tc>
        <w:tc>
          <w:tcPr>
            <w:tcW w:w="1379" w:type="dxa"/>
            <w:vAlign w:val="center"/>
          </w:tcPr>
          <w:p w14:paraId="5CFB0407" w14:textId="77777777" w:rsidR="00AE3D7F" w:rsidRPr="00396148" w:rsidRDefault="00AE3D7F" w:rsidP="00AC5C2F">
            <w:pPr>
              <w:spacing w:line="276" w:lineRule="auto"/>
              <w:jc w:val="center"/>
              <w:rPr>
                <w:rFonts w:ascii="Calibri" w:hAnsi="Calibri" w:cs="Calibri"/>
              </w:rPr>
            </w:pPr>
            <m:oMathPara>
              <m:oMath>
                <m:r>
                  <w:rPr>
                    <w:rFonts w:ascii="Cambria Math" w:hAnsi="Cambria Math" w:cs="Calibri"/>
                  </w:rPr>
                  <m:t>Eq. 1</m:t>
                </m:r>
              </m:oMath>
            </m:oMathPara>
          </w:p>
        </w:tc>
      </w:tr>
      <w:tr w:rsidR="00AE3D7F" w:rsidRPr="00396148" w14:paraId="7EB25B65" w14:textId="77777777" w:rsidTr="00FE3EAE">
        <w:trPr>
          <w:trHeight w:val="323"/>
        </w:trPr>
        <w:tc>
          <w:tcPr>
            <w:tcW w:w="9422" w:type="dxa"/>
            <w:gridSpan w:val="2"/>
          </w:tcPr>
          <w:p w14:paraId="52B18118" w14:textId="77777777" w:rsidR="00AE3D7F" w:rsidRPr="00396148" w:rsidRDefault="0006779E" w:rsidP="00AC5C2F">
            <w:pPr>
              <w:spacing w:line="276"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AE3D7F" w:rsidRPr="00396148">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AE3D7F" w:rsidRPr="00396148">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AE3D7F" w:rsidRPr="00396148">
              <w:rPr>
                <w:rFonts w:ascii="Calibri" w:hAnsi="Calibri" w:cs="Calibri"/>
                <w:sz w:val="20"/>
                <w:szCs w:val="20"/>
              </w:rPr>
              <w:t xml:space="preserve">= adverse events (SAEs/deaths/DALYs) </w:t>
            </w:r>
            <w:r w:rsidR="00AE3D7F" w:rsidRPr="00F8214B">
              <w:rPr>
                <w:rFonts w:ascii="Calibri" w:hAnsi="Calibri" w:cs="Calibri"/>
                <w:sz w:val="20"/>
                <w:szCs w:val="20"/>
              </w:rPr>
              <w:t xml:space="preserve">associated </w:t>
            </w:r>
            <w:r w:rsidR="00AE3D7F">
              <w:rPr>
                <w:rFonts w:ascii="Calibri" w:eastAsia="Malgun Gothic" w:hAnsi="Calibri" w:cs="Calibri" w:hint="eastAsia"/>
                <w:sz w:val="20"/>
                <w:szCs w:val="20"/>
              </w:rPr>
              <w:t>with</w:t>
            </w:r>
            <w:r w:rsidR="00AE3D7F" w:rsidRPr="00396148">
              <w:rPr>
                <w:rFonts w:ascii="Calibri" w:hAnsi="Calibri" w:cs="Calibri"/>
                <w:sz w:val="20"/>
                <w:szCs w:val="20"/>
              </w:rPr>
              <w:t xml:space="preserve"> vaccination.</w:t>
            </w:r>
          </w:p>
        </w:tc>
      </w:tr>
    </w:tbl>
    <w:p w14:paraId="1B691E31" w14:textId="77777777" w:rsidR="00AE3D7F" w:rsidRPr="00396148" w:rsidRDefault="00AE3D7F" w:rsidP="00AC5C2F">
      <w:pPr>
        <w:spacing w:line="276" w:lineRule="auto"/>
        <w:rPr>
          <w:rStyle w:val="IntenseEmphasis"/>
          <w:rFonts w:ascii="Calibri" w:eastAsia="Malgun Gothic" w:hAnsi="Calibri" w:cs="Calibri"/>
          <w:i w:val="0"/>
          <w:iCs w:val="0"/>
          <w:lang w:eastAsia="ko-KR"/>
        </w:rPr>
      </w:pPr>
    </w:p>
    <w:p w14:paraId="2AB7F1E1" w14:textId="77777777" w:rsidR="00AE3D7F" w:rsidRPr="00396148" w:rsidRDefault="00AE3D7F" w:rsidP="00AC5C2F">
      <w:pPr>
        <w:spacing w:line="276" w:lineRule="auto"/>
        <w:rPr>
          <w:rStyle w:val="IntenseEmphasis"/>
          <w:rFonts w:ascii="Calibri" w:hAnsi="Calibri" w:cs="Calibri"/>
          <w:i w:val="0"/>
          <w:iCs w:val="0"/>
          <w:lang w:eastAsia="ko-KR"/>
        </w:rPr>
      </w:pPr>
      <w:r w:rsidRPr="00396148">
        <w:rPr>
          <w:rStyle w:val="IntenseEmphasis"/>
          <w:rFonts w:ascii="Calibri" w:eastAsia="Malgun Gothic" w:hAnsi="Calibri" w:cs="Calibri"/>
          <w:i w:val="0"/>
          <w:iCs w:val="0"/>
          <w:lang w:eastAsia="ko-KR"/>
        </w:rPr>
        <w:lastRenderedPageBreak/>
        <w:t>C</w:t>
      </w:r>
      <w:r w:rsidRPr="00396148">
        <w:rPr>
          <w:rStyle w:val="IntenseEmphasis"/>
          <w:rFonts w:ascii="Calibri" w:hAnsi="Calibri" w:cs="Calibri"/>
          <w:i w:val="0"/>
          <w:iCs w:val="0"/>
          <w:lang w:eastAsia="ko-KR"/>
        </w:rPr>
        <w:t>ode availability</w:t>
      </w:r>
    </w:p>
    <w:p w14:paraId="6DC7016D" w14:textId="77777777" w:rsidR="00AE3D7F" w:rsidRPr="00B77161" w:rsidRDefault="00AE3D7F" w:rsidP="00DE4B89">
      <w:pPr>
        <w:spacing w:line="360" w:lineRule="auto"/>
        <w:rPr>
          <w:rFonts w:eastAsia="Malgun Gothic" w:hint="eastAsia"/>
          <w:lang w:eastAsia="ko-KR"/>
        </w:rPr>
      </w:pPr>
      <w:r w:rsidRPr="009E55C4">
        <w:rPr>
          <w:rFonts w:ascii="Calibri" w:eastAsia="Malgun Gothic" w:hAnsi="Calibri" w:cs="Calibri"/>
          <w:sz w:val="22"/>
          <w:szCs w:val="22"/>
        </w:rPr>
        <w:t>All analyses were conducted using R.4.3.3, and the software code and</w:t>
      </w:r>
      <w:r w:rsidRPr="009E55C4">
        <w:rPr>
          <w:rStyle w:val="IntenseEmphasis"/>
          <w:rFonts w:ascii="Calibri" w:hAnsi="Calibri" w:cs="Calibri"/>
          <w:i w:val="0"/>
          <w:iCs w:val="0"/>
          <w:color w:val="auto"/>
          <w:sz w:val="22"/>
          <w:szCs w:val="22"/>
        </w:rPr>
        <w:t xml:space="preserve"> data supporting our findings are available in the public, open access repository</w:t>
      </w:r>
      <w:r>
        <w:rPr>
          <w:rStyle w:val="IntenseEmphasis"/>
          <w:rFonts w:ascii="Calibri" w:eastAsia="Malgun Gothic" w:hAnsi="Calibri" w:cs="Calibri" w:hint="eastAsia"/>
          <w:i w:val="0"/>
          <w:color w:val="auto"/>
          <w:sz w:val="22"/>
          <w:szCs w:val="22"/>
          <w:lang w:eastAsia="ko-KR"/>
        </w:rPr>
        <w:t>: (</w:t>
      </w:r>
      <w:hyperlink r:id="rId43" w:history="1">
        <w:r w:rsidRPr="00E53ACF">
          <w:rPr>
            <w:rStyle w:val="Hyperlink"/>
            <w:rFonts w:ascii="Calibri" w:hAnsi="Calibri" w:cs="Calibri"/>
            <w:sz w:val="22"/>
            <w:szCs w:val="22"/>
          </w:rPr>
          <w:t>https://github.com/hyolimkang/CHIK_benefit_risk</w:t>
        </w:r>
      </w:hyperlink>
      <w:r>
        <w:rPr>
          <w:rStyle w:val="IntenseEmphasis"/>
          <w:rFonts w:ascii="Calibri" w:eastAsia="Malgun Gothic" w:hAnsi="Calibri" w:cs="Calibri" w:hint="eastAsia"/>
          <w:i w:val="0"/>
          <w:iCs w:val="0"/>
          <w:color w:val="auto"/>
          <w:sz w:val="22"/>
          <w:szCs w:val="22"/>
          <w:lang w:eastAsia="ko-KR"/>
        </w:rPr>
        <w:t>)</w:t>
      </w:r>
    </w:p>
    <w:p w14:paraId="068EB7C0" w14:textId="77777777" w:rsidR="00AE3D7F" w:rsidRDefault="00AE3D7F" w:rsidP="00DE4B89">
      <w:pPr>
        <w:spacing w:line="360" w:lineRule="auto"/>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6DCCDDEB" w14:textId="40AC2326" w:rsidR="00AE3D7F" w:rsidRPr="00AE3D7F" w:rsidRDefault="00AE3D7F" w:rsidP="00AE3D7F">
      <w:pPr>
        <w:spacing w:line="276" w:lineRule="auto"/>
        <w:rPr>
          <w:rFonts w:ascii="Calibri" w:eastAsia="Malgun Gothic" w:hAnsi="Calibri" w:cs="Calibri"/>
          <w:color w:val="0F4761" w:themeColor="accent1" w:themeShade="BF"/>
          <w:lang w:eastAsia="ko-KR"/>
        </w:rPr>
      </w:pPr>
      <w:r>
        <w:rPr>
          <w:rStyle w:val="IntenseEmphasis"/>
          <w:rFonts w:ascii="Calibri" w:eastAsia="Malgun Gothic" w:hAnsi="Calibri" w:cs="Calibri" w:hint="eastAsia"/>
          <w:i w:val="0"/>
          <w:iCs w:val="0"/>
          <w:lang w:eastAsia="ko-KR"/>
        </w:rPr>
        <w:lastRenderedPageBreak/>
        <w:t>References</w:t>
      </w:r>
    </w:p>
    <w:p w14:paraId="676A60CD"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4" w:history="1">
        <w:r w:rsidRPr="00AE3D7F">
          <w:rPr>
            <w:rStyle w:val="csl-left-margin"/>
            <w:rFonts w:ascii="Calibri" w:hAnsi="Calibri" w:cs="Calibri"/>
            <w:color w:val="000000"/>
            <w:sz w:val="22"/>
            <w:szCs w:val="22"/>
          </w:rPr>
          <w:t>1. 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proofErr w:type="spellStart"/>
        <w:r w:rsidRPr="00AE3D7F">
          <w:rPr>
            <w:rStyle w:val="csl-right-inline"/>
            <w:rFonts w:ascii="Calibri" w:hAnsi="Calibri" w:cs="Calibri"/>
            <w:color w:val="000000"/>
            <w:sz w:val="22"/>
            <w:szCs w:val="22"/>
          </w:rPr>
          <w:t>Bartholomeeusen</w:t>
        </w:r>
        <w:proofErr w:type="spellEnd"/>
        <w:r w:rsidRPr="00AE3D7F">
          <w:rPr>
            <w:rStyle w:val="csl-right-inline"/>
            <w:rFonts w:ascii="Calibri" w:hAnsi="Calibri" w:cs="Calibri"/>
            <w:color w:val="000000"/>
            <w:sz w:val="22"/>
            <w:szCs w:val="22"/>
          </w:rPr>
          <w:t xml:space="preserve">, K.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Chikungunya fever. </w:t>
        </w:r>
        <w:r w:rsidRPr="00AE3D7F">
          <w:rPr>
            <w:rStyle w:val="csl-right-inline"/>
            <w:rFonts w:ascii="Calibri" w:hAnsi="Calibri" w:cs="Calibri"/>
            <w:i/>
            <w:iCs/>
            <w:color w:val="000000"/>
            <w:sz w:val="22"/>
            <w:szCs w:val="22"/>
          </w:rPr>
          <w:t>Nat. Rev. Dis. Primers</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9</w:t>
        </w:r>
        <w:r w:rsidRPr="00AE3D7F">
          <w:rPr>
            <w:rStyle w:val="csl-right-inline"/>
            <w:rFonts w:ascii="Calibri" w:hAnsi="Calibri" w:cs="Calibri"/>
            <w:color w:val="000000"/>
            <w:sz w:val="22"/>
            <w:szCs w:val="22"/>
          </w:rPr>
          <w:t>, 17 (2023).</w:t>
        </w:r>
      </w:hyperlink>
    </w:p>
    <w:p w14:paraId="77108FFB"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5" w:history="1">
        <w:r w:rsidRPr="00AE3D7F">
          <w:rPr>
            <w:rStyle w:val="csl-left-margin"/>
            <w:rFonts w:ascii="Calibri" w:hAnsi="Calibri" w:cs="Calibri"/>
            <w:color w:val="000000"/>
            <w:sz w:val="22"/>
            <w:szCs w:val="22"/>
          </w:rPr>
          <w:t>2. 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Paixão, E. S.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Chikungunya chronic disease: a systematic review and meta-analysis. </w:t>
        </w:r>
        <w:r w:rsidRPr="00AE3D7F">
          <w:rPr>
            <w:rStyle w:val="csl-right-inline"/>
            <w:rFonts w:ascii="Calibri" w:hAnsi="Calibri" w:cs="Calibri"/>
            <w:i/>
            <w:iCs/>
            <w:color w:val="000000"/>
            <w:sz w:val="22"/>
            <w:szCs w:val="22"/>
          </w:rPr>
          <w:t xml:space="preserve">Trans. R. Soc. Trop. Med. </w:t>
        </w:r>
        <w:proofErr w:type="spellStart"/>
        <w:r w:rsidRPr="00AE3D7F">
          <w:rPr>
            <w:rStyle w:val="csl-right-inline"/>
            <w:rFonts w:ascii="Calibri" w:hAnsi="Calibri" w:cs="Calibri"/>
            <w:i/>
            <w:iCs/>
            <w:color w:val="000000"/>
            <w:sz w:val="22"/>
            <w:szCs w:val="22"/>
          </w:rPr>
          <w:t>Hyg</w:t>
        </w:r>
        <w:proofErr w:type="spellEnd"/>
        <w:r w:rsidRPr="00AE3D7F">
          <w:rPr>
            <w:rStyle w:val="csl-right-inline"/>
            <w:rFonts w:ascii="Calibri" w:hAnsi="Calibri" w:cs="Calibri"/>
            <w:i/>
            <w:iCs/>
            <w:color w:val="000000"/>
            <w:sz w:val="22"/>
            <w:szCs w:val="22"/>
          </w:rPr>
          <w: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112</w:t>
        </w:r>
        <w:r w:rsidRPr="00AE3D7F">
          <w:rPr>
            <w:rStyle w:val="csl-right-inline"/>
            <w:rFonts w:ascii="Calibri" w:hAnsi="Calibri" w:cs="Calibri"/>
            <w:color w:val="000000"/>
            <w:sz w:val="22"/>
            <w:szCs w:val="22"/>
          </w:rPr>
          <w:t>, 301–316 (2018).</w:t>
        </w:r>
      </w:hyperlink>
    </w:p>
    <w:p w14:paraId="51708585"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6" w:history="1">
        <w:r w:rsidRPr="00AE3D7F">
          <w:rPr>
            <w:rStyle w:val="csl-left-margin"/>
            <w:rFonts w:ascii="Calibri" w:hAnsi="Calibri" w:cs="Calibri"/>
            <w:color w:val="000000"/>
            <w:sz w:val="22"/>
            <w:szCs w:val="22"/>
          </w:rPr>
          <w:t>3. 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O’Driscoll, M., Salje, H., Chang, A. Y. &amp; Watson, H. Arthralgia resolution rate following chikungunya virus infection. </w:t>
        </w:r>
        <w:r w:rsidRPr="00AE3D7F">
          <w:rPr>
            <w:rStyle w:val="csl-right-inline"/>
            <w:rFonts w:ascii="Calibri" w:hAnsi="Calibri" w:cs="Calibri"/>
            <w:i/>
            <w:iCs/>
            <w:color w:val="000000"/>
            <w:sz w:val="22"/>
            <w:szCs w:val="22"/>
          </w:rPr>
          <w:t>Int. J. Infect. Dis.</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112</w:t>
        </w:r>
        <w:r w:rsidRPr="00AE3D7F">
          <w:rPr>
            <w:rStyle w:val="csl-right-inline"/>
            <w:rFonts w:ascii="Calibri" w:hAnsi="Calibri" w:cs="Calibri"/>
            <w:color w:val="000000"/>
            <w:sz w:val="22"/>
            <w:szCs w:val="22"/>
          </w:rPr>
          <w:t>, 1–7 (2021).</w:t>
        </w:r>
      </w:hyperlink>
    </w:p>
    <w:p w14:paraId="64BF2A89"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7" w:history="1">
        <w:r w:rsidRPr="00AE3D7F">
          <w:rPr>
            <w:rStyle w:val="csl-left-margin"/>
            <w:rFonts w:ascii="Calibri" w:hAnsi="Calibri" w:cs="Calibri"/>
            <w:color w:val="000000"/>
            <w:sz w:val="22"/>
            <w:szCs w:val="22"/>
          </w:rPr>
          <w:t>4. 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Kang, H.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Chikungunya seroprevalence, force of infection, and prevalence of chronic disability after infection in endemic and epidemic settings: a systematic review, meta-analysis, and modelling study. </w:t>
        </w:r>
        <w:r w:rsidRPr="00AE3D7F">
          <w:rPr>
            <w:rStyle w:val="csl-right-inline"/>
            <w:rFonts w:ascii="Calibri" w:hAnsi="Calibri" w:cs="Calibri"/>
            <w:i/>
            <w:iCs/>
            <w:color w:val="000000"/>
            <w:sz w:val="22"/>
            <w:szCs w:val="22"/>
          </w:rPr>
          <w:t>Lancet Infect. Dis.</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24</w:t>
        </w:r>
        <w:r w:rsidRPr="00AE3D7F">
          <w:rPr>
            <w:rStyle w:val="csl-right-inline"/>
            <w:rFonts w:ascii="Calibri" w:hAnsi="Calibri" w:cs="Calibri"/>
            <w:color w:val="000000"/>
            <w:sz w:val="22"/>
            <w:szCs w:val="22"/>
          </w:rPr>
          <w:t>, 488–503 (2024).</w:t>
        </w:r>
      </w:hyperlink>
    </w:p>
    <w:p w14:paraId="14CFC734"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8" w:history="1">
        <w:r w:rsidRPr="00AE3D7F">
          <w:rPr>
            <w:rStyle w:val="csl-left-margin"/>
            <w:rFonts w:ascii="Calibri" w:hAnsi="Calibri" w:cs="Calibri"/>
            <w:color w:val="000000"/>
            <w:sz w:val="22"/>
            <w:szCs w:val="22"/>
          </w:rPr>
          <w:t>5. 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proofErr w:type="spellStart"/>
        <w:r w:rsidRPr="00AE3D7F">
          <w:rPr>
            <w:rStyle w:val="csl-right-inline"/>
            <w:rFonts w:ascii="Calibri" w:hAnsi="Calibri" w:cs="Calibri"/>
            <w:color w:val="000000"/>
            <w:sz w:val="22"/>
            <w:szCs w:val="22"/>
          </w:rPr>
          <w:t>Nyamwaya</w:t>
        </w:r>
        <w:proofErr w:type="spellEnd"/>
        <w:r w:rsidRPr="00AE3D7F">
          <w:rPr>
            <w:rStyle w:val="csl-right-inline"/>
            <w:rFonts w:ascii="Calibri" w:hAnsi="Calibri" w:cs="Calibri"/>
            <w:color w:val="000000"/>
            <w:sz w:val="22"/>
            <w:szCs w:val="22"/>
          </w:rPr>
          <w:t xml:space="preserve">, D. K.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Incidence of chikungunya virus infections among Kenyan children with neurological disease, 2014-2018: A cohort study. </w:t>
        </w:r>
        <w:proofErr w:type="spellStart"/>
        <w:r w:rsidRPr="00AE3D7F">
          <w:rPr>
            <w:rStyle w:val="csl-right-inline"/>
            <w:rFonts w:ascii="Calibri" w:hAnsi="Calibri" w:cs="Calibri"/>
            <w:i/>
            <w:iCs/>
            <w:color w:val="000000"/>
            <w:sz w:val="22"/>
            <w:szCs w:val="22"/>
          </w:rPr>
          <w:t>PLoS</w:t>
        </w:r>
        <w:proofErr w:type="spellEnd"/>
        <w:r w:rsidRPr="00AE3D7F">
          <w:rPr>
            <w:rStyle w:val="csl-right-inline"/>
            <w:rFonts w:ascii="Calibri" w:hAnsi="Calibri" w:cs="Calibri"/>
            <w:i/>
            <w:iCs/>
            <w:color w:val="000000"/>
            <w:sz w:val="22"/>
            <w:szCs w:val="22"/>
          </w:rPr>
          <w:t xml:space="preserve"> Med.</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19</w:t>
        </w:r>
        <w:r w:rsidRPr="00AE3D7F">
          <w:rPr>
            <w:rStyle w:val="csl-right-inline"/>
            <w:rFonts w:ascii="Calibri" w:hAnsi="Calibri" w:cs="Calibri"/>
            <w:color w:val="000000"/>
            <w:sz w:val="22"/>
            <w:szCs w:val="22"/>
          </w:rPr>
          <w:t>, e1003994 (2022).</w:t>
        </w:r>
      </w:hyperlink>
    </w:p>
    <w:p w14:paraId="0219CBEB"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49" w:history="1">
        <w:r w:rsidRPr="00AE3D7F">
          <w:rPr>
            <w:rStyle w:val="csl-left-margin"/>
            <w:rFonts w:ascii="Calibri" w:hAnsi="Calibri" w:cs="Calibri"/>
            <w:color w:val="000000"/>
            <w:sz w:val="22"/>
            <w:szCs w:val="22"/>
          </w:rPr>
          <w:t>6. 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US FDA. November 9, 2023 Approval Letter - IXCHIQ. https://www.fda.gov/news-events/press-announcements/fda-approves-first-vaccine-prevent-disease-caused-chikungunya-virus (2023).</w:t>
        </w:r>
      </w:hyperlink>
    </w:p>
    <w:p w14:paraId="32B0A86D"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0" w:history="1">
        <w:r w:rsidRPr="00AE3D7F">
          <w:rPr>
            <w:rStyle w:val="csl-left-margin"/>
            <w:rFonts w:ascii="Calibri" w:hAnsi="Calibri" w:cs="Calibri"/>
            <w:color w:val="000000"/>
            <w:sz w:val="22"/>
            <w:szCs w:val="22"/>
          </w:rPr>
          <w:t>7. 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US FDA. VIMKUNYA. https://www.fda.gov/vaccines-blood-biologics/vimkunya (2025).</w:t>
        </w:r>
      </w:hyperlink>
    </w:p>
    <w:p w14:paraId="3E3A1DF7"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1" w:history="1">
        <w:r w:rsidRPr="00AE3D7F">
          <w:rPr>
            <w:rStyle w:val="csl-left-margin"/>
            <w:rFonts w:ascii="Calibri" w:hAnsi="Calibri" w:cs="Calibri"/>
            <w:color w:val="000000"/>
            <w:sz w:val="22"/>
            <w:szCs w:val="22"/>
          </w:rPr>
          <w:t>8. 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Salje, H.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Reconstruction of 60 years of chikungunya epidemiology in the </w:t>
        </w:r>
        <w:proofErr w:type="spellStart"/>
        <w:r w:rsidRPr="00AE3D7F">
          <w:rPr>
            <w:rStyle w:val="csl-right-inline"/>
            <w:rFonts w:ascii="Calibri" w:hAnsi="Calibri" w:cs="Calibri"/>
            <w:color w:val="000000"/>
            <w:sz w:val="22"/>
            <w:szCs w:val="22"/>
          </w:rPr>
          <w:t>philippines</w:t>
        </w:r>
        <w:proofErr w:type="spellEnd"/>
        <w:r w:rsidRPr="00AE3D7F">
          <w:rPr>
            <w:rStyle w:val="csl-right-inline"/>
            <w:rFonts w:ascii="Calibri" w:hAnsi="Calibri" w:cs="Calibri"/>
            <w:color w:val="000000"/>
            <w:sz w:val="22"/>
            <w:szCs w:val="22"/>
          </w:rPr>
          <w:t xml:space="preserve"> demonstrates episodic and focal transmission. </w:t>
        </w:r>
        <w:r w:rsidRPr="00AE3D7F">
          <w:rPr>
            <w:rStyle w:val="csl-right-inline"/>
            <w:rFonts w:ascii="Calibri" w:hAnsi="Calibri" w:cs="Calibri"/>
            <w:i/>
            <w:iCs/>
            <w:color w:val="000000"/>
            <w:sz w:val="22"/>
            <w:szCs w:val="22"/>
          </w:rPr>
          <w:t>J. Infect. Dis.</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213</w:t>
        </w:r>
        <w:r w:rsidRPr="00AE3D7F">
          <w:rPr>
            <w:rStyle w:val="csl-right-inline"/>
            <w:rFonts w:ascii="Calibri" w:hAnsi="Calibri" w:cs="Calibri"/>
            <w:color w:val="000000"/>
            <w:sz w:val="22"/>
            <w:szCs w:val="22"/>
          </w:rPr>
          <w:t>, 604–610 (2016).</w:t>
        </w:r>
      </w:hyperlink>
    </w:p>
    <w:p w14:paraId="569C5855"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2" w:history="1">
        <w:r w:rsidRPr="00AE3D7F">
          <w:rPr>
            <w:rStyle w:val="csl-left-margin"/>
            <w:rFonts w:ascii="Calibri" w:hAnsi="Calibri" w:cs="Calibri"/>
            <w:color w:val="000000"/>
            <w:sz w:val="22"/>
            <w:szCs w:val="22"/>
          </w:rPr>
          <w:t>9. 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Roques, P.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Effectiveness of CHIKV vaccine VLA1553 demonstrated by passive transfer of human sera. </w:t>
        </w:r>
        <w:r w:rsidRPr="00AE3D7F">
          <w:rPr>
            <w:rStyle w:val="csl-right-inline"/>
            <w:rFonts w:ascii="Calibri" w:hAnsi="Calibri" w:cs="Calibri"/>
            <w:i/>
            <w:iCs/>
            <w:color w:val="000000"/>
            <w:sz w:val="22"/>
            <w:szCs w:val="22"/>
          </w:rPr>
          <w:t>JCI Insight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7</w:t>
        </w:r>
        <w:r w:rsidRPr="00AE3D7F">
          <w:rPr>
            <w:rStyle w:val="csl-right-inline"/>
            <w:rFonts w:ascii="Calibri" w:hAnsi="Calibri" w:cs="Calibri"/>
            <w:color w:val="000000"/>
            <w:sz w:val="22"/>
            <w:szCs w:val="22"/>
          </w:rPr>
          <w:t>, (2022).</w:t>
        </w:r>
      </w:hyperlink>
    </w:p>
    <w:p w14:paraId="46F59948"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3" w:history="1">
        <w:r w:rsidRPr="00AE3D7F">
          <w:rPr>
            <w:rStyle w:val="csl-left-margin"/>
            <w:rFonts w:ascii="Calibri" w:hAnsi="Calibri" w:cs="Calibri"/>
            <w:color w:val="000000"/>
            <w:sz w:val="22"/>
            <w:szCs w:val="22"/>
          </w:rPr>
          <w:t>10. 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Schneider, M.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Pr="00AE3D7F">
          <w:rPr>
            <w:rStyle w:val="csl-right-inline"/>
            <w:rFonts w:ascii="Calibri" w:hAnsi="Calibri" w:cs="Calibri"/>
            <w:i/>
            <w:iCs/>
            <w:color w:val="000000"/>
            <w:sz w:val="22"/>
            <w:szCs w:val="22"/>
          </w:rPr>
          <w:t>Lancet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401</w:t>
        </w:r>
        <w:r w:rsidRPr="00AE3D7F">
          <w:rPr>
            <w:rStyle w:val="csl-right-inline"/>
            <w:rFonts w:ascii="Calibri" w:hAnsi="Calibri" w:cs="Calibri"/>
            <w:color w:val="000000"/>
            <w:sz w:val="22"/>
            <w:szCs w:val="22"/>
          </w:rPr>
          <w:t>, 2138–2147 (2023).</w:t>
        </w:r>
      </w:hyperlink>
    </w:p>
    <w:p w14:paraId="57064848"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4" w:history="1">
        <w:r w:rsidRPr="00AE3D7F">
          <w:rPr>
            <w:rStyle w:val="csl-left-margin"/>
            <w:rFonts w:ascii="Calibri" w:hAnsi="Calibri" w:cs="Calibri"/>
            <w:color w:val="000000"/>
            <w:sz w:val="22"/>
            <w:szCs w:val="22"/>
          </w:rPr>
          <w:t>11. 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Richardson, J. S.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Chikungunya virus virus-like particle vaccine safety and immunogenicity in adolescents and adults in the USA: a phase 3, randomised, double-blind, placebo-controlled trial. </w:t>
        </w:r>
        <w:r w:rsidRPr="00AE3D7F">
          <w:rPr>
            <w:rStyle w:val="csl-right-inline"/>
            <w:rFonts w:ascii="Calibri" w:hAnsi="Calibri" w:cs="Calibri"/>
            <w:i/>
            <w:iCs/>
            <w:color w:val="000000"/>
            <w:sz w:val="22"/>
            <w:szCs w:val="22"/>
          </w:rPr>
          <w:t>Lancet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405</w:t>
        </w:r>
        <w:r w:rsidRPr="00AE3D7F">
          <w:rPr>
            <w:rStyle w:val="csl-right-inline"/>
            <w:rFonts w:ascii="Calibri" w:hAnsi="Calibri" w:cs="Calibri"/>
            <w:color w:val="000000"/>
            <w:sz w:val="22"/>
            <w:szCs w:val="22"/>
          </w:rPr>
          <w:t>, 1343–1352 (2025).</w:t>
        </w:r>
      </w:hyperlink>
    </w:p>
    <w:p w14:paraId="270FC5EE"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5" w:history="1">
        <w:r w:rsidRPr="00AE3D7F">
          <w:rPr>
            <w:rStyle w:val="csl-left-margin"/>
            <w:rFonts w:ascii="Calibri" w:hAnsi="Calibri" w:cs="Calibri"/>
            <w:color w:val="000000"/>
            <w:sz w:val="22"/>
            <w:szCs w:val="22"/>
          </w:rPr>
          <w:t>12. 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US Food and Drug Administration. Suspension Memo of Biologics License 1909 - IXCHIQ. (2025).</w:t>
        </w:r>
      </w:hyperlink>
    </w:p>
    <w:p w14:paraId="2328F1C9"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6" w:history="1">
        <w:r w:rsidRPr="00AE3D7F">
          <w:rPr>
            <w:rStyle w:val="csl-left-margin"/>
            <w:rFonts w:ascii="Calibri" w:hAnsi="Calibri" w:cs="Calibri"/>
            <w:color w:val="000000"/>
            <w:sz w:val="22"/>
            <w:szCs w:val="22"/>
          </w:rPr>
          <w:t>13. 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proofErr w:type="spellStart"/>
        <w:r w:rsidRPr="00AE3D7F">
          <w:rPr>
            <w:rStyle w:val="csl-right-inline"/>
            <w:rFonts w:ascii="Calibri" w:hAnsi="Calibri" w:cs="Calibri"/>
            <w:color w:val="000000"/>
            <w:sz w:val="22"/>
            <w:szCs w:val="22"/>
          </w:rPr>
          <w:t>Vondeling</w:t>
        </w:r>
        <w:proofErr w:type="spellEnd"/>
        <w:r w:rsidRPr="00AE3D7F">
          <w:rPr>
            <w:rStyle w:val="csl-right-inline"/>
            <w:rFonts w:ascii="Calibri" w:hAnsi="Calibri" w:cs="Calibri"/>
            <w:color w:val="000000"/>
            <w:sz w:val="22"/>
            <w:szCs w:val="22"/>
          </w:rPr>
          <w:t xml:space="preserve">, G. T.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w:t>
        </w:r>
        <w:proofErr w:type="gramStart"/>
        <w:r w:rsidRPr="00AE3D7F">
          <w:rPr>
            <w:rStyle w:val="csl-right-inline"/>
            <w:rFonts w:ascii="Calibri" w:hAnsi="Calibri" w:cs="Calibri"/>
            <w:color w:val="000000"/>
            <w:sz w:val="22"/>
            <w:szCs w:val="22"/>
          </w:rPr>
          <w:t>Post-marketing</w:t>
        </w:r>
        <w:proofErr w:type="gramEnd"/>
        <w:r w:rsidRPr="00AE3D7F">
          <w:rPr>
            <w:rStyle w:val="csl-right-inline"/>
            <w:rFonts w:ascii="Calibri" w:hAnsi="Calibri" w:cs="Calibri"/>
            <w:color w:val="000000"/>
            <w:sz w:val="22"/>
            <w:szCs w:val="22"/>
          </w:rPr>
          <w:t xml:space="preserve"> safety evaluation of the live-attenuated chikungunya vaccine (IXCHIQ). </w:t>
        </w:r>
        <w:r w:rsidRPr="00AE3D7F">
          <w:rPr>
            <w:rStyle w:val="csl-right-inline"/>
            <w:rFonts w:ascii="Calibri" w:hAnsi="Calibri" w:cs="Calibri"/>
            <w:i/>
            <w:iCs/>
            <w:color w:val="000000"/>
            <w:sz w:val="22"/>
            <w:szCs w:val="22"/>
          </w:rPr>
          <w:t>Vaccine</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79</w:t>
        </w:r>
        <w:r w:rsidRPr="00AE3D7F">
          <w:rPr>
            <w:rStyle w:val="csl-right-inline"/>
            <w:rFonts w:ascii="Calibri" w:hAnsi="Calibri" w:cs="Calibri"/>
            <w:color w:val="000000"/>
            <w:sz w:val="22"/>
            <w:szCs w:val="22"/>
          </w:rPr>
          <w:t>, 128491 (2026).</w:t>
        </w:r>
      </w:hyperlink>
    </w:p>
    <w:p w14:paraId="74D079F1"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7" w:history="1">
        <w:r w:rsidRPr="00AE3D7F">
          <w:rPr>
            <w:rStyle w:val="csl-left-margin"/>
            <w:rFonts w:ascii="Calibri" w:hAnsi="Calibri" w:cs="Calibri"/>
            <w:color w:val="000000"/>
            <w:sz w:val="22"/>
            <w:szCs w:val="22"/>
          </w:rPr>
          <w:t>14. 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E M A. Ixchiq | European Medicines Agency (EMA). https://www.ema.europa.eu/en/medicines/human/EPAR/ixchiq.</w:t>
        </w:r>
      </w:hyperlink>
    </w:p>
    <w:p w14:paraId="7CE30F27"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8" w:history="1">
        <w:r w:rsidRPr="00AE3D7F">
          <w:rPr>
            <w:rStyle w:val="csl-left-margin"/>
            <w:rFonts w:ascii="Calibri" w:hAnsi="Calibri" w:cs="Calibri"/>
            <w:color w:val="000000"/>
            <w:sz w:val="22"/>
            <w:szCs w:val="22"/>
          </w:rPr>
          <w:t>15. 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GOV UK. MHRA introduces additional restrictions for use of the Chikungunya vaccine (IXCHIQ) - GOV.UK. https://www.gov.uk/government/news/mhra-introduces-additional-restrictions-for-use-of-the-chikungunya-vaccine-ixchiq (2026).</w:t>
        </w:r>
      </w:hyperlink>
    </w:p>
    <w:p w14:paraId="2DC94E12"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59" w:history="1">
        <w:r w:rsidRPr="00AE3D7F">
          <w:rPr>
            <w:rStyle w:val="csl-left-margin"/>
            <w:rFonts w:ascii="Calibri" w:hAnsi="Calibri" w:cs="Calibri"/>
            <w:color w:val="000000"/>
            <w:sz w:val="22"/>
            <w:szCs w:val="22"/>
          </w:rPr>
          <w:t>16. 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Government of Canada. Recommendations for the use of chikungunya live attenuated vaccine (IXCHIQ). https://www.canada.ca/en/public-health/services/catmat/recommendations-use-chikungunya-vaccine.html (2025).</w:t>
        </w:r>
      </w:hyperlink>
    </w:p>
    <w:p w14:paraId="1EC4C89B"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0" w:history="1">
        <w:r w:rsidRPr="00AE3D7F">
          <w:rPr>
            <w:rStyle w:val="csl-left-margin"/>
            <w:rFonts w:ascii="Calibri" w:hAnsi="Calibri" w:cs="Calibri"/>
            <w:color w:val="000000"/>
            <w:sz w:val="22"/>
            <w:szCs w:val="22"/>
          </w:rPr>
          <w:t>17. 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Valneva. Valneva and Instituto Butantan Announce Initiation of a Pilot Vaccination Campaign in Brazil with Single-Shot Chikungunya Vaccine IXCHIQ. https://valneva.com/wp-content/uploads/2026/02/2026_02_03_VLA_Butantan_PVS_PR_EN_Final.pdf (2026).</w:t>
        </w:r>
      </w:hyperlink>
    </w:p>
    <w:p w14:paraId="7E50A165"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1" w:history="1">
        <w:r w:rsidRPr="00AE3D7F">
          <w:rPr>
            <w:rStyle w:val="csl-left-margin"/>
            <w:rFonts w:ascii="Calibri" w:hAnsi="Calibri" w:cs="Calibri"/>
            <w:color w:val="000000"/>
            <w:sz w:val="22"/>
            <w:szCs w:val="22"/>
          </w:rPr>
          <w:t>18. 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Hills, S. L.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Surveillance for adverse events following use of live attenuated chikungunya vaccine, United States, 2024, and the associated public health response in 2024 and 2025. </w:t>
        </w:r>
        <w:r w:rsidRPr="00AE3D7F">
          <w:rPr>
            <w:rStyle w:val="csl-right-inline"/>
            <w:rFonts w:ascii="Calibri" w:hAnsi="Calibri" w:cs="Calibri"/>
            <w:i/>
            <w:iCs/>
            <w:color w:val="000000"/>
            <w:sz w:val="22"/>
            <w:szCs w:val="22"/>
          </w:rPr>
          <w:t xml:space="preserve">Euro </w:t>
        </w:r>
        <w:proofErr w:type="spellStart"/>
        <w:r w:rsidRPr="00AE3D7F">
          <w:rPr>
            <w:rStyle w:val="csl-right-inline"/>
            <w:rFonts w:ascii="Calibri" w:hAnsi="Calibri" w:cs="Calibri"/>
            <w:i/>
            <w:iCs/>
            <w:color w:val="000000"/>
            <w:sz w:val="22"/>
            <w:szCs w:val="22"/>
          </w:rPr>
          <w:t>Surveill</w:t>
        </w:r>
        <w:proofErr w:type="spellEnd"/>
        <w:r w:rsidRPr="00AE3D7F">
          <w:rPr>
            <w:rStyle w:val="csl-right-inline"/>
            <w:rFonts w:ascii="Calibri" w:hAnsi="Calibri" w:cs="Calibri"/>
            <w:i/>
            <w:iCs/>
            <w:color w:val="000000"/>
            <w:sz w:val="22"/>
            <w:szCs w:val="22"/>
          </w:rPr>
          <w: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30</w:t>
        </w:r>
        <w:r w:rsidRPr="00AE3D7F">
          <w:rPr>
            <w:rStyle w:val="csl-right-inline"/>
            <w:rFonts w:ascii="Calibri" w:hAnsi="Calibri" w:cs="Calibri"/>
            <w:color w:val="000000"/>
            <w:sz w:val="22"/>
            <w:szCs w:val="22"/>
          </w:rPr>
          <w:t>, (2025).</w:t>
        </w:r>
      </w:hyperlink>
    </w:p>
    <w:p w14:paraId="764C9DA5"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2" w:history="1">
        <w:r w:rsidRPr="00AE3D7F">
          <w:rPr>
            <w:rStyle w:val="csl-left-margin"/>
            <w:rFonts w:ascii="Calibri" w:hAnsi="Calibri" w:cs="Calibri"/>
            <w:color w:val="000000"/>
            <w:sz w:val="22"/>
            <w:szCs w:val="22"/>
          </w:rPr>
          <w:t>19. 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Kang, H.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Age-specific chikungunya outbreak response immunisation strategies in Brazil: a modelling study. </w:t>
        </w:r>
        <w:proofErr w:type="spellStart"/>
        <w:r w:rsidRPr="00AE3D7F">
          <w:rPr>
            <w:rStyle w:val="csl-right-inline"/>
            <w:rFonts w:ascii="Calibri" w:hAnsi="Calibri" w:cs="Calibri"/>
            <w:i/>
            <w:iCs/>
            <w:color w:val="000000"/>
            <w:sz w:val="22"/>
            <w:szCs w:val="22"/>
          </w:rPr>
          <w:t>EClinicalMedicine</w:t>
        </w:r>
        <w:proofErr w:type="spellEnd"/>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90</w:t>
        </w:r>
        <w:r w:rsidRPr="00AE3D7F">
          <w:rPr>
            <w:rStyle w:val="csl-right-inline"/>
            <w:rFonts w:ascii="Calibri" w:hAnsi="Calibri" w:cs="Calibri"/>
            <w:color w:val="000000"/>
            <w:sz w:val="22"/>
            <w:szCs w:val="22"/>
          </w:rPr>
          <w:t>, 103690 (2025).</w:t>
        </w:r>
      </w:hyperlink>
    </w:p>
    <w:p w14:paraId="7448A9D1"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3" w:history="1">
        <w:r w:rsidRPr="00AE3D7F">
          <w:rPr>
            <w:rStyle w:val="csl-left-margin"/>
            <w:rFonts w:ascii="Calibri" w:hAnsi="Calibri" w:cs="Calibri"/>
            <w:color w:val="000000"/>
            <w:sz w:val="22"/>
            <w:szCs w:val="22"/>
          </w:rPr>
          <w:t>20. 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Pérez-Estigarribia, P. E.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w:t>
        </w:r>
        <w:proofErr w:type="spellStart"/>
        <w:r w:rsidRPr="00AE3D7F">
          <w:rPr>
            <w:rStyle w:val="csl-right-inline"/>
            <w:rFonts w:ascii="Calibri" w:hAnsi="Calibri" w:cs="Calibri"/>
            <w:color w:val="000000"/>
            <w:sz w:val="22"/>
            <w:szCs w:val="22"/>
          </w:rPr>
          <w:t>Modeling</w:t>
        </w:r>
        <w:proofErr w:type="spellEnd"/>
        <w:r w:rsidRPr="00AE3D7F">
          <w:rPr>
            <w:rStyle w:val="csl-right-inline"/>
            <w:rFonts w:ascii="Calibri" w:hAnsi="Calibri" w:cs="Calibri"/>
            <w:color w:val="000000"/>
            <w:sz w:val="22"/>
            <w:szCs w:val="22"/>
          </w:rPr>
          <w:t xml:space="preserve"> the impact of vaccine campaigns on the epidemic transmission dynamics of chikungunya virus outbreaks. </w:t>
        </w:r>
        <w:r w:rsidRPr="00AE3D7F">
          <w:rPr>
            <w:rStyle w:val="csl-right-inline"/>
            <w:rFonts w:ascii="Calibri" w:hAnsi="Calibri" w:cs="Calibri"/>
            <w:i/>
            <w:iCs/>
            <w:color w:val="000000"/>
            <w:sz w:val="22"/>
            <w:szCs w:val="22"/>
          </w:rPr>
          <w:t>Nat. Med.</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31</w:t>
        </w:r>
        <w:r w:rsidRPr="00AE3D7F">
          <w:rPr>
            <w:rStyle w:val="csl-right-inline"/>
            <w:rFonts w:ascii="Calibri" w:hAnsi="Calibri" w:cs="Calibri"/>
            <w:color w:val="000000"/>
            <w:sz w:val="22"/>
            <w:szCs w:val="22"/>
          </w:rPr>
          <w:t>, 2335–2341 (2025).</w:t>
        </w:r>
      </w:hyperlink>
    </w:p>
    <w:p w14:paraId="22A79FE7"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4" w:history="1">
        <w:r w:rsidRPr="00AE3D7F">
          <w:rPr>
            <w:rStyle w:val="csl-left-margin"/>
            <w:rFonts w:ascii="Calibri" w:hAnsi="Calibri" w:cs="Calibri"/>
            <w:color w:val="000000"/>
            <w:sz w:val="22"/>
            <w:szCs w:val="22"/>
          </w:rPr>
          <w:t>21. 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Kang, H.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Global, regional and national burden of chikungunya: force of infection mapping and spatial modelling study. </w:t>
        </w:r>
        <w:r w:rsidRPr="00AE3D7F">
          <w:rPr>
            <w:rStyle w:val="csl-right-inline"/>
            <w:rFonts w:ascii="Calibri" w:hAnsi="Calibri" w:cs="Calibri"/>
            <w:i/>
            <w:iCs/>
            <w:color w:val="000000"/>
            <w:sz w:val="22"/>
            <w:szCs w:val="22"/>
          </w:rPr>
          <w:t>BMJ Glob Health</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10</w:t>
        </w:r>
        <w:r w:rsidRPr="00AE3D7F">
          <w:rPr>
            <w:rStyle w:val="csl-right-inline"/>
            <w:rFonts w:ascii="Calibri" w:hAnsi="Calibri" w:cs="Calibri"/>
            <w:color w:val="000000"/>
            <w:sz w:val="22"/>
            <w:szCs w:val="22"/>
          </w:rPr>
          <w:t>, (2025).</w:t>
        </w:r>
      </w:hyperlink>
    </w:p>
    <w:p w14:paraId="13AE26D4" w14:textId="77777777" w:rsidR="00AE3D7F" w:rsidRPr="007212A3" w:rsidRDefault="00AE3D7F" w:rsidP="00AE3D7F">
      <w:pPr>
        <w:pStyle w:val="NormalWeb"/>
        <w:spacing w:line="276" w:lineRule="auto"/>
        <w:ind w:left="700" w:hanging="700"/>
        <w:rPr>
          <w:rFonts w:ascii="Calibri" w:hAnsi="Calibri" w:cs="Calibri"/>
          <w:color w:val="000000"/>
          <w:sz w:val="22"/>
          <w:szCs w:val="22"/>
          <w:lang w:val="pt-BR"/>
        </w:rPr>
      </w:pPr>
      <w:hyperlink r:id="rId65" w:history="1">
        <w:r w:rsidRPr="00AE3D7F">
          <w:rPr>
            <w:rStyle w:val="csl-left-margin"/>
            <w:rFonts w:ascii="Calibri" w:hAnsi="Calibri" w:cs="Calibri"/>
            <w:color w:val="000000"/>
            <w:sz w:val="22"/>
            <w:szCs w:val="22"/>
          </w:rPr>
          <w:t>22. 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proofErr w:type="spellStart"/>
        <w:r w:rsidRPr="00AE3D7F">
          <w:rPr>
            <w:rStyle w:val="csl-right-inline"/>
            <w:rFonts w:ascii="Calibri" w:hAnsi="Calibri" w:cs="Calibri"/>
            <w:color w:val="000000"/>
            <w:sz w:val="22"/>
            <w:szCs w:val="22"/>
          </w:rPr>
          <w:t>Sloof</w:t>
        </w:r>
        <w:proofErr w:type="spellEnd"/>
        <w:r w:rsidRPr="00AE3D7F">
          <w:rPr>
            <w:rStyle w:val="csl-right-inline"/>
            <w:rFonts w:ascii="Calibri" w:hAnsi="Calibri" w:cs="Calibri"/>
            <w:color w:val="000000"/>
            <w:sz w:val="22"/>
            <w:szCs w:val="22"/>
          </w:rPr>
          <w:t xml:space="preserve">, A. C.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Strategic vaccination responses to Chikungunya outbreaks in Rome: Insights from a dynamic transmission model. </w:t>
        </w:r>
        <w:r w:rsidRPr="007212A3">
          <w:rPr>
            <w:rStyle w:val="csl-right-inline"/>
            <w:rFonts w:ascii="Calibri" w:hAnsi="Calibri" w:cs="Calibri"/>
            <w:i/>
            <w:color w:val="000000"/>
            <w:sz w:val="22"/>
            <w:szCs w:val="22"/>
            <w:lang w:val="pt-BR"/>
          </w:rPr>
          <w:t xml:space="preserve">PLoS </w:t>
        </w:r>
        <w:proofErr w:type="spellStart"/>
        <w:r w:rsidRPr="007212A3">
          <w:rPr>
            <w:rStyle w:val="csl-right-inline"/>
            <w:rFonts w:ascii="Calibri" w:hAnsi="Calibri" w:cs="Calibri"/>
            <w:i/>
            <w:color w:val="000000"/>
            <w:sz w:val="22"/>
            <w:szCs w:val="22"/>
            <w:lang w:val="pt-BR"/>
          </w:rPr>
          <w:t>Negl</w:t>
        </w:r>
        <w:proofErr w:type="spellEnd"/>
        <w:r w:rsidRPr="007212A3">
          <w:rPr>
            <w:rStyle w:val="csl-right-inline"/>
            <w:rFonts w:ascii="Calibri" w:hAnsi="Calibri" w:cs="Calibri"/>
            <w:i/>
            <w:color w:val="000000"/>
            <w:sz w:val="22"/>
            <w:szCs w:val="22"/>
            <w:lang w:val="pt-BR"/>
          </w:rPr>
          <w:t>. Trop. Dis.</w:t>
        </w:r>
        <w:r w:rsidRPr="007212A3">
          <w:rPr>
            <w:rStyle w:val="csl-right-inline"/>
            <w:rFonts w:ascii="Calibri" w:hAnsi="Calibri" w:cs="Calibri"/>
            <w:color w:val="000000"/>
            <w:sz w:val="22"/>
            <w:szCs w:val="22"/>
            <w:lang w:val="pt-BR"/>
          </w:rPr>
          <w:t xml:space="preserve"> </w:t>
        </w:r>
        <w:r w:rsidRPr="007212A3">
          <w:rPr>
            <w:rStyle w:val="csl-right-inline"/>
            <w:rFonts w:ascii="Calibri" w:hAnsi="Calibri" w:cs="Calibri"/>
            <w:b/>
            <w:color w:val="000000"/>
            <w:sz w:val="22"/>
            <w:szCs w:val="22"/>
            <w:lang w:val="pt-BR"/>
          </w:rPr>
          <w:t>18</w:t>
        </w:r>
        <w:r w:rsidRPr="007212A3">
          <w:rPr>
            <w:rStyle w:val="csl-right-inline"/>
            <w:rFonts w:ascii="Calibri" w:hAnsi="Calibri" w:cs="Calibri"/>
            <w:color w:val="000000"/>
            <w:sz w:val="22"/>
            <w:szCs w:val="22"/>
            <w:lang w:val="pt-BR"/>
          </w:rPr>
          <w:t>, e0012713 (2024).</w:t>
        </w:r>
      </w:hyperlink>
    </w:p>
    <w:p w14:paraId="1B14588D"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6" w:history="1">
        <w:r w:rsidRPr="007212A3">
          <w:rPr>
            <w:rStyle w:val="csl-left-margin"/>
            <w:rFonts w:ascii="Calibri" w:hAnsi="Calibri" w:cs="Calibri"/>
            <w:color w:val="000000"/>
            <w:sz w:val="22"/>
            <w:szCs w:val="22"/>
            <w:lang w:val="pt-BR"/>
          </w:rPr>
          <w:t>23. 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7212A3">
          <w:rPr>
            <w:rStyle w:val="csl-right-inline"/>
            <w:rFonts w:ascii="Calibri" w:hAnsi="Calibri" w:cs="Calibri"/>
            <w:color w:val="000000"/>
            <w:sz w:val="22"/>
            <w:szCs w:val="22"/>
            <w:lang w:val="pt-BR"/>
          </w:rPr>
          <w:t xml:space="preserve">Ribeiro Dos Santos, G. </w:t>
        </w:r>
        <w:r w:rsidRPr="007212A3">
          <w:rPr>
            <w:rStyle w:val="csl-right-inline"/>
            <w:rFonts w:ascii="Calibri" w:hAnsi="Calibri" w:cs="Calibri"/>
            <w:i/>
            <w:color w:val="000000"/>
            <w:sz w:val="22"/>
            <w:szCs w:val="22"/>
            <w:lang w:val="pt-BR"/>
          </w:rPr>
          <w:t>et al.</w:t>
        </w:r>
        <w:r w:rsidRPr="007212A3">
          <w:rPr>
            <w:rStyle w:val="csl-right-inline"/>
            <w:rFonts w:ascii="Calibri" w:hAnsi="Calibri" w:cs="Calibri"/>
            <w:color w:val="000000"/>
            <w:sz w:val="22"/>
            <w:szCs w:val="22"/>
            <w:lang w:val="pt-BR"/>
          </w:rPr>
          <w:t xml:space="preserve"> </w:t>
        </w:r>
        <w:r w:rsidRPr="00AE3D7F">
          <w:rPr>
            <w:rStyle w:val="csl-right-inline"/>
            <w:rFonts w:ascii="Calibri" w:hAnsi="Calibri" w:cs="Calibri"/>
            <w:color w:val="000000"/>
            <w:sz w:val="22"/>
            <w:szCs w:val="22"/>
          </w:rPr>
          <w:t xml:space="preserve">Global burden of chikungunya virus infections and the potential benefit of vaccination campaigns. </w:t>
        </w:r>
        <w:r w:rsidRPr="00AE3D7F">
          <w:rPr>
            <w:rStyle w:val="csl-right-inline"/>
            <w:rFonts w:ascii="Calibri" w:hAnsi="Calibri" w:cs="Calibri"/>
            <w:i/>
            <w:iCs/>
            <w:color w:val="000000"/>
            <w:sz w:val="22"/>
            <w:szCs w:val="22"/>
          </w:rPr>
          <w:t>Nat. Med.</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31</w:t>
        </w:r>
        <w:r w:rsidRPr="00AE3D7F">
          <w:rPr>
            <w:rStyle w:val="csl-right-inline"/>
            <w:rFonts w:ascii="Calibri" w:hAnsi="Calibri" w:cs="Calibri"/>
            <w:color w:val="000000"/>
            <w:sz w:val="22"/>
            <w:szCs w:val="22"/>
          </w:rPr>
          <w:t>, 2342–2349 (2025).</w:t>
        </w:r>
      </w:hyperlink>
    </w:p>
    <w:p w14:paraId="7695E246"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7" w:history="1">
        <w:r w:rsidRPr="00AE3D7F">
          <w:rPr>
            <w:rStyle w:val="csl-left-margin"/>
            <w:rFonts w:ascii="Calibri" w:hAnsi="Calibri" w:cs="Calibri"/>
            <w:color w:val="000000"/>
            <w:sz w:val="22"/>
            <w:szCs w:val="22"/>
          </w:rPr>
          <w:t>24. 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Cracknell Daniels, B.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A framework for risk–benefit analysis of vaccines approved through accelerated pathways. </w:t>
        </w:r>
        <w:r w:rsidRPr="00AE3D7F">
          <w:rPr>
            <w:rStyle w:val="csl-right-inline"/>
            <w:rFonts w:ascii="Calibri" w:hAnsi="Calibri" w:cs="Calibri"/>
            <w:i/>
            <w:iCs/>
            <w:color w:val="000000"/>
            <w:sz w:val="22"/>
            <w:szCs w:val="22"/>
          </w:rPr>
          <w:t>Nat. Health</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1</w:t>
        </w:r>
        <w:r w:rsidRPr="00AE3D7F">
          <w:rPr>
            <w:rStyle w:val="csl-right-inline"/>
            <w:rFonts w:ascii="Calibri" w:hAnsi="Calibri" w:cs="Calibri"/>
            <w:color w:val="000000"/>
            <w:sz w:val="22"/>
            <w:szCs w:val="22"/>
          </w:rPr>
          <w:t>, 120–128 (2026).</w:t>
        </w:r>
      </w:hyperlink>
    </w:p>
    <w:p w14:paraId="6F169B73"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8" w:history="1">
        <w:r w:rsidRPr="00AE3D7F">
          <w:rPr>
            <w:rStyle w:val="csl-left-margin"/>
            <w:rFonts w:ascii="Calibri" w:hAnsi="Calibri" w:cs="Calibri"/>
            <w:color w:val="000000"/>
            <w:sz w:val="22"/>
            <w:szCs w:val="22"/>
          </w:rPr>
          <w:t>25. 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proofErr w:type="spellStart"/>
        <w:r w:rsidRPr="00AE3D7F">
          <w:rPr>
            <w:rStyle w:val="csl-right-inline"/>
            <w:rFonts w:ascii="Calibri" w:hAnsi="Calibri" w:cs="Calibri"/>
            <w:color w:val="000000"/>
            <w:sz w:val="22"/>
            <w:szCs w:val="22"/>
          </w:rPr>
          <w:t>Gérardin</w:t>
        </w:r>
        <w:proofErr w:type="spellEnd"/>
        <w:r w:rsidRPr="00AE3D7F">
          <w:rPr>
            <w:rStyle w:val="csl-right-inline"/>
            <w:rFonts w:ascii="Calibri" w:hAnsi="Calibri" w:cs="Calibri"/>
            <w:color w:val="000000"/>
            <w:sz w:val="22"/>
            <w:szCs w:val="22"/>
          </w:rPr>
          <w:t xml:space="preserve">, P.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Estimating Chikungunya prevalence in La Réunion Island outbreak by serosurveys: two methods for two critical times of the epidemic. </w:t>
        </w:r>
        <w:r w:rsidRPr="00AE3D7F">
          <w:rPr>
            <w:rStyle w:val="csl-right-inline"/>
            <w:rFonts w:ascii="Calibri" w:hAnsi="Calibri" w:cs="Calibri"/>
            <w:i/>
            <w:iCs/>
            <w:color w:val="000000"/>
            <w:sz w:val="22"/>
            <w:szCs w:val="22"/>
          </w:rPr>
          <w:t>BMC Infect. Dis.</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8</w:t>
        </w:r>
        <w:r w:rsidRPr="00AE3D7F">
          <w:rPr>
            <w:rStyle w:val="csl-right-inline"/>
            <w:rFonts w:ascii="Calibri" w:hAnsi="Calibri" w:cs="Calibri"/>
            <w:color w:val="000000"/>
            <w:sz w:val="22"/>
            <w:szCs w:val="22"/>
          </w:rPr>
          <w:t>, 99 (2008).</w:t>
        </w:r>
      </w:hyperlink>
    </w:p>
    <w:p w14:paraId="51568D14"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69" w:history="1">
        <w:r w:rsidRPr="00AE3D7F">
          <w:rPr>
            <w:rStyle w:val="csl-left-margin"/>
            <w:rFonts w:ascii="Calibri" w:hAnsi="Calibri" w:cs="Calibri"/>
            <w:color w:val="000000"/>
            <w:sz w:val="22"/>
            <w:szCs w:val="22"/>
          </w:rPr>
          <w:t>26. 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Bustos Carrillo, F.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Epidemiological Evidence for Lineage-Specific Differences in the Risk of Inapparent Chikungunya Virus Infection. </w:t>
        </w:r>
        <w:r w:rsidRPr="00AE3D7F">
          <w:rPr>
            <w:rStyle w:val="csl-right-inline"/>
            <w:rFonts w:ascii="Calibri" w:hAnsi="Calibri" w:cs="Calibri"/>
            <w:i/>
            <w:iCs/>
            <w:color w:val="000000"/>
            <w:sz w:val="22"/>
            <w:szCs w:val="22"/>
          </w:rPr>
          <w:t xml:space="preserve">J. </w:t>
        </w:r>
        <w:proofErr w:type="spellStart"/>
        <w:r w:rsidRPr="00AE3D7F">
          <w:rPr>
            <w:rStyle w:val="csl-right-inline"/>
            <w:rFonts w:ascii="Calibri" w:hAnsi="Calibri" w:cs="Calibri"/>
            <w:i/>
            <w:iCs/>
            <w:color w:val="000000"/>
            <w:sz w:val="22"/>
            <w:szCs w:val="22"/>
          </w:rPr>
          <w:t>Virol</w:t>
        </w:r>
        <w:proofErr w:type="spellEnd"/>
        <w:r w:rsidRPr="00AE3D7F">
          <w:rPr>
            <w:rStyle w:val="csl-right-inline"/>
            <w:rFonts w:ascii="Calibri" w:hAnsi="Calibri" w:cs="Calibri"/>
            <w:i/>
            <w:iCs/>
            <w:color w:val="000000"/>
            <w:sz w:val="22"/>
            <w:szCs w:val="22"/>
          </w:rPr>
          <w:t>.</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93</w:t>
        </w:r>
        <w:r w:rsidRPr="00AE3D7F">
          <w:rPr>
            <w:rStyle w:val="csl-right-inline"/>
            <w:rFonts w:ascii="Calibri" w:hAnsi="Calibri" w:cs="Calibri"/>
            <w:color w:val="000000"/>
            <w:sz w:val="22"/>
            <w:szCs w:val="22"/>
          </w:rPr>
          <w:t>, (2019).</w:t>
        </w:r>
      </w:hyperlink>
    </w:p>
    <w:p w14:paraId="006F0D50"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70" w:history="1">
        <w:r w:rsidRPr="00AE3D7F">
          <w:rPr>
            <w:rStyle w:val="csl-left-margin"/>
            <w:rFonts w:ascii="Calibri" w:hAnsi="Calibri" w:cs="Calibri"/>
            <w:color w:val="000000"/>
            <w:sz w:val="22"/>
            <w:szCs w:val="22"/>
          </w:rPr>
          <w:t>27. 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 xml:space="preserve">Cerqueira-Silva, T. </w:t>
        </w:r>
        <w:r w:rsidRPr="00AE3D7F">
          <w:rPr>
            <w:rStyle w:val="csl-right-inline"/>
            <w:rFonts w:ascii="Calibri" w:hAnsi="Calibri" w:cs="Calibri"/>
            <w:i/>
            <w:iCs/>
            <w:color w:val="000000"/>
            <w:sz w:val="22"/>
            <w:szCs w:val="22"/>
          </w:rPr>
          <w:t>et al.</w:t>
        </w:r>
        <w:r w:rsidRPr="00AE3D7F">
          <w:rPr>
            <w:rStyle w:val="csl-right-inline"/>
            <w:rFonts w:ascii="Calibri" w:hAnsi="Calibri" w:cs="Calibri"/>
            <w:color w:val="000000"/>
            <w:sz w:val="22"/>
            <w:szCs w:val="22"/>
          </w:rPr>
          <w:t xml:space="preserve"> Hospitalisation, mortality and years of life lost among chikungunya and dengue cases in Brazil: a nationwide cohort study, 2015-2024. </w:t>
        </w:r>
        <w:r w:rsidRPr="00AE3D7F">
          <w:rPr>
            <w:rStyle w:val="csl-right-inline"/>
            <w:rFonts w:ascii="Calibri" w:hAnsi="Calibri" w:cs="Calibri"/>
            <w:i/>
            <w:iCs/>
            <w:color w:val="000000"/>
            <w:sz w:val="22"/>
            <w:szCs w:val="22"/>
          </w:rPr>
          <w:t>Lancet Reg. Health Am.</w:t>
        </w:r>
        <w:r w:rsidRPr="00AE3D7F">
          <w:rPr>
            <w:rStyle w:val="csl-right-inline"/>
            <w:rFonts w:ascii="Calibri" w:hAnsi="Calibri" w:cs="Calibri"/>
            <w:color w:val="000000"/>
            <w:sz w:val="22"/>
            <w:szCs w:val="22"/>
          </w:rPr>
          <w:t xml:space="preserve"> </w:t>
        </w:r>
        <w:r w:rsidRPr="00AE3D7F">
          <w:rPr>
            <w:rStyle w:val="csl-right-inline"/>
            <w:rFonts w:ascii="Calibri" w:hAnsi="Calibri" w:cs="Calibri"/>
            <w:b/>
            <w:bCs/>
            <w:color w:val="000000"/>
            <w:sz w:val="22"/>
            <w:szCs w:val="22"/>
          </w:rPr>
          <w:t>49</w:t>
        </w:r>
        <w:r w:rsidRPr="00AE3D7F">
          <w:rPr>
            <w:rStyle w:val="csl-right-inline"/>
            <w:rFonts w:ascii="Calibri" w:hAnsi="Calibri" w:cs="Calibri"/>
            <w:color w:val="000000"/>
            <w:sz w:val="22"/>
            <w:szCs w:val="22"/>
          </w:rPr>
          <w:t>, 101177 (2025).</w:t>
        </w:r>
      </w:hyperlink>
    </w:p>
    <w:p w14:paraId="3F5E6FC2" w14:textId="77777777" w:rsidR="00AE3D7F" w:rsidRPr="007212A3" w:rsidRDefault="00AE3D7F" w:rsidP="00AE3D7F">
      <w:pPr>
        <w:pStyle w:val="NormalWeb"/>
        <w:spacing w:line="276" w:lineRule="auto"/>
        <w:ind w:left="700" w:hanging="700"/>
        <w:rPr>
          <w:rFonts w:ascii="Calibri" w:hAnsi="Calibri" w:cs="Calibri"/>
          <w:color w:val="000000"/>
          <w:sz w:val="22"/>
          <w:szCs w:val="22"/>
        </w:rPr>
      </w:pPr>
      <w:hyperlink r:id="rId71" w:history="1">
        <w:r w:rsidRPr="007212A3">
          <w:rPr>
            <w:rStyle w:val="csl-left-margin"/>
            <w:rFonts w:ascii="Calibri" w:hAnsi="Calibri" w:cs="Calibri"/>
            <w:color w:val="000000"/>
            <w:sz w:val="22"/>
            <w:szCs w:val="22"/>
          </w:rPr>
          <w:t>28. 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7212A3">
          <w:rPr>
            <w:rStyle w:val="csl-right-inline"/>
            <w:rFonts w:ascii="Calibri" w:hAnsi="Calibri" w:cs="Calibri"/>
            <w:color w:val="000000"/>
            <w:sz w:val="22"/>
            <w:szCs w:val="22"/>
          </w:rPr>
          <w:t>SINANWEB - Página inicial. http://portalsinan.saude.gov.br/ (2024).</w:t>
        </w:r>
      </w:hyperlink>
    </w:p>
    <w:p w14:paraId="24F23A13"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72" w:history="1">
        <w:r w:rsidRPr="00AE3D7F">
          <w:rPr>
            <w:rStyle w:val="csl-left-margin"/>
            <w:rFonts w:ascii="Calibri" w:hAnsi="Calibri" w:cs="Calibri"/>
            <w:color w:val="000000"/>
            <w:sz w:val="22"/>
            <w:szCs w:val="22"/>
          </w:rPr>
          <w:t>29. 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Global Burden of Disease Study 2017 (GBD 2017) Disability Weights | GHDx. https://ghdx.healthdata.org/record/ihme-data/gbd-2017-disability-weights (2018).</w:t>
        </w:r>
      </w:hyperlink>
    </w:p>
    <w:p w14:paraId="7BAAAC9C" w14:textId="77777777" w:rsidR="00AE3D7F" w:rsidRPr="00AE3D7F" w:rsidRDefault="00AE3D7F" w:rsidP="00AE3D7F">
      <w:pPr>
        <w:pStyle w:val="NormalWeb"/>
        <w:spacing w:line="276" w:lineRule="auto"/>
        <w:ind w:left="700" w:hanging="700"/>
        <w:rPr>
          <w:rFonts w:ascii="Calibri" w:hAnsi="Calibri" w:cs="Calibri"/>
          <w:color w:val="000000"/>
          <w:sz w:val="22"/>
          <w:szCs w:val="22"/>
        </w:rPr>
      </w:pPr>
      <w:hyperlink r:id="rId73" w:history="1">
        <w:r w:rsidRPr="00AE3D7F">
          <w:rPr>
            <w:rStyle w:val="csl-left-margin"/>
            <w:rFonts w:ascii="Calibri" w:hAnsi="Calibri" w:cs="Calibri"/>
            <w:color w:val="000000"/>
            <w:sz w:val="22"/>
            <w:szCs w:val="22"/>
          </w:rPr>
          <w:t>30. 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Chikungunya | CDC Yellow Book 2024. https://wwwnc.cdc.gov/travel/yellowbook/2024/infections-diseases/chikungunya#:~:text=Approximately%203%25%E2%80%9328%25%20of,C%5D)%20and%20joint%20pains.</w:t>
        </w:r>
      </w:hyperlink>
    </w:p>
    <w:p w14:paraId="2BFD757D" w14:textId="5DACE856" w:rsidR="00AE3D7F" w:rsidRPr="00AE3D7F" w:rsidRDefault="00AE3D7F" w:rsidP="00AE3D7F">
      <w:pPr>
        <w:spacing w:line="276" w:lineRule="auto"/>
        <w:ind w:left="700" w:hanging="700"/>
        <w:rPr>
          <w:rFonts w:ascii="Calibri" w:eastAsia="Malgun Gothic" w:hAnsi="Calibri" w:cs="Calibri"/>
          <w:color w:val="0F4761" w:themeColor="accent1" w:themeShade="BF"/>
          <w:sz w:val="22"/>
          <w:szCs w:val="22"/>
          <w:lang w:eastAsia="ko-KR"/>
        </w:rPr>
      </w:pPr>
      <w:hyperlink r:id="rId74" w:history="1">
        <w:r w:rsidRPr="00AE3D7F">
          <w:rPr>
            <w:rStyle w:val="csl-left-margin"/>
            <w:rFonts w:ascii="Calibri" w:hAnsi="Calibri" w:cs="Calibri"/>
            <w:color w:val="000000"/>
            <w:sz w:val="22"/>
            <w:szCs w:val="22"/>
          </w:rPr>
          <w:t>31. </w:t>
        </w:r>
        <w:r w:rsidRPr="00AE3D7F">
          <w:rPr>
            <w:rStyle w:val="csl-left-margin"/>
            <w:rFonts w:ascii="Calibri" w:hAnsi="Calibri" w:cs="Calibri"/>
            <w:color w:val="000000"/>
            <w:sz w:val="22"/>
            <w:szCs w:val="22"/>
          </w:rPr>
          <w:t> </w:t>
        </w:r>
        <w:r w:rsidRPr="00AE3D7F">
          <w:rPr>
            <w:rStyle w:val="csl-left-margin"/>
            <w:rFonts w:ascii="Calibri" w:hAnsi="Calibri" w:cs="Calibri"/>
            <w:color w:val="000000"/>
            <w:sz w:val="22"/>
            <w:szCs w:val="22"/>
          </w:rPr>
          <w:t> </w:t>
        </w:r>
        <w:r w:rsidRPr="00AE3D7F">
          <w:rPr>
            <w:rStyle w:val="csl-right-inline"/>
            <w:rFonts w:ascii="Calibri" w:hAnsi="Calibri" w:cs="Calibri"/>
            <w:color w:val="000000"/>
            <w:sz w:val="22"/>
            <w:szCs w:val="22"/>
          </w:rPr>
          <w:t>World Population Prospects - Population Division - United Nations . https://population.un.org/wpp/ (2024).</w:t>
        </w:r>
      </w:hyperlink>
      <w:r w:rsidRPr="00AE3D7F">
        <w:rPr>
          <w:rFonts w:ascii="Calibri" w:hAnsi="Calibri" w:cs="Calibri"/>
          <w:color w:val="000000"/>
          <w:sz w:val="22"/>
          <w:szCs w:val="22"/>
        </w:rPr>
        <w:t xml:space="preserve"> </w:t>
      </w:r>
    </w:p>
    <w:p w14:paraId="729EC429" w14:textId="71E446DC" w:rsidR="00AE3D7F" w:rsidRPr="005D5772" w:rsidRDefault="00AE3D7F" w:rsidP="005D5772">
      <w:pPr>
        <w:spacing w:line="276" w:lineRule="auto"/>
        <w:ind w:left="700" w:hanging="700"/>
        <w:rPr>
          <w:rFonts w:ascii="Calibri" w:eastAsia="Malgun Gothic" w:hAnsi="Calibri" w:cs="Calibri"/>
          <w:color w:val="0F4761" w:themeColor="accent1" w:themeShade="BF"/>
          <w:sz w:val="22"/>
          <w:szCs w:val="22"/>
          <w:lang w:eastAsia="ko-KR"/>
        </w:rPr>
      </w:pPr>
      <w:r w:rsidRPr="005D5772">
        <w:rPr>
          <w:rFonts w:ascii="Calibri" w:hAnsi="Calibri" w:cs="Calibri"/>
          <w:color w:val="000000"/>
          <w:sz w:val="22"/>
          <w:szCs w:val="22"/>
        </w:rPr>
        <w:t xml:space="preserve"> </w:t>
      </w:r>
    </w:p>
    <w:p w14:paraId="4FD83B80" w14:textId="77777777" w:rsidR="00AE3D7F" w:rsidRPr="00746CA9" w:rsidRDefault="00AE3D7F" w:rsidP="00746CA9">
      <w:pPr>
        <w:spacing w:line="240" w:lineRule="auto"/>
        <w:ind w:left="700" w:hanging="700"/>
        <w:rPr>
          <w:rFonts w:ascii="Calibri" w:eastAsia="Malgun Gothic" w:hAnsi="Calibri" w:cs="Calibri"/>
          <w:color w:val="0F4761" w:themeColor="accent1" w:themeShade="BF"/>
          <w:sz w:val="22"/>
          <w:szCs w:val="22"/>
          <w:lang w:eastAsia="ko-KR"/>
        </w:rPr>
      </w:pPr>
      <w:r w:rsidRPr="00746CA9">
        <w:rPr>
          <w:rFonts w:ascii="Calibri" w:hAnsi="Calibri" w:cs="Calibri"/>
          <w:color w:val="000000"/>
          <w:sz w:val="22"/>
          <w:szCs w:val="22"/>
        </w:rPr>
        <w:t xml:space="preserve"> </w:t>
      </w:r>
    </w:p>
    <w:p w14:paraId="35914CE6" w14:textId="77777777" w:rsidR="0067504C" w:rsidRDefault="0067504C" w:rsidP="00646FEE">
      <w:pPr>
        <w:spacing w:line="440" w:lineRule="auto"/>
        <w:rPr>
          <w:rStyle w:val="IntenseEmphasis"/>
          <w:rFonts w:ascii="Calibri" w:eastAsia="Malgun Gothic" w:hAnsi="Calibri" w:cs="Calibri"/>
          <w:i w:val="0"/>
          <w:color w:val="auto"/>
          <w:sz w:val="22"/>
          <w:szCs w:val="22"/>
          <w:lang w:eastAsia="ko-KR"/>
        </w:rPr>
        <w:sectPr w:rsidR="0067504C" w:rsidSect="00AE3D7F">
          <w:pgSz w:w="11906" w:h="16838"/>
          <w:pgMar w:top="1987" w:right="1699" w:bottom="1699" w:left="1699" w:header="720" w:footer="720" w:gutter="0"/>
          <w:lnNumType w:countBy="5" w:restart="continuous"/>
          <w:cols w:space="720"/>
          <w:docGrid w:linePitch="360"/>
        </w:sectPr>
      </w:pPr>
    </w:p>
    <w:p w14:paraId="51FA9002" w14:textId="07FA3350" w:rsidR="00AE3D7F" w:rsidRDefault="0067504C" w:rsidP="00723E88">
      <w:pPr>
        <w:pStyle w:val="Caption"/>
        <w:rPr>
          <w:rFonts w:ascii="Calibri" w:eastAsia="Malgun Gothic" w:hAnsi="Calibri" w:cs="Calibri"/>
          <w:sz w:val="20"/>
          <w:szCs w:val="20"/>
          <w:lang w:eastAsia="ko-KR"/>
        </w:rPr>
      </w:pPr>
      <w:commentRangeStart w:id="8"/>
      <w:r w:rsidRPr="00B8530F">
        <w:rPr>
          <w:b/>
          <w:sz w:val="20"/>
          <w:szCs w:val="20"/>
        </w:rPr>
        <w:lastRenderedPageBreak/>
        <w:t xml:space="preserve">Figure </w:t>
      </w:r>
      <w:r w:rsidRPr="6120DDDB">
        <w:rPr>
          <w:b/>
          <w:sz w:val="20"/>
          <w:szCs w:val="20"/>
        </w:rPr>
        <w:fldChar w:fldCharType="begin"/>
      </w:r>
      <w:r w:rsidRPr="6120DDDB">
        <w:rPr>
          <w:b/>
          <w:sz w:val="20"/>
          <w:szCs w:val="20"/>
        </w:rPr>
        <w:instrText xml:space="preserve"> SEQ Figure \* ARABIC </w:instrText>
      </w:r>
      <w:r w:rsidRPr="6120DDDB">
        <w:rPr>
          <w:b/>
          <w:sz w:val="20"/>
          <w:szCs w:val="20"/>
        </w:rPr>
        <w:fldChar w:fldCharType="separate"/>
      </w:r>
      <w:r w:rsidRPr="00B8530F">
        <w:rPr>
          <w:b/>
          <w:sz w:val="20"/>
          <w:szCs w:val="20"/>
        </w:rPr>
        <w:t>1</w:t>
      </w:r>
      <w:r w:rsidRPr="6120DDDB">
        <w:rPr>
          <w:b/>
          <w:sz w:val="20"/>
          <w:szCs w:val="20"/>
        </w:rPr>
        <w:fldChar w:fldCharType="end"/>
      </w:r>
      <w:r w:rsidRPr="00B8530F">
        <w:rPr>
          <w:rFonts w:eastAsia="Malgun Gothic" w:hint="eastAsia"/>
          <w:b/>
          <w:sz w:val="20"/>
          <w:szCs w:val="20"/>
          <w:lang w:eastAsia="ko-KR"/>
        </w:rPr>
        <w:t xml:space="preserve"> </w:t>
      </w:r>
      <w:r w:rsidRPr="00B8530F">
        <w:rPr>
          <w:rFonts w:ascii="Calibri" w:eastAsia="Malgun Gothic" w:hAnsi="Calibri" w:cs="Calibri"/>
          <w:b/>
          <w:sz w:val="20"/>
          <w:szCs w:val="20"/>
          <w:lang w:eastAsia="ko-KR"/>
        </w:rPr>
        <w:t>| Travel associated infection risk and DALY benefit-risk across entry timing and travel duration.</w:t>
      </w:r>
      <w:r w:rsidRPr="00B8530F">
        <w:rPr>
          <w:rFonts w:ascii="Calibri" w:eastAsia="Malgun Gothic" w:hAnsi="Calibri" w:cs="Calibri" w:hint="eastAsia"/>
          <w:b/>
          <w:sz w:val="20"/>
          <w:szCs w:val="20"/>
          <w:lang w:eastAsia="ko-KR"/>
        </w:rPr>
        <w:t xml:space="preserve"> A.</w:t>
      </w:r>
      <w:r w:rsidRPr="00B8530F">
        <w:rPr>
          <w:rFonts w:ascii="Calibri" w:eastAsia="Malgun Gothic" w:hAnsi="Calibri" w:cs="Calibri"/>
          <w:sz w:val="20"/>
          <w:szCs w:val="20"/>
          <w:lang w:eastAsia="ko-KR"/>
        </w:rPr>
        <w:t xml:space="preserve"> Estimated probability of CHIKV infection during travel according to entry week and travel duration in low, moderate</w:t>
      </w:r>
      <w:r w:rsidRPr="00B8530F">
        <w:rPr>
          <w:rFonts w:ascii="Calibri" w:eastAsia="Malgun Gothic" w:hAnsi="Calibri" w:cs="Calibri" w:hint="eastAsia"/>
          <w:sz w:val="20"/>
          <w:szCs w:val="20"/>
          <w:lang w:eastAsia="ko-KR"/>
        </w:rPr>
        <w:t>,</w:t>
      </w:r>
      <w:r w:rsidRPr="00B8530F">
        <w:rPr>
          <w:rFonts w:ascii="Calibri" w:eastAsia="Malgun Gothic" w:hAnsi="Calibri" w:cs="Calibri"/>
          <w:sz w:val="20"/>
          <w:szCs w:val="20"/>
          <w:lang w:eastAsia="ko-KR"/>
        </w:rPr>
        <w:t xml:space="preserve"> and high-transmission settings</w:t>
      </w:r>
      <w:r w:rsidRPr="00B8530F">
        <w:rPr>
          <w:rFonts w:ascii="Calibri" w:eastAsia="Malgun Gothic" w:hAnsi="Calibri" w:cs="Calibri" w:hint="eastAsia"/>
          <w:sz w:val="20"/>
          <w:szCs w:val="20"/>
          <w:lang w:eastAsia="ko-KR"/>
        </w:rPr>
        <w:t xml:space="preserve">. </w:t>
      </w:r>
      <w:r w:rsidRPr="00B8530F">
        <w:rPr>
          <w:rFonts w:ascii="Calibri" w:eastAsia="Malgun Gothic" w:hAnsi="Calibri" w:cs="Calibri" w:hint="eastAsia"/>
          <w:b/>
          <w:sz w:val="20"/>
          <w:szCs w:val="20"/>
          <w:lang w:eastAsia="ko-KR"/>
        </w:rPr>
        <w:t>B.</w:t>
      </w:r>
      <w:r w:rsidRPr="00B8530F">
        <w:rPr>
          <w:rFonts w:ascii="Calibri" w:eastAsia="Malgun Gothic" w:hAnsi="Calibri" w:cs="Calibri" w:hint="eastAsia"/>
          <w:sz w:val="20"/>
          <w:szCs w:val="20"/>
          <w:lang w:eastAsia="ko-KR"/>
        </w:rPr>
        <w:t xml:space="preserve"> </w:t>
      </w:r>
      <w:r w:rsidRPr="00B8530F">
        <w:rPr>
          <w:rFonts w:ascii="Calibri" w:eastAsia="Malgun Gothic" w:hAnsi="Calibri" w:cs="Calibri"/>
          <w:sz w:val="20"/>
          <w:szCs w:val="20"/>
          <w:lang w:eastAsia="ko-KR"/>
        </w:rPr>
        <w:t xml:space="preserve">Posterior probability that DALYs averted by vaccination exceed vaccine-associated DALYs as a function of cumulative CHIKV infection risk during travel, stratified by age group. Coloured lines represent low-, moderate- and high-transmission settings, and the black line represents estimates pooled across transmission settings. </w:t>
      </w:r>
      <w:r w:rsidRPr="00B8530F">
        <w:rPr>
          <w:rFonts w:ascii="Calibri" w:eastAsia="Malgun Gothic" w:hAnsi="Calibri" w:cs="Calibri" w:hint="eastAsia"/>
          <w:b/>
          <w:sz w:val="20"/>
          <w:szCs w:val="20"/>
          <w:lang w:eastAsia="ko-KR"/>
        </w:rPr>
        <w:t xml:space="preserve">C. </w:t>
      </w:r>
      <w:r w:rsidRPr="00B8530F">
        <w:rPr>
          <w:rFonts w:ascii="Calibri" w:eastAsia="Malgun Gothic" w:hAnsi="Calibri" w:cs="Calibri"/>
          <w:sz w:val="20"/>
          <w:szCs w:val="20"/>
          <w:lang w:eastAsia="ko-KR"/>
        </w:rPr>
        <w:t>Posterior probability that DALYs averted by vaccination exceed vaccine-associated DALYs across entry week and travel duration, stratified by age group and trans</w:t>
      </w:r>
      <w:commentRangeStart w:id="9"/>
      <w:commentRangeStart w:id="10"/>
      <w:r w:rsidRPr="00B8530F">
        <w:rPr>
          <w:rFonts w:ascii="Calibri" w:eastAsia="Malgun Gothic" w:hAnsi="Calibri" w:cs="Calibri"/>
          <w:sz w:val="20"/>
          <w:szCs w:val="20"/>
          <w:lang w:eastAsia="ko-KR"/>
        </w:rPr>
        <w:t>mission setting. The dotted contour indicates combinations of entry timing and travel duration at which the posterior probability that the DALY BRR exceeds 1 is 50%.</w:t>
      </w:r>
      <w:commentRangeEnd w:id="8"/>
      <w:r>
        <w:rPr>
          <w:rStyle w:val="CommentReference"/>
          <w:rFonts w:ascii="Calibri" w:eastAsia="Malgun Gothic" w:hAnsi="Calibri" w:cs="Calibri"/>
          <w:sz w:val="20"/>
          <w:szCs w:val="20"/>
          <w:lang w:eastAsia="ko-KR"/>
        </w:rPr>
        <w:commentReference w:id="8"/>
      </w:r>
      <w:commentRangeEnd w:id="9"/>
      <w:r>
        <w:rPr>
          <w:rStyle w:val="CommentReference"/>
          <w:rFonts w:ascii="Calibri" w:eastAsia="Malgun Gothic" w:hAnsi="Calibri" w:cs="Calibri"/>
          <w:sz w:val="20"/>
          <w:szCs w:val="20"/>
          <w:lang w:eastAsia="ko-KR"/>
        </w:rPr>
        <w:commentReference w:id="9"/>
      </w:r>
      <w:commentRangeEnd w:id="10"/>
      <w:r w:rsidR="002F2B61">
        <w:rPr>
          <w:rStyle w:val="CommentReference"/>
          <w:rFonts w:ascii="Calibri" w:eastAsia="Malgun Gothic" w:hAnsi="Calibri" w:cs="Calibri"/>
          <w:sz w:val="20"/>
          <w:szCs w:val="20"/>
          <w:lang w:eastAsia="ko-KR"/>
        </w:rPr>
        <w:commentReference w:id="10"/>
      </w:r>
    </w:p>
    <w:p w14:paraId="63156440" w14:textId="77777777" w:rsidR="009C1799" w:rsidRPr="00B8530F" w:rsidRDefault="009C1799" w:rsidP="00B8530F">
      <w:pPr>
        <w:rPr>
          <w:rFonts w:hint="eastAsia"/>
        </w:rPr>
      </w:pPr>
    </w:p>
    <w:p w14:paraId="345CA294" w14:textId="35684041" w:rsidR="00723E88" w:rsidRPr="00723E88" w:rsidRDefault="005A1C30" w:rsidP="00723E88">
      <w:pPr>
        <w:spacing w:line="276" w:lineRule="auto"/>
        <w:rPr>
          <w:rFonts w:ascii="Calibri" w:eastAsia="Malgun Gothic" w:hAnsi="Calibri" w:cs="Calibri"/>
          <w:lang w:eastAsia="ko-KR"/>
        </w:rPr>
      </w:pPr>
      <w:r>
        <w:rPr>
          <w:noProof/>
        </w:rPr>
        <w:lastRenderedPageBreak/>
        <w:drawing>
          <wp:inline distT="0" distB="0" distL="0" distR="0" wp14:anchorId="241EB305" wp14:editId="1858744A">
            <wp:extent cx="8351520" cy="5314315"/>
            <wp:effectExtent l="0" t="0" r="0" b="635"/>
            <wp:docPr id="7494265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351520" cy="5314315"/>
                    </a:xfrm>
                    <a:prstGeom prst="rect">
                      <a:avLst/>
                    </a:prstGeom>
                    <a:noFill/>
                    <a:ln>
                      <a:noFill/>
                    </a:ln>
                  </pic:spPr>
                </pic:pic>
              </a:graphicData>
            </a:graphic>
          </wp:inline>
        </w:drawing>
      </w:r>
    </w:p>
    <w:p w14:paraId="356F78D7" w14:textId="4700CC1B" w:rsidR="00AE3D7F" w:rsidRPr="00B8530F" w:rsidRDefault="00AE3D7F" w:rsidP="00B8530F">
      <w:pPr>
        <w:spacing w:line="276" w:lineRule="auto"/>
        <w:rPr>
          <w:rStyle w:val="IntenseEmphasis"/>
          <w:rFonts w:ascii="Calibri" w:eastAsia="Malgun Gothic" w:hAnsi="Calibri" w:cs="Calibri"/>
          <w:i w:val="0"/>
          <w:color w:val="auto"/>
          <w:lang w:eastAsia="ko-KR"/>
        </w:rPr>
        <w:sectPr w:rsidR="00AE3D7F" w:rsidRPr="00B8530F" w:rsidSect="00B8530F">
          <w:pgSz w:w="16838" w:h="11906" w:orient="landscape"/>
          <w:pgMar w:top="1699" w:right="1699" w:bottom="1699" w:left="1987" w:header="720" w:footer="720" w:gutter="0"/>
          <w:lnNumType w:countBy="5" w:restart="continuous"/>
          <w:cols w:space="720"/>
          <w:docGrid w:linePitch="360"/>
        </w:sectPr>
      </w:pPr>
    </w:p>
    <w:p w14:paraId="4752FAA3" w14:textId="636164D3" w:rsidR="00AE3D7F" w:rsidRPr="00726F83" w:rsidRDefault="00AE3D7F" w:rsidP="00726F83">
      <w:pPr>
        <w:pStyle w:val="Caption"/>
        <w:rPr>
          <w:rFonts w:ascii="Calibri" w:eastAsia="Malgun Gothic" w:hAnsi="Calibri" w:cs="Calibri"/>
          <w:sz w:val="22"/>
          <w:szCs w:val="22"/>
          <w:lang w:eastAsia="ko-KR"/>
        </w:rPr>
      </w:pPr>
      <w:r w:rsidRPr="00726F83">
        <w:rPr>
          <w:b/>
          <w:bCs/>
          <w:sz w:val="22"/>
          <w:szCs w:val="22"/>
        </w:rPr>
        <w:lastRenderedPageBreak/>
        <w:t xml:space="preserve">Figure </w:t>
      </w:r>
      <w:r w:rsidRPr="00726F83">
        <w:rPr>
          <w:b/>
          <w:bCs/>
          <w:sz w:val="22"/>
          <w:szCs w:val="22"/>
        </w:rPr>
        <w:fldChar w:fldCharType="begin"/>
      </w:r>
      <w:r w:rsidRPr="00726F83">
        <w:rPr>
          <w:b/>
          <w:bCs/>
          <w:sz w:val="22"/>
          <w:szCs w:val="22"/>
        </w:rPr>
        <w:instrText xml:space="preserve"> SEQ Figure \* ARABIC </w:instrText>
      </w:r>
      <w:r w:rsidRPr="00726F83">
        <w:rPr>
          <w:b/>
          <w:bCs/>
          <w:sz w:val="22"/>
          <w:szCs w:val="22"/>
        </w:rPr>
        <w:fldChar w:fldCharType="separate"/>
      </w:r>
      <w:r w:rsidR="000D2411">
        <w:rPr>
          <w:b/>
          <w:bCs/>
          <w:noProof/>
          <w:sz w:val="22"/>
          <w:szCs w:val="22"/>
        </w:rPr>
        <w:t>2</w:t>
      </w:r>
      <w:r w:rsidRPr="00726F83">
        <w:rPr>
          <w:b/>
          <w:bCs/>
          <w:sz w:val="22"/>
          <w:szCs w:val="22"/>
        </w:rPr>
        <w:fldChar w:fldCharType="end"/>
      </w:r>
      <w:r w:rsidRPr="00726F83">
        <w:rPr>
          <w:rFonts w:ascii="Calibri" w:eastAsia="Malgun Gothic" w:hAnsi="Calibri" w:cs="Calibri" w:hint="eastAsia"/>
          <w:b/>
          <w:bCs/>
          <w:sz w:val="22"/>
          <w:szCs w:val="22"/>
          <w:lang w:eastAsia="ko-KR"/>
        </w:rPr>
        <w:t xml:space="preserve"> </w:t>
      </w:r>
      <w:r w:rsidRPr="00726F83">
        <w:rPr>
          <w:rFonts w:ascii="Calibri" w:eastAsia="Malgun Gothic" w:hAnsi="Calibri" w:cs="Calibri"/>
          <w:b/>
          <w:bCs/>
          <w:sz w:val="22"/>
          <w:szCs w:val="22"/>
          <w:lang w:eastAsia="ko-KR"/>
        </w:rPr>
        <w:t xml:space="preserve">| </w:t>
      </w:r>
      <w:r w:rsidRPr="00E8669F">
        <w:rPr>
          <w:rFonts w:ascii="Calibri" w:eastAsia="Malgun Gothic" w:hAnsi="Calibri" w:cs="Calibri"/>
          <w:b/>
          <w:bCs/>
          <w:sz w:val="22"/>
          <w:szCs w:val="22"/>
          <w:lang w:eastAsia="ko-KR"/>
        </w:rPr>
        <w:t>DALY benefit–risk of outbreak-response immunisation across protection mechanisms and campaign timing</w:t>
      </w:r>
      <w:r w:rsidRPr="00726F83">
        <w:rPr>
          <w:rFonts w:ascii="Calibri" w:eastAsia="Malgun Gothic" w:hAnsi="Calibri" w:cs="Calibri" w:hint="eastAsia"/>
          <w:sz w:val="22"/>
          <w:szCs w:val="22"/>
          <w:lang w:eastAsia="ko-KR"/>
        </w:rPr>
        <w:t xml:space="preserve">. </w:t>
      </w:r>
      <w:r>
        <w:rPr>
          <w:rFonts w:ascii="Calibri" w:eastAsia="Malgun Gothic" w:hAnsi="Calibri" w:cs="Calibri" w:hint="eastAsia"/>
          <w:b/>
          <w:bCs/>
          <w:sz w:val="22"/>
          <w:szCs w:val="22"/>
          <w:lang w:eastAsia="ko-KR"/>
        </w:rPr>
        <w:t>A.</w:t>
      </w:r>
      <w:r w:rsidRPr="002016B1">
        <w:rPr>
          <w:rFonts w:ascii="Calibri" w:eastAsia="Malgun Gothic" w:hAnsi="Calibri" w:cs="Calibri"/>
          <w:sz w:val="22"/>
          <w:szCs w:val="22"/>
          <w:lang w:eastAsia="ko-KR"/>
        </w:rPr>
        <w:t xml:space="preserve"> DALYs averted versus vaccine-associated DALYs under the reference campaign scenario (week 2 initiation, 50% coverage), shown by protection mechanism, age group, transmission setting and risk assumption. The dashed diagonal indicates equal benefit and risk. </w:t>
      </w:r>
      <w:commentRangeStart w:id="11"/>
      <w:r>
        <w:rPr>
          <w:rFonts w:ascii="Calibri" w:eastAsia="Malgun Gothic" w:hAnsi="Calibri" w:cs="Calibri" w:hint="eastAsia"/>
          <w:b/>
          <w:bCs/>
          <w:sz w:val="22"/>
          <w:szCs w:val="22"/>
          <w:lang w:eastAsia="ko-KR"/>
        </w:rPr>
        <w:t>B.</w:t>
      </w:r>
      <w:r w:rsidRPr="002016B1">
        <w:rPr>
          <w:rFonts w:ascii="Calibri" w:eastAsia="Malgun Gothic" w:hAnsi="Calibri" w:cs="Calibri"/>
          <w:sz w:val="22"/>
          <w:szCs w:val="22"/>
          <w:lang w:eastAsia="ko-KR"/>
        </w:rPr>
        <w:t xml:space="preserve"> Median DALY benefit</w:t>
      </w:r>
      <w:r>
        <w:rPr>
          <w:rFonts w:ascii="Calibri" w:eastAsia="Malgun Gothic" w:hAnsi="Calibri" w:cs="Calibri" w:hint="eastAsia"/>
          <w:sz w:val="22"/>
          <w:szCs w:val="22"/>
          <w:lang w:eastAsia="ko-KR"/>
        </w:rPr>
        <w:t>-</w:t>
      </w:r>
      <w:r w:rsidRPr="002016B1">
        <w:rPr>
          <w:rFonts w:ascii="Calibri" w:eastAsia="Malgun Gothic" w:hAnsi="Calibri" w:cs="Calibri"/>
          <w:sz w:val="22"/>
          <w:szCs w:val="22"/>
          <w:lang w:eastAsia="ko-KR"/>
        </w:rPr>
        <w:t>risk ratio according to infection risk remaining after campaign initiation.</w:t>
      </w:r>
      <w:commentRangeEnd w:id="11"/>
      <w:r w:rsidRPr="00726F83">
        <w:rPr>
          <w:rStyle w:val="CommentReference"/>
          <w:rFonts w:ascii="Calibri" w:eastAsia="Malgun Gothic" w:hAnsi="Calibri" w:cs="Calibri"/>
          <w:sz w:val="22"/>
          <w:szCs w:val="22"/>
          <w:lang w:eastAsia="ko-KR"/>
        </w:rPr>
        <w:commentReference w:id="11"/>
      </w:r>
    </w:p>
    <w:p w14:paraId="4AD431F9" w14:textId="723048C5" w:rsidR="00AB6585" w:rsidRPr="00AB6585" w:rsidRDefault="00AB6585" w:rsidP="00AB6585">
      <w:pPr>
        <w:spacing w:line="276" w:lineRule="auto"/>
        <w:rPr>
          <w:rFonts w:ascii="Calibri" w:eastAsia="Malgun Gothic" w:hAnsi="Calibri" w:cs="Calibri"/>
          <w:lang w:eastAsia="ko-KR"/>
        </w:rPr>
      </w:pPr>
      <w:r w:rsidRPr="00AB6585">
        <w:rPr>
          <w:rFonts w:ascii="Calibri" w:eastAsia="Malgun Gothic" w:hAnsi="Calibri" w:cs="Calibri"/>
          <w:noProof/>
          <w:lang w:eastAsia="ko-KR"/>
        </w:rPr>
        <w:drawing>
          <wp:inline distT="0" distB="0" distL="0" distR="0" wp14:anchorId="5D777519" wp14:editId="460DE5EF">
            <wp:extent cx="5762846" cy="5762846"/>
            <wp:effectExtent l="0" t="0" r="9525" b="9525"/>
            <wp:docPr id="1703742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6905" cy="5766905"/>
                    </a:xfrm>
                    <a:prstGeom prst="rect">
                      <a:avLst/>
                    </a:prstGeom>
                    <a:noFill/>
                    <a:ln>
                      <a:noFill/>
                    </a:ln>
                  </pic:spPr>
                </pic:pic>
              </a:graphicData>
            </a:graphic>
          </wp:inline>
        </w:drawing>
      </w:r>
    </w:p>
    <w:p w14:paraId="55661335" w14:textId="498DFAE4" w:rsidR="00AE3D7F" w:rsidRPr="00416468" w:rsidRDefault="00AE3D7F" w:rsidP="00416468">
      <w:pPr>
        <w:spacing w:line="276" w:lineRule="auto"/>
        <w:rPr>
          <w:rFonts w:ascii="Calibri" w:eastAsia="Malgun Gothic" w:hAnsi="Calibri" w:cs="Calibri"/>
          <w:lang w:eastAsia="ko-KR"/>
        </w:rPr>
      </w:pPr>
    </w:p>
    <w:p w14:paraId="47FBC9D8" w14:textId="77777777" w:rsidR="00AE3D7F" w:rsidRPr="00A808C7" w:rsidRDefault="00AE3D7F" w:rsidP="00A808C7">
      <w:pPr>
        <w:spacing w:line="276" w:lineRule="auto"/>
        <w:rPr>
          <w:rFonts w:ascii="Calibri" w:eastAsia="Malgun Gothic" w:hAnsi="Calibri" w:cs="Calibri"/>
          <w:lang w:eastAsia="ko-KR"/>
        </w:rPr>
      </w:pPr>
    </w:p>
    <w:p w14:paraId="217B4B65" w14:textId="77777777" w:rsidR="00AE3D7F" w:rsidRDefault="00AE3D7F" w:rsidP="005B1380">
      <w:pPr>
        <w:spacing w:line="276" w:lineRule="auto"/>
        <w:rPr>
          <w:rFonts w:ascii="Calibri" w:eastAsia="Malgun Gothic" w:hAnsi="Calibri" w:cs="Calibri"/>
          <w:lang w:eastAsia="ko-KR"/>
        </w:rPr>
        <w:sectPr w:rsidR="00AE3D7F" w:rsidSect="00AE3D7F">
          <w:pgSz w:w="11906" w:h="16838"/>
          <w:pgMar w:top="1987" w:right="1699" w:bottom="1699" w:left="1699" w:header="720" w:footer="720" w:gutter="0"/>
          <w:lnNumType w:countBy="5" w:restart="continuous"/>
          <w:cols w:space="720"/>
          <w:docGrid w:linePitch="360"/>
        </w:sectPr>
      </w:pPr>
    </w:p>
    <w:p w14:paraId="12083910" w14:textId="77777777" w:rsidR="00AE3D7F" w:rsidRPr="006F7364" w:rsidRDefault="00AE3D7F" w:rsidP="006F7364">
      <w:pPr>
        <w:spacing w:line="276" w:lineRule="auto"/>
        <w:rPr>
          <w:rFonts w:ascii="Calibri" w:eastAsia="Malgun Gothic" w:hAnsi="Calibri" w:cs="Calibri"/>
          <w:lang w:eastAsia="ko-KR"/>
        </w:rPr>
      </w:pPr>
      <w:r w:rsidRPr="006F7364">
        <w:rPr>
          <w:rFonts w:ascii="Calibri" w:eastAsia="Malgun Gothic" w:hAnsi="Calibri" w:cs="Calibri"/>
          <w:noProof/>
          <w:lang w:eastAsia="ko-KR"/>
        </w:rPr>
        <w:lastRenderedPageBreak/>
        <w:drawing>
          <wp:inline distT="0" distB="0" distL="0" distR="0" wp14:anchorId="6D57451C" wp14:editId="48033B48">
            <wp:extent cx="8351520" cy="4935220"/>
            <wp:effectExtent l="0" t="0" r="0" b="0"/>
            <wp:docPr id="59709181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351520" cy="4935220"/>
                    </a:xfrm>
                    <a:prstGeom prst="rect">
                      <a:avLst/>
                    </a:prstGeom>
                    <a:noFill/>
                    <a:ln>
                      <a:noFill/>
                    </a:ln>
                  </pic:spPr>
                </pic:pic>
              </a:graphicData>
            </a:graphic>
          </wp:inline>
        </w:drawing>
      </w:r>
    </w:p>
    <w:p w14:paraId="6081C658" w14:textId="77777777" w:rsidR="00AE3D7F" w:rsidRPr="00714A0F" w:rsidRDefault="00AE3D7F" w:rsidP="00714A0F">
      <w:pPr>
        <w:spacing w:line="276" w:lineRule="auto"/>
        <w:rPr>
          <w:rFonts w:ascii="Calibri" w:eastAsia="Malgun Gothic" w:hAnsi="Calibri" w:cs="Calibri"/>
          <w:lang w:eastAsia="ko-KR"/>
        </w:rPr>
      </w:pPr>
    </w:p>
    <w:p w14:paraId="6DA30C43" w14:textId="77777777" w:rsidR="00AE3D7F" w:rsidRDefault="00AE3D7F" w:rsidP="00AC5C2F">
      <w:pPr>
        <w:spacing w:line="276" w:lineRule="auto"/>
        <w:rPr>
          <w:rFonts w:ascii="Calibri" w:eastAsia="Malgun Gothic" w:hAnsi="Calibri" w:cs="Calibri"/>
          <w:lang w:eastAsia="ko-KR"/>
        </w:rPr>
        <w:sectPr w:rsidR="00AE3D7F" w:rsidSect="00AE3D7F">
          <w:pgSz w:w="16838" w:h="11906" w:orient="landscape"/>
          <w:pgMar w:top="1699" w:right="1699" w:bottom="1699" w:left="1987" w:header="720" w:footer="720" w:gutter="0"/>
          <w:lnNumType w:countBy="5" w:restart="continuous"/>
          <w:cols w:space="720"/>
          <w:docGrid w:linePitch="360"/>
        </w:sectPr>
      </w:pPr>
    </w:p>
    <w:p w14:paraId="231A4E91" w14:textId="64709DE9" w:rsidR="00AE3D7F" w:rsidRPr="00BA25F7" w:rsidRDefault="00AE3D7F" w:rsidP="00BA25F7">
      <w:pPr>
        <w:pStyle w:val="Caption"/>
        <w:keepNext/>
        <w:rPr>
          <w:rFonts w:ascii="Calibri" w:eastAsia="Malgun Gothic" w:hAnsi="Calibri" w:cs="Calibri"/>
          <w:b/>
          <w:bCs/>
          <w:sz w:val="22"/>
          <w:szCs w:val="22"/>
          <w:lang w:val="en-US" w:eastAsia="ko-KR"/>
        </w:rPr>
      </w:pPr>
      <w:r w:rsidRPr="00BA25F7">
        <w:rPr>
          <w:b/>
          <w:bCs/>
          <w:sz w:val="22"/>
          <w:szCs w:val="22"/>
        </w:rPr>
        <w:lastRenderedPageBreak/>
        <w:t xml:space="preserve">Table </w:t>
      </w:r>
      <w:r w:rsidRPr="00BA25F7">
        <w:rPr>
          <w:b/>
          <w:bCs/>
          <w:sz w:val="22"/>
          <w:szCs w:val="22"/>
        </w:rPr>
        <w:fldChar w:fldCharType="begin"/>
      </w:r>
      <w:r w:rsidRPr="00BA25F7">
        <w:rPr>
          <w:b/>
          <w:bCs/>
          <w:sz w:val="22"/>
          <w:szCs w:val="22"/>
        </w:rPr>
        <w:instrText xml:space="preserve"> SEQ Table \* ARABIC </w:instrText>
      </w:r>
      <w:r w:rsidRPr="00BA25F7">
        <w:rPr>
          <w:b/>
          <w:bCs/>
          <w:sz w:val="22"/>
          <w:szCs w:val="22"/>
        </w:rPr>
        <w:fldChar w:fldCharType="separate"/>
      </w:r>
      <w:r w:rsidR="000D2411">
        <w:rPr>
          <w:b/>
          <w:bCs/>
          <w:noProof/>
          <w:sz w:val="22"/>
          <w:szCs w:val="22"/>
        </w:rPr>
        <w:t>1</w:t>
      </w:r>
      <w:r w:rsidRPr="00BA25F7">
        <w:rPr>
          <w:b/>
          <w:bCs/>
          <w:sz w:val="22"/>
          <w:szCs w:val="22"/>
        </w:rPr>
        <w:fldChar w:fldCharType="end"/>
      </w:r>
      <w:r w:rsidRPr="00BA25F7">
        <w:rPr>
          <w:rFonts w:ascii="Calibri" w:eastAsia="Malgun Gothic" w:hAnsi="Calibri" w:cs="Calibri" w:hint="eastAsia"/>
          <w:b/>
          <w:bCs/>
          <w:i w:val="0"/>
          <w:iCs w:val="0"/>
          <w:color w:val="auto"/>
          <w:sz w:val="22"/>
          <w:szCs w:val="22"/>
          <w:lang w:eastAsia="ko-KR"/>
        </w:rPr>
        <w:t xml:space="preserve"> </w:t>
      </w:r>
      <w:r w:rsidRPr="00285AC6">
        <w:rPr>
          <w:rFonts w:ascii="Calibri" w:eastAsia="Malgun Gothic" w:hAnsi="Calibri" w:cs="Calibri"/>
          <w:b/>
          <w:bCs/>
          <w:sz w:val="22"/>
          <w:szCs w:val="22"/>
          <w:lang w:eastAsia="ko-KR"/>
        </w:rPr>
        <w:t>Travel-vaccination DALY benefits, risks and benefit</w:t>
      </w:r>
      <w:r>
        <w:rPr>
          <w:rFonts w:ascii="Calibri" w:eastAsia="Malgun Gothic" w:hAnsi="Calibri" w:cs="Calibri" w:hint="eastAsia"/>
          <w:b/>
          <w:bCs/>
          <w:sz w:val="22"/>
          <w:szCs w:val="22"/>
          <w:lang w:eastAsia="ko-KR"/>
        </w:rPr>
        <w:t>-</w:t>
      </w:r>
      <w:r w:rsidRPr="00285AC6">
        <w:rPr>
          <w:rFonts w:ascii="Calibri" w:eastAsia="Malgun Gothic" w:hAnsi="Calibri" w:cs="Calibri"/>
          <w:b/>
          <w:bCs/>
          <w:sz w:val="22"/>
          <w:szCs w:val="22"/>
          <w:lang w:eastAsia="ko-KR"/>
        </w:rPr>
        <w:t>risk ratios pooled across entry timing, by travel duration, transmission setting and age group.</w:t>
      </w:r>
    </w:p>
    <w:tbl>
      <w:tblPr>
        <w:tblW w:w="5000" w:type="pct"/>
        <w:jc w:val="center"/>
        <w:tblLook w:val="0420" w:firstRow="1" w:lastRow="0" w:firstColumn="0" w:lastColumn="0" w:noHBand="0" w:noVBand="1"/>
      </w:tblPr>
      <w:tblGrid>
        <w:gridCol w:w="876"/>
        <w:gridCol w:w="697"/>
        <w:gridCol w:w="916"/>
        <w:gridCol w:w="968"/>
        <w:gridCol w:w="918"/>
        <w:gridCol w:w="916"/>
        <w:gridCol w:w="968"/>
        <w:gridCol w:w="971"/>
        <w:gridCol w:w="916"/>
        <w:gridCol w:w="968"/>
        <w:gridCol w:w="971"/>
        <w:gridCol w:w="968"/>
        <w:gridCol w:w="969"/>
        <w:gridCol w:w="1130"/>
      </w:tblGrid>
      <w:tr w:rsidR="00AE3D7F" w14:paraId="10BC1493" w14:textId="77777777" w:rsidTr="00A25193">
        <w:trPr>
          <w:tblHeader/>
          <w:jc w:val="center"/>
        </w:trPr>
        <w:tc>
          <w:tcPr>
            <w:tcW w:w="24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344DDA1"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272"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3F731DE"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1086"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D40FD51"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7d</w:t>
            </w:r>
          </w:p>
        </w:tc>
        <w:tc>
          <w:tcPr>
            <w:tcW w:w="1106"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1430D4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14d</w:t>
            </w:r>
          </w:p>
        </w:tc>
        <w:tc>
          <w:tcPr>
            <w:tcW w:w="1106"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4622CFF"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30d</w:t>
            </w:r>
          </w:p>
        </w:tc>
        <w:tc>
          <w:tcPr>
            <w:tcW w:w="1186" w:type="pct"/>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5650D4E"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90d</w:t>
            </w:r>
          </w:p>
        </w:tc>
      </w:tr>
      <w:tr w:rsidR="00AE3D7F" w14:paraId="501C3E19" w14:textId="77777777" w:rsidTr="00A25193">
        <w:trPr>
          <w:tblHeader/>
          <w:jc w:val="center"/>
        </w:trPr>
        <w:tc>
          <w:tcPr>
            <w:tcW w:w="2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DF77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Pr>
                <w:rFonts w:ascii="Arial" w:eastAsia="Arial" w:hAnsi="Arial" w:cs="Arial"/>
                <w:b/>
                <w:color w:val="000000"/>
                <w:sz w:val="16"/>
                <w:szCs w:val="16"/>
              </w:rPr>
              <w:t>Setting</w:t>
            </w:r>
          </w:p>
        </w:tc>
        <w:tc>
          <w:tcPr>
            <w:tcW w:w="27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B3C3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Pr>
                <w:rFonts w:ascii="Arial" w:eastAsia="Arial" w:hAnsi="Arial" w:cs="Arial"/>
                <w:b/>
                <w:color w:val="000000"/>
                <w:sz w:val="16"/>
                <w:szCs w:val="16"/>
              </w:rPr>
              <w:t>Age group</w:t>
            </w:r>
          </w:p>
        </w:tc>
        <w:tc>
          <w:tcPr>
            <w:tcW w:w="35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1D55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2F9E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5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AA1D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5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04791"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66CE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DA5A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5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7C9AF"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1214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59CE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1C933"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707D9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43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F28C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r>
      <w:tr w:rsidR="00AE3D7F" w14:paraId="7DBE8DBA" w14:textId="77777777" w:rsidTr="00A25193">
        <w:trPr>
          <w:jc w:val="center"/>
        </w:trPr>
        <w:tc>
          <w:tcPr>
            <w:tcW w:w="24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71CD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Low</w:t>
            </w:r>
          </w:p>
        </w:tc>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9990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07B3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(0.01–0.33)</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4708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DF30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 (0.07–2.74)</w:t>
            </w:r>
          </w:p>
        </w:tc>
        <w:tc>
          <w:tcPr>
            <w:tcW w:w="35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1941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(0.02–0.68)</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BC91F"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F60A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0.72 (0.14–5.58)</w:t>
            </w:r>
          </w:p>
        </w:tc>
        <w:tc>
          <w:tcPr>
            <w:tcW w:w="35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C084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(0.06–1.53)</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6D10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D074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1.55 (0.31–12.68)</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D088E"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0.71 (0.21–5.46)</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20A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7929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5.05 (1.15–45.29)</w:t>
            </w:r>
          </w:p>
        </w:tc>
      </w:tr>
      <w:tr w:rsidR="00AE3D7F" w14:paraId="0593115F" w14:textId="77777777" w:rsidTr="00A25193">
        <w:trPr>
          <w:jc w:val="center"/>
        </w:trPr>
        <w:tc>
          <w:tcPr>
            <w:tcW w:w="24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01C9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5CF2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9068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(0.01–0.35)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359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3BA9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 (0.00–0.11)</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94F47"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(0.02–0.73)</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214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0430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 (0.00–0.23)</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8A7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(0.05–1.60)</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8533"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3BA5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(0.01–0.53)</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F5F2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0.73 (0.19–5.72)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2886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7AF7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 (0.02–1.81)</w:t>
            </w:r>
          </w:p>
        </w:tc>
      </w:tr>
      <w:tr w:rsidR="00AE3D7F" w14:paraId="018D5D0C" w14:textId="77777777" w:rsidTr="00A25193">
        <w:trPr>
          <w:jc w:val="center"/>
        </w:trPr>
        <w:tc>
          <w:tcPr>
            <w:tcW w:w="24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E1245"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Moderate</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FDA14"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F23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(0.04–0.25)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2876B"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E06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0.69 (0.23–2.14)</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987D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(0.09–0.51)</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BEE3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F4C1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1.42 (0.49–4.48)</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DA9B"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0.52 (0.21–1.24)</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0292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7838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3.30 (1.10–10.20)</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9B05"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2.44 (0.81–6.69)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10C0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09B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15.75 (4.43–57.12)</w:t>
            </w:r>
          </w:p>
        </w:tc>
      </w:tr>
      <w:tr w:rsidR="00AE3D7F" w14:paraId="6262AB04" w14:textId="77777777" w:rsidTr="00A25193">
        <w:trPr>
          <w:jc w:val="center"/>
        </w:trPr>
        <w:tc>
          <w:tcPr>
            <w:tcW w:w="24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7507B"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73E3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AF73F"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 (0.03–0.27)</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089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32D3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 (0.00–0.09)</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ADAC5"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(0.08–0.54)</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7831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0D27"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 (0.01–0.19)</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E7E6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0.51 (0.19–1.24)</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47BE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22D34"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 (0.02–0.45)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CE71B"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2.43 (0.67–6.82)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AA7A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EE8B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 (0.08–2.42)</w:t>
            </w:r>
          </w:p>
        </w:tc>
      </w:tr>
      <w:tr w:rsidR="00AE3D7F" w14:paraId="69549CAD" w14:textId="77777777" w:rsidTr="00A25193">
        <w:trPr>
          <w:jc w:val="center"/>
        </w:trPr>
        <w:tc>
          <w:tcPr>
            <w:tcW w:w="24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479FED"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High</w:t>
            </w:r>
          </w:p>
        </w:tc>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F416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C10DC"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0.24 (0.03–0.78)</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B3F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081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1.49 (0.20–6.40)</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096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0.51 (0.07–1.62)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4DDAE"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9429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3.21 (0.42–13.94)</w:t>
            </w:r>
          </w:p>
        </w:tc>
        <w:tc>
          <w:tcPr>
            <w:tcW w:w="35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B6CF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1.28 (0.20–3.99)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6991"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197A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7.97 (1.13–33.69)</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8915"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6.87 (1.81–18.48)</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EB2F0"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35F8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44.38 (10.58–156.22)</w:t>
            </w:r>
          </w:p>
        </w:tc>
      </w:tr>
      <w:tr w:rsidR="00AE3D7F" w14:paraId="7EEA56AF" w14:textId="77777777" w:rsidTr="00A25193">
        <w:trPr>
          <w:jc w:val="center"/>
        </w:trPr>
        <w:tc>
          <w:tcPr>
            <w:tcW w:w="24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E0B8292"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A9D0031"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1D3A09"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(0.03–0.83)</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823C3"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0EE65"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 (0.00–0.27)</w:t>
            </w:r>
          </w:p>
        </w:tc>
        <w:tc>
          <w:tcPr>
            <w:tcW w:w="35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66A97"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0.50 (0.07–1.70)</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3EACA"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3093F"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 (0.01–0.53)</w:t>
            </w:r>
          </w:p>
        </w:tc>
        <w:tc>
          <w:tcPr>
            <w:tcW w:w="35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682C4"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1.23 (0.18–4.10)</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35A9E"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828D4"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(0.03–1.37)</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232728"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6.92 (1.68–19.42)</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F0B6"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C6564" w14:textId="77777777" w:rsidR="00AE3D7F" w:rsidRDefault="00AE3D7F"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1.30 (0.22–6.31)</w:t>
            </w:r>
          </w:p>
        </w:tc>
      </w:tr>
    </w:tbl>
    <w:p w14:paraId="7F0C81F7" w14:textId="77777777" w:rsidR="00AE3D7F" w:rsidRDefault="00AE3D7F" w:rsidP="00AC5C2F">
      <w:pPr>
        <w:spacing w:line="276" w:lineRule="auto"/>
        <w:rPr>
          <w:rFonts w:ascii="Calibri" w:eastAsia="Malgun Gothic" w:hAnsi="Calibri" w:cs="Calibri"/>
          <w:lang w:eastAsia="ko-KR"/>
        </w:rPr>
      </w:pPr>
    </w:p>
    <w:p w14:paraId="1DE2CD74" w14:textId="77777777" w:rsidR="00AE3D7F" w:rsidRDefault="00AE3D7F" w:rsidP="00AC5C2F">
      <w:pPr>
        <w:spacing w:line="276" w:lineRule="auto"/>
        <w:rPr>
          <w:rFonts w:ascii="Calibri" w:eastAsia="Malgun Gothic" w:hAnsi="Calibri" w:cs="Calibri"/>
          <w:lang w:eastAsia="ko-KR"/>
        </w:rPr>
      </w:pPr>
    </w:p>
    <w:p w14:paraId="20F0A433" w14:textId="77777777" w:rsidR="00AE3D7F" w:rsidRDefault="00AE3D7F" w:rsidP="00AC5C2F">
      <w:pPr>
        <w:spacing w:line="276" w:lineRule="auto"/>
        <w:rPr>
          <w:rFonts w:ascii="Calibri" w:eastAsia="Malgun Gothic" w:hAnsi="Calibri" w:cs="Calibri"/>
          <w:lang w:eastAsia="ko-KR"/>
        </w:rPr>
      </w:pPr>
    </w:p>
    <w:p w14:paraId="4AD7EFD3" w14:textId="40DAFB7C" w:rsidR="00AE3D7F" w:rsidRPr="004E19DC" w:rsidRDefault="00AE3D7F" w:rsidP="00FB3238">
      <w:pPr>
        <w:pStyle w:val="Caption"/>
        <w:keepNext/>
        <w:rPr>
          <w:rFonts w:ascii="Calibri" w:eastAsia="Malgun Gothic" w:hAnsi="Calibri" w:cs="Calibri"/>
          <w:sz w:val="22"/>
          <w:szCs w:val="22"/>
          <w:lang w:eastAsia="ko-KR"/>
        </w:rPr>
      </w:pPr>
      <w:r w:rsidRPr="00FB3238">
        <w:rPr>
          <w:b/>
          <w:bCs/>
          <w:sz w:val="22"/>
          <w:szCs w:val="22"/>
        </w:rPr>
        <w:lastRenderedPageBreak/>
        <w:t xml:space="preserve">Table </w:t>
      </w:r>
      <w:r w:rsidRPr="00FB3238">
        <w:rPr>
          <w:b/>
          <w:bCs/>
          <w:sz w:val="22"/>
          <w:szCs w:val="22"/>
        </w:rPr>
        <w:fldChar w:fldCharType="begin"/>
      </w:r>
      <w:r w:rsidRPr="00FB3238">
        <w:rPr>
          <w:b/>
          <w:bCs/>
          <w:sz w:val="22"/>
          <w:szCs w:val="22"/>
        </w:rPr>
        <w:instrText xml:space="preserve"> SEQ Table \* ARABIC </w:instrText>
      </w:r>
      <w:r w:rsidRPr="00FB3238">
        <w:rPr>
          <w:b/>
          <w:bCs/>
          <w:sz w:val="22"/>
          <w:szCs w:val="22"/>
        </w:rPr>
        <w:fldChar w:fldCharType="separate"/>
      </w:r>
      <w:r w:rsidR="000D2411">
        <w:rPr>
          <w:b/>
          <w:bCs/>
          <w:noProof/>
          <w:sz w:val="22"/>
          <w:szCs w:val="22"/>
        </w:rPr>
        <w:t>2</w:t>
      </w:r>
      <w:r w:rsidRPr="00FB3238">
        <w:rPr>
          <w:b/>
          <w:bCs/>
          <w:sz w:val="22"/>
          <w:szCs w:val="22"/>
        </w:rPr>
        <w:fldChar w:fldCharType="end"/>
      </w:r>
      <w:r w:rsidRPr="00FB3238">
        <w:rPr>
          <w:rFonts w:ascii="Calibri" w:eastAsia="Malgun Gothic" w:hAnsi="Calibri" w:cs="Calibri" w:hint="eastAsia"/>
          <w:b/>
          <w:bCs/>
          <w:i w:val="0"/>
          <w:iCs w:val="0"/>
          <w:color w:val="auto"/>
          <w:sz w:val="22"/>
          <w:szCs w:val="22"/>
          <w:lang w:eastAsia="ko-KR"/>
        </w:rPr>
        <w:t xml:space="preserve"> </w:t>
      </w:r>
      <w:r w:rsidRPr="00D83ECA">
        <w:rPr>
          <w:rFonts w:ascii="Calibri" w:eastAsia="Malgun Gothic" w:hAnsi="Calibri" w:cs="Calibri"/>
          <w:b/>
          <w:bCs/>
          <w:sz w:val="22"/>
          <w:szCs w:val="22"/>
          <w:lang w:eastAsia="ko-KR"/>
        </w:rPr>
        <w:t>DALY benefits, risks and benefit</w:t>
      </w:r>
      <w:r>
        <w:rPr>
          <w:rFonts w:ascii="Calibri" w:eastAsia="Malgun Gothic" w:hAnsi="Calibri" w:cs="Calibri" w:hint="eastAsia"/>
          <w:b/>
          <w:bCs/>
          <w:sz w:val="22"/>
          <w:szCs w:val="22"/>
          <w:lang w:eastAsia="ko-KR"/>
        </w:rPr>
        <w:t>-</w:t>
      </w:r>
      <w:r w:rsidRPr="00D83ECA">
        <w:rPr>
          <w:rFonts w:ascii="Calibri" w:eastAsia="Malgun Gothic" w:hAnsi="Calibri" w:cs="Calibri"/>
          <w:b/>
          <w:bCs/>
          <w:sz w:val="22"/>
          <w:szCs w:val="22"/>
          <w:lang w:eastAsia="ko-KR"/>
        </w:rPr>
        <w:t>risk ratios under the reference outbreak-response immunisation scenario, by transmission setting, vaccine protection mechanism, risk assumption and age group.</w:t>
      </w:r>
      <w:r w:rsidRPr="00FB3238">
        <w:rPr>
          <w:rFonts w:ascii="Calibri" w:eastAsia="Malgun Gothic" w:hAnsi="Calibri" w:cs="Calibri" w:hint="eastAsia"/>
          <w:b/>
          <w:bCs/>
          <w:sz w:val="22"/>
          <w:szCs w:val="22"/>
          <w:lang w:eastAsia="ko-KR"/>
        </w:rPr>
        <w:t xml:space="preserve"> </w:t>
      </w:r>
      <w:r w:rsidRPr="004E19DC">
        <w:rPr>
          <w:rFonts w:ascii="Calibri" w:eastAsia="Malgun Gothic" w:hAnsi="Calibri" w:cs="Calibri"/>
          <w:sz w:val="22"/>
          <w:szCs w:val="22"/>
          <w:lang w:eastAsia="ko-KR"/>
        </w:rPr>
        <w:t xml:space="preserve">The reference scenario assumed campaign initiation in </w:t>
      </w:r>
      <w:proofErr w:type="gramStart"/>
      <w:r w:rsidRPr="004E19DC">
        <w:rPr>
          <w:rFonts w:ascii="Calibri" w:eastAsia="Malgun Gothic" w:hAnsi="Calibri" w:cs="Calibri"/>
          <w:sz w:val="22"/>
          <w:szCs w:val="22"/>
          <w:lang w:eastAsia="ko-KR"/>
        </w:rPr>
        <w:t>week</w:t>
      </w:r>
      <w:proofErr w:type="gramEnd"/>
      <w:r w:rsidRPr="004E19DC">
        <w:rPr>
          <w:rFonts w:ascii="Calibri" w:eastAsia="Malgun Gothic" w:hAnsi="Calibri" w:cs="Calibri"/>
          <w:sz w:val="22"/>
          <w:szCs w:val="22"/>
          <w:lang w:eastAsia="ko-KR"/>
        </w:rPr>
        <w:t xml:space="preserve"> 2 and 50% target-age-group coverage</w:t>
      </w:r>
      <w:r w:rsidRPr="004E19DC">
        <w:rPr>
          <w:rFonts w:ascii="Calibri" w:eastAsia="Malgun Gothic" w:hAnsi="Calibri" w:cs="Calibri" w:hint="eastAsia"/>
          <w:sz w:val="22"/>
          <w:szCs w:val="22"/>
          <w:lang w:eastAsia="ko-KR"/>
        </w:rPr>
        <w:t>.</w:t>
      </w:r>
    </w:p>
    <w:tbl>
      <w:tblPr>
        <w:tblW w:w="5000" w:type="pct"/>
        <w:jc w:val="center"/>
        <w:tblLook w:val="0420" w:firstRow="1" w:lastRow="0" w:firstColumn="0" w:lastColumn="0" w:noHBand="0" w:noVBand="1"/>
      </w:tblPr>
      <w:tblGrid>
        <w:gridCol w:w="1361"/>
        <w:gridCol w:w="907"/>
        <w:gridCol w:w="939"/>
        <w:gridCol w:w="813"/>
        <w:gridCol w:w="1231"/>
        <w:gridCol w:w="1074"/>
        <w:gridCol w:w="1231"/>
        <w:gridCol w:w="98"/>
        <w:gridCol w:w="1074"/>
        <w:gridCol w:w="822"/>
        <w:gridCol w:w="1231"/>
        <w:gridCol w:w="1140"/>
        <w:gridCol w:w="1231"/>
      </w:tblGrid>
      <w:tr w:rsidR="00AE3D7F" w14:paraId="4E9F8229" w14:textId="77777777" w:rsidTr="00B8530F">
        <w:trPr>
          <w:tblHeader/>
          <w:jc w:val="center"/>
        </w:trPr>
        <w:tc>
          <w:tcPr>
            <w:tcW w:w="43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184D7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5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5FAF1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043"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5CC99F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blocking only (DB)</w:t>
            </w:r>
          </w:p>
        </w:tc>
        <w:tc>
          <w:tcPr>
            <w:tcW w:w="2170" w:type="pct"/>
            <w:gridSpan w:val="6"/>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53B4A5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and infection blocking (D+I)</w:t>
            </w:r>
          </w:p>
        </w:tc>
      </w:tr>
      <w:tr w:rsidR="00512BB2" w14:paraId="7A733A7D" w14:textId="77777777" w:rsidTr="00B8530F">
        <w:trPr>
          <w:tblHeader/>
          <w:jc w:val="center"/>
        </w:trPr>
        <w:tc>
          <w:tcPr>
            <w:tcW w:w="43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12C38"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5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A4B91"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1D0BE"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1E568"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AC590" w14:textId="5B95ADC1"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19"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49E5AD"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CF8CF" w14:textId="2D1E0501"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c>
          <w:tcPr>
            <w:tcW w:w="467" w:type="pct"/>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20AAC"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2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02A6D"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84513" w14:textId="1E9D873D"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EF3EC"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06EAF" w14:textId="624BB57C"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r>
      <w:tr w:rsidR="00512BB2" w14:paraId="3CB17996" w14:textId="77777777" w:rsidTr="00B8530F">
        <w:trPr>
          <w:jc w:val="center"/>
        </w:trPr>
        <w:tc>
          <w:tcPr>
            <w:tcW w:w="431"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7C49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5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EE14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6232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 (0.6–9.5)</w:t>
            </w:r>
          </w:p>
        </w:tc>
        <w:tc>
          <w:tcPr>
            <w:tcW w:w="3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EB93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B2C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C15F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14.8 (2.6–102.2)</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2DCF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16.2 (2.9–109.4)</w:t>
            </w:r>
          </w:p>
        </w:tc>
        <w:tc>
          <w:tcPr>
            <w:tcW w:w="467"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32FD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6.2 (1.7–28.2)</w:t>
            </w:r>
          </w:p>
        </w:tc>
        <w:tc>
          <w:tcPr>
            <w:tcW w:w="32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411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D2D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726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44.1 (7.1–319.4)</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C40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55.9 (9.2–394.9)</w:t>
            </w:r>
          </w:p>
        </w:tc>
      </w:tr>
      <w:tr w:rsidR="00512BB2" w14:paraId="74C40C69" w14:textId="77777777" w:rsidTr="00B8530F">
        <w:trPr>
          <w:jc w:val="center"/>
        </w:trPr>
        <w:tc>
          <w:tcPr>
            <w:tcW w:w="431"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248C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FF47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1FC7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2.9 (0.9–13.9)</w:t>
            </w:r>
          </w:p>
        </w:tc>
        <w:tc>
          <w:tcPr>
            <w:tcW w:w="3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EC0B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E66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(1.3–15.7)</w:t>
            </w:r>
          </w:p>
        </w:tc>
        <w:tc>
          <w:tcPr>
            <w:tcW w:w="4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AC0A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(0.1–5.2)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B7B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(0.1–5.6)</w:t>
            </w:r>
          </w:p>
        </w:tc>
        <w:tc>
          <w:tcPr>
            <w:tcW w:w="467"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05EB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15.0 (3.0–64.0)</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E62B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E680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 (1.1–13.6)</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314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2.8 (0.3–23.9)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34F4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 (0.4–29.8)</w:t>
            </w:r>
          </w:p>
        </w:tc>
      </w:tr>
      <w:tr w:rsidR="00512BB2" w14:paraId="0177F95C" w14:textId="77777777" w:rsidTr="00B8530F">
        <w:trPr>
          <w:jc w:val="center"/>
        </w:trPr>
        <w:tc>
          <w:tcPr>
            <w:tcW w:w="431"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D00E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828A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A7B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 (2.1–11.1)</w:t>
            </w:r>
          </w:p>
        </w:tc>
        <w:tc>
          <w:tcPr>
            <w:tcW w:w="3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01A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24C4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4BC6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33.2 (9.1–138.9)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D4E6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36.0 (10.4–148.9)</w:t>
            </w:r>
          </w:p>
        </w:tc>
        <w:tc>
          <w:tcPr>
            <w:tcW w:w="467"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5B71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14.9 (6.1–31.2)</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8F8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DAE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6885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96.1 (26.3–393.8)</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68E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119.5 (34.3–486.7)</w:t>
            </w:r>
          </w:p>
        </w:tc>
      </w:tr>
      <w:tr w:rsidR="00512BB2" w14:paraId="20E1C645" w14:textId="77777777" w:rsidTr="00B8530F">
        <w:trPr>
          <w:jc w:val="center"/>
        </w:trPr>
        <w:tc>
          <w:tcPr>
            <w:tcW w:w="431"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5E6C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4695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1C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 (3.1–16.2)</w:t>
            </w:r>
          </w:p>
        </w:tc>
        <w:tc>
          <w:tcPr>
            <w:tcW w:w="3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F32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1860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(1.3–15.5)</w:t>
            </w:r>
          </w:p>
        </w:tc>
        <w:tc>
          <w:tcPr>
            <w:tcW w:w="4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F601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(0.3–6.8)</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DF8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 (0.4–7.2)</w:t>
            </w:r>
          </w:p>
        </w:tc>
        <w:tc>
          <w:tcPr>
            <w:tcW w:w="467"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DB02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27.7 (10.7–60.4)</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B040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7890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 (1.1–13.3)</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491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 (1.2–25.8)</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049F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6.8 (1.5–31.9)</w:t>
            </w:r>
          </w:p>
        </w:tc>
      </w:tr>
      <w:tr w:rsidR="00512BB2" w14:paraId="48BDC9C3" w14:textId="77777777" w:rsidTr="00B8530F">
        <w:trPr>
          <w:jc w:val="center"/>
        </w:trPr>
        <w:tc>
          <w:tcPr>
            <w:tcW w:w="431"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0801A7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4E39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BB17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18.4 (6.9–41.9)</w:t>
            </w:r>
          </w:p>
        </w:tc>
        <w:tc>
          <w:tcPr>
            <w:tcW w:w="3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49A2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3F5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9864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118.5 (30.6–451.9)</w:t>
            </w:r>
          </w:p>
        </w:tc>
        <w:tc>
          <w:tcPr>
            <w:tcW w:w="516"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243C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129.6 (35.4–484.8)</w:t>
            </w:r>
          </w:p>
        </w:tc>
        <w:tc>
          <w:tcPr>
            <w:tcW w:w="4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F742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55.5 (22.1–126.4)</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6BE1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6BF9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FB6E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358.3 (94.3–1381.3)</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841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452.1 (125.3–1726.6)</w:t>
            </w:r>
          </w:p>
        </w:tc>
      </w:tr>
      <w:tr w:rsidR="00512BB2" w14:paraId="4B223777" w14:textId="77777777" w:rsidTr="00B8530F">
        <w:trPr>
          <w:jc w:val="center"/>
        </w:trPr>
        <w:tc>
          <w:tcPr>
            <w:tcW w:w="431"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3F2227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212D4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22AB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27.2 (10.3–61.3)</w:t>
            </w:r>
          </w:p>
        </w:tc>
        <w:tc>
          <w:tcPr>
            <w:tcW w:w="3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BEBF4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CAAD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(1.3–15.5)</w:t>
            </w:r>
          </w:p>
        </w:tc>
        <w:tc>
          <w:tcPr>
            <w:tcW w:w="4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2956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 (1.2–24.7)</w:t>
            </w:r>
          </w:p>
        </w:tc>
        <w:tc>
          <w:tcPr>
            <w:tcW w:w="516" w:type="pct"/>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9889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5.8 (1.3–26.0)</w:t>
            </w:r>
          </w:p>
        </w:tc>
        <w:tc>
          <w:tcPr>
            <w:tcW w:w="4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D93D2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104.0 (40.5–271.2)</w:t>
            </w:r>
          </w:p>
        </w:tc>
        <w:tc>
          <w:tcPr>
            <w:tcW w:w="32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CD60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B3C2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 (1.1–13.4)</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BFA92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20.5 (4.5–104.8)</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C999E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26.0 (5.9–130.3)</w:t>
            </w:r>
          </w:p>
        </w:tc>
      </w:tr>
    </w:tbl>
    <w:p w14:paraId="4E8190DF" w14:textId="77777777" w:rsidR="00AE3D7F" w:rsidRDefault="00AE3D7F" w:rsidP="00D543E5">
      <w:pPr>
        <w:spacing w:line="276" w:lineRule="auto"/>
        <w:rPr>
          <w:rFonts w:ascii="Calibri" w:eastAsia="Malgun Gothic" w:hAnsi="Calibri" w:cs="Calibri"/>
          <w:lang w:eastAsia="ko-KR"/>
        </w:rPr>
      </w:pPr>
    </w:p>
    <w:p w14:paraId="15A52F48" w14:textId="77777777" w:rsidR="00AE3D7F" w:rsidRDefault="00AE3D7F" w:rsidP="00AC5C2F">
      <w:pPr>
        <w:spacing w:line="276" w:lineRule="auto"/>
        <w:rPr>
          <w:rFonts w:ascii="Calibri" w:eastAsia="Malgun Gothic" w:hAnsi="Calibri" w:cs="Calibri"/>
          <w:lang w:eastAsia="ko-KR"/>
        </w:rPr>
        <w:sectPr w:rsidR="00AE3D7F" w:rsidSect="00AE3D7F">
          <w:pgSz w:w="16838" w:h="11906" w:orient="landscape"/>
          <w:pgMar w:top="1699" w:right="1699" w:bottom="1699" w:left="1987" w:header="720" w:footer="720" w:gutter="0"/>
          <w:lnNumType w:countBy="5" w:restart="continuous"/>
          <w:cols w:space="720"/>
          <w:docGrid w:linePitch="360"/>
        </w:sectPr>
      </w:pPr>
    </w:p>
    <w:p w14:paraId="7D139F2A" w14:textId="77777777" w:rsidR="00AE3D7F" w:rsidRDefault="00AE3D7F" w:rsidP="009E36B5">
      <w:pPr>
        <w:spacing w:line="276" w:lineRule="auto"/>
        <w:rPr>
          <w:rStyle w:val="IntenseEmphasis"/>
          <w:rFonts w:ascii="Calibri" w:eastAsia="Malgun Gothic" w:hAnsi="Calibri" w:cs="Calibri"/>
          <w:i w:val="0"/>
          <w:iCs w:val="0"/>
          <w:lang w:eastAsia="ko-KR"/>
        </w:rPr>
      </w:pPr>
      <w:r>
        <w:rPr>
          <w:rStyle w:val="IntenseEmphasis"/>
          <w:rFonts w:ascii="Calibri" w:eastAsia="Malgun Gothic" w:hAnsi="Calibri" w:cs="Calibri" w:hint="eastAsia"/>
          <w:i w:val="0"/>
          <w:iCs w:val="0"/>
          <w:lang w:eastAsia="ko-KR"/>
        </w:rPr>
        <w:lastRenderedPageBreak/>
        <w:t>Supplementary material</w:t>
      </w:r>
    </w:p>
    <w:p w14:paraId="74CE0F6E" w14:textId="64B45196" w:rsidR="00AE3D7F" w:rsidRPr="00BB4B7C" w:rsidRDefault="00AE3D7F" w:rsidP="00BB4B7C">
      <w:pPr>
        <w:pStyle w:val="Caption"/>
        <w:rPr>
          <w:rFonts w:eastAsia="Malgun Gothic" w:hint="eastAsia"/>
          <w:lang w:eastAsia="ko-KR"/>
        </w:rPr>
      </w:pPr>
      <w:commentRangeStart w:id="12"/>
      <w:r>
        <w:t xml:space="preserve">Extended figure </w:t>
      </w:r>
      <w:r>
        <w:fldChar w:fldCharType="begin"/>
      </w:r>
      <w:r>
        <w:instrText xml:space="preserve"> SEQ Extended_figure \* ARABIC </w:instrText>
      </w:r>
      <w:r>
        <w:fldChar w:fldCharType="separate"/>
      </w:r>
      <w:r w:rsidR="000D2411">
        <w:rPr>
          <w:noProof/>
        </w:rPr>
        <w:t>1</w:t>
      </w:r>
      <w:r>
        <w:rPr>
          <w:noProof/>
        </w:rPr>
        <w:fldChar w:fldCharType="end"/>
      </w:r>
      <w:r>
        <w:rPr>
          <w:rFonts w:eastAsia="Malgun Gothic" w:hint="eastAsia"/>
          <w:lang w:eastAsia="ko-KR"/>
        </w:rPr>
        <w:t xml:space="preserve"> </w:t>
      </w:r>
      <w:commentRangeStart w:id="13"/>
      <w:r w:rsidRPr="00DB3CA2">
        <w:t>Posterior predictive fit</w:t>
      </w:r>
      <w:commentRangeEnd w:id="13"/>
      <w:r w:rsidR="48CDA994">
        <w:rPr>
          <w:rStyle w:val="CommentReference"/>
          <w:sz w:val="18"/>
          <w:szCs w:val="18"/>
        </w:rPr>
        <w:commentReference w:id="13"/>
      </w:r>
      <w:r w:rsidRPr="00DB3CA2">
        <w:t xml:space="preserve"> of reported symptomatic chikungunya cases across selected Brazilian states in 2022</w:t>
      </w:r>
      <w:commentRangeEnd w:id="12"/>
      <w:r w:rsidR="48CDA994" w:rsidRPr="00BB4B7C">
        <w:rPr>
          <w:rStyle w:val="CommentReference"/>
          <w:rFonts w:eastAsia="Malgun Gothic" w:hint="eastAsia"/>
          <w:sz w:val="18"/>
          <w:szCs w:val="18"/>
          <w:lang w:eastAsia="ko-KR"/>
        </w:rPr>
        <w:commentReference w:id="12"/>
      </w:r>
    </w:p>
    <w:p w14:paraId="2032F4DC" w14:textId="77777777" w:rsidR="00AE3D7F" w:rsidRDefault="00AE3D7F" w:rsidP="00E83E87">
      <w:pPr>
        <w:rPr>
          <w:rFonts w:eastAsia="Malgun Gothic" w:hint="eastAsia"/>
          <w:lang w:eastAsia="ko-KR"/>
        </w:rPr>
      </w:pPr>
      <w:r w:rsidRPr="00BB4B7C">
        <w:rPr>
          <w:rFonts w:eastAsia="Malgun Gothic"/>
          <w:noProof/>
          <w:lang w:eastAsia="ko-KR"/>
        </w:rPr>
        <w:drawing>
          <wp:inline distT="0" distB="0" distL="0" distR="0" wp14:anchorId="3F061997" wp14:editId="681086ED">
            <wp:extent cx="5402580" cy="3427095"/>
            <wp:effectExtent l="0" t="0" r="7620" b="1905"/>
            <wp:docPr id="9339722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2263" name=""/>
                    <pic:cNvPicPr/>
                  </pic:nvPicPr>
                  <pic:blipFill>
                    <a:blip r:embed="rId78"/>
                    <a:stretch>
                      <a:fillRect/>
                    </a:stretch>
                  </pic:blipFill>
                  <pic:spPr>
                    <a:xfrm>
                      <a:off x="0" y="0"/>
                      <a:ext cx="5402580" cy="3427095"/>
                    </a:xfrm>
                    <a:prstGeom prst="rect">
                      <a:avLst/>
                    </a:prstGeom>
                  </pic:spPr>
                </pic:pic>
              </a:graphicData>
            </a:graphic>
          </wp:inline>
        </w:drawing>
      </w:r>
    </w:p>
    <w:p w14:paraId="5DE8662D" w14:textId="77777777" w:rsidR="00AE3D7F" w:rsidRDefault="00AE3D7F" w:rsidP="00E83E87">
      <w:pPr>
        <w:rPr>
          <w:rFonts w:eastAsia="Malgun Gothic" w:hint="eastAsia"/>
          <w:lang w:eastAsia="ko-KR"/>
        </w:rPr>
      </w:pPr>
    </w:p>
    <w:p w14:paraId="37A4A66A" w14:textId="77777777" w:rsidR="00AE3D7F" w:rsidRDefault="00AE3D7F" w:rsidP="00E83E87">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4290F0B9" w14:textId="67458A2F" w:rsidR="00AE3D7F" w:rsidRPr="00C91558" w:rsidRDefault="00AE3D7F" w:rsidP="00646FEE">
      <w:pPr>
        <w:pStyle w:val="Caption"/>
        <w:rPr>
          <w:rFonts w:ascii="Calibri" w:eastAsia="Malgun Gothic" w:hAnsi="Calibri" w:cs="Calibri"/>
          <w:bCs/>
          <w:sz w:val="22"/>
          <w:szCs w:val="22"/>
          <w:lang w:eastAsia="ko-KR"/>
        </w:rPr>
      </w:pPr>
      <w:r w:rsidRPr="00726F83">
        <w:rPr>
          <w:b/>
          <w:bCs/>
          <w:sz w:val="20"/>
          <w:szCs w:val="20"/>
        </w:rPr>
        <w:lastRenderedPageBreak/>
        <w:t xml:space="preserve">Extended figure </w:t>
      </w:r>
      <w:r w:rsidRPr="00726F83">
        <w:rPr>
          <w:b/>
          <w:bCs/>
          <w:sz w:val="20"/>
          <w:szCs w:val="20"/>
        </w:rPr>
        <w:fldChar w:fldCharType="begin"/>
      </w:r>
      <w:r w:rsidRPr="00726F83">
        <w:rPr>
          <w:b/>
          <w:bCs/>
          <w:sz w:val="20"/>
          <w:szCs w:val="20"/>
        </w:rPr>
        <w:instrText xml:space="preserve"> SEQ Extended_figure \* ARABIC </w:instrText>
      </w:r>
      <w:r w:rsidRPr="00726F83">
        <w:rPr>
          <w:b/>
          <w:bCs/>
          <w:sz w:val="20"/>
          <w:szCs w:val="20"/>
        </w:rPr>
        <w:fldChar w:fldCharType="separate"/>
      </w:r>
      <w:r w:rsidR="000D2411">
        <w:rPr>
          <w:b/>
          <w:bCs/>
          <w:noProof/>
          <w:sz w:val="20"/>
          <w:szCs w:val="20"/>
        </w:rPr>
        <w:t>2</w:t>
      </w:r>
      <w:r w:rsidRPr="00726F83">
        <w:rPr>
          <w:b/>
          <w:bCs/>
          <w:sz w:val="20"/>
          <w:szCs w:val="20"/>
        </w:rPr>
        <w:fldChar w:fldCharType="end"/>
      </w:r>
      <w:r w:rsidRPr="00726F83">
        <w:rPr>
          <w:rFonts w:ascii="Calibri" w:eastAsia="Malgun Gothic" w:hAnsi="Calibri" w:cs="Calibri" w:hint="eastAsia"/>
          <w:b/>
          <w:i w:val="0"/>
          <w:iCs w:val="0"/>
          <w:color w:val="auto"/>
          <w:sz w:val="24"/>
          <w:szCs w:val="24"/>
          <w:lang w:eastAsia="ko-KR"/>
        </w:rPr>
        <w:t xml:space="preserve"> </w:t>
      </w:r>
      <w:r w:rsidRPr="006C3A63">
        <w:rPr>
          <w:rFonts w:ascii="Calibri" w:eastAsia="Malgun Gothic" w:hAnsi="Calibri" w:cs="Calibri"/>
          <w:b/>
          <w:sz w:val="22"/>
          <w:szCs w:val="22"/>
          <w:lang w:eastAsia="ko-KR"/>
        </w:rPr>
        <w:t xml:space="preserve">Transmission-setting classification and </w:t>
      </w:r>
      <w:r>
        <w:rPr>
          <w:rFonts w:ascii="Calibri" w:eastAsia="Malgun Gothic" w:hAnsi="Calibri" w:cs="Calibri" w:hint="eastAsia"/>
          <w:b/>
          <w:sz w:val="22"/>
          <w:szCs w:val="22"/>
          <w:lang w:eastAsia="ko-KR"/>
        </w:rPr>
        <w:t>model predicted</w:t>
      </w:r>
      <w:r w:rsidRPr="006C3A63">
        <w:rPr>
          <w:rFonts w:ascii="Calibri" w:eastAsia="Malgun Gothic" w:hAnsi="Calibri" w:cs="Calibri"/>
          <w:b/>
          <w:sz w:val="22"/>
          <w:szCs w:val="22"/>
          <w:lang w:eastAsia="ko-KR"/>
        </w:rPr>
        <w:t xml:space="preserve"> 2022 chikungunya infection </w:t>
      </w:r>
      <w:r>
        <w:rPr>
          <w:rFonts w:ascii="Calibri" w:eastAsia="Malgun Gothic" w:hAnsi="Calibri" w:cs="Calibri" w:hint="eastAsia"/>
          <w:b/>
          <w:sz w:val="22"/>
          <w:szCs w:val="22"/>
          <w:lang w:eastAsia="ko-KR"/>
        </w:rPr>
        <w:t>attack rates</w:t>
      </w:r>
      <w:r w:rsidRPr="006C3A63">
        <w:rPr>
          <w:rFonts w:ascii="Calibri" w:eastAsia="Malgun Gothic" w:hAnsi="Calibri" w:cs="Calibri"/>
          <w:b/>
          <w:sz w:val="22"/>
          <w:szCs w:val="22"/>
          <w:lang w:eastAsia="ko-KR"/>
        </w:rPr>
        <w:t xml:space="preserve"> across selected Brazilian states</w:t>
      </w:r>
      <w:r>
        <w:rPr>
          <w:rFonts w:ascii="Calibri" w:eastAsia="Malgun Gothic" w:hAnsi="Calibri" w:cs="Calibri" w:hint="eastAsia"/>
          <w:b/>
          <w:sz w:val="22"/>
          <w:szCs w:val="22"/>
          <w:lang w:eastAsia="ko-KR"/>
        </w:rPr>
        <w:t xml:space="preserve">. </w:t>
      </w:r>
      <w:r w:rsidRPr="00C91558">
        <w:rPr>
          <w:rFonts w:ascii="Calibri" w:eastAsia="Malgun Gothic" w:hAnsi="Calibri" w:cs="Calibri"/>
          <w:bCs/>
          <w:sz w:val="22"/>
          <w:szCs w:val="22"/>
          <w:lang w:eastAsia="ko-KR"/>
        </w:rPr>
        <w:t>Eleven Brazilian states included in the analysis, coloured by transmission setting</w:t>
      </w:r>
      <w:r>
        <w:rPr>
          <w:rFonts w:ascii="Calibri" w:eastAsia="Malgun Gothic" w:hAnsi="Calibri" w:cs="Calibri" w:hint="eastAsia"/>
          <w:bCs/>
          <w:sz w:val="22"/>
          <w:szCs w:val="22"/>
          <w:lang w:eastAsia="ko-KR"/>
        </w:rPr>
        <w:t xml:space="preserve"> (Figure 1A)</w:t>
      </w:r>
      <w:r w:rsidRPr="00C91558">
        <w:rPr>
          <w:rFonts w:ascii="Calibri" w:eastAsia="Malgun Gothic" w:hAnsi="Calibri" w:cs="Calibri"/>
          <w:bCs/>
          <w:sz w:val="22"/>
          <w:szCs w:val="22"/>
          <w:lang w:eastAsia="ko-KR"/>
        </w:rPr>
        <w:t>. Posterior cumulative infection attack rate by state</w:t>
      </w:r>
      <w:r>
        <w:rPr>
          <w:rFonts w:ascii="Calibri" w:eastAsia="Malgun Gothic" w:hAnsi="Calibri" w:cs="Calibri" w:hint="eastAsia"/>
          <w:bCs/>
          <w:sz w:val="22"/>
          <w:szCs w:val="22"/>
          <w:lang w:eastAsia="ko-KR"/>
        </w:rPr>
        <w:t>. P</w:t>
      </w:r>
      <w:r w:rsidRPr="00C91558">
        <w:rPr>
          <w:rFonts w:ascii="Calibri" w:eastAsia="Malgun Gothic" w:hAnsi="Calibri" w:cs="Calibri"/>
          <w:bCs/>
          <w:sz w:val="22"/>
          <w:szCs w:val="22"/>
          <w:lang w:eastAsia="ko-KR"/>
        </w:rPr>
        <w:t xml:space="preserve">oints represent posterior medians and horizontal bars 95% </w:t>
      </w:r>
      <w:r>
        <w:rPr>
          <w:rFonts w:ascii="Calibri" w:eastAsia="Malgun Gothic" w:hAnsi="Calibri" w:cs="Calibri" w:hint="eastAsia"/>
          <w:bCs/>
          <w:sz w:val="22"/>
          <w:szCs w:val="22"/>
          <w:lang w:eastAsia="ko-KR"/>
        </w:rPr>
        <w:t>UIs (Figure 1B)</w:t>
      </w:r>
      <w:r w:rsidRPr="00C91558">
        <w:rPr>
          <w:rFonts w:ascii="Calibri" w:eastAsia="Malgun Gothic" w:hAnsi="Calibri" w:cs="Calibri"/>
          <w:bCs/>
          <w:sz w:val="22"/>
          <w:szCs w:val="22"/>
          <w:lang w:eastAsia="ko-KR"/>
        </w:rPr>
        <w:t>. Peak weekly reported symptomatic case rate per million population</w:t>
      </w:r>
      <w:r>
        <w:rPr>
          <w:rFonts w:ascii="Calibri" w:eastAsia="Malgun Gothic" w:hAnsi="Calibri" w:cs="Calibri" w:hint="eastAsia"/>
          <w:bCs/>
          <w:sz w:val="22"/>
          <w:szCs w:val="22"/>
          <w:lang w:eastAsia="ko-KR"/>
        </w:rPr>
        <w:t>.</w:t>
      </w:r>
      <w:r w:rsidRPr="00C91558">
        <w:rPr>
          <w:rFonts w:ascii="Calibri" w:eastAsia="Malgun Gothic" w:hAnsi="Calibri" w:cs="Calibri"/>
          <w:bCs/>
          <w:sz w:val="22"/>
          <w:szCs w:val="22"/>
          <w:lang w:eastAsia="ko-KR"/>
        </w:rPr>
        <w:t xml:space="preserve"> </w:t>
      </w:r>
      <w:r>
        <w:rPr>
          <w:rFonts w:ascii="Calibri" w:eastAsia="Malgun Gothic" w:hAnsi="Calibri" w:cs="Calibri" w:hint="eastAsia"/>
          <w:bCs/>
          <w:sz w:val="22"/>
          <w:szCs w:val="22"/>
          <w:lang w:eastAsia="ko-KR"/>
        </w:rPr>
        <w:t>D</w:t>
      </w:r>
      <w:r w:rsidRPr="00C91558">
        <w:rPr>
          <w:rFonts w:ascii="Calibri" w:eastAsia="Malgun Gothic" w:hAnsi="Calibri" w:cs="Calibri"/>
          <w:bCs/>
          <w:sz w:val="22"/>
          <w:szCs w:val="22"/>
          <w:lang w:eastAsia="ko-KR"/>
        </w:rPr>
        <w:t>ashed vertical lines indicate the thresholds used to classify transmission settings</w:t>
      </w:r>
      <w:r>
        <w:rPr>
          <w:rFonts w:ascii="Calibri" w:eastAsia="Malgun Gothic" w:hAnsi="Calibri" w:cs="Calibri" w:hint="eastAsia"/>
          <w:bCs/>
          <w:sz w:val="22"/>
          <w:szCs w:val="22"/>
          <w:lang w:eastAsia="ko-KR"/>
        </w:rPr>
        <w:t xml:space="preserve"> (Figure 1C)</w:t>
      </w:r>
      <w:r w:rsidRPr="00C91558">
        <w:rPr>
          <w:rFonts w:ascii="Calibri" w:eastAsia="Malgun Gothic" w:hAnsi="Calibri" w:cs="Calibri"/>
          <w:bCs/>
          <w:sz w:val="22"/>
          <w:szCs w:val="22"/>
          <w:lang w:eastAsia="ko-KR"/>
        </w:rPr>
        <w:t xml:space="preserve">. </w:t>
      </w:r>
    </w:p>
    <w:p w14:paraId="4D6FB63C" w14:textId="77777777" w:rsidR="00AE3D7F" w:rsidRPr="004144EC" w:rsidRDefault="00AE3D7F" w:rsidP="00646FEE">
      <w:pPr>
        <w:spacing w:line="360" w:lineRule="auto"/>
        <w:rPr>
          <w:rFonts w:ascii="Calibri" w:eastAsia="Malgun Gothic" w:hAnsi="Calibri" w:cs="Calibri"/>
          <w:sz w:val="22"/>
          <w:szCs w:val="22"/>
          <w:lang w:eastAsia="ko-KR"/>
        </w:rPr>
      </w:pPr>
      <w:r w:rsidRPr="004144EC">
        <w:rPr>
          <w:rFonts w:ascii="Calibri" w:eastAsia="Malgun Gothic" w:hAnsi="Calibri" w:cs="Calibri"/>
          <w:noProof/>
          <w:sz w:val="22"/>
          <w:szCs w:val="22"/>
          <w:lang w:eastAsia="ko-KR"/>
        </w:rPr>
        <w:drawing>
          <wp:inline distT="0" distB="0" distL="0" distR="0" wp14:anchorId="5D152077" wp14:editId="0E8B646D">
            <wp:extent cx="8351520" cy="3439160"/>
            <wp:effectExtent l="0" t="0" r="5080" b="2540"/>
            <wp:docPr id="143051869" name="그림 24"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3018" name="그림 24" descr="A graph with colored dots and lines&#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8351520" cy="3439160"/>
                    </a:xfrm>
                    <a:prstGeom prst="rect">
                      <a:avLst/>
                    </a:prstGeom>
                    <a:noFill/>
                    <a:ln>
                      <a:noFill/>
                    </a:ln>
                  </pic:spPr>
                </pic:pic>
              </a:graphicData>
            </a:graphic>
          </wp:inline>
        </w:drawing>
      </w:r>
    </w:p>
    <w:p w14:paraId="51AEEB25" w14:textId="77777777" w:rsidR="00AE3D7F" w:rsidRPr="00646FEE" w:rsidRDefault="00AE3D7F" w:rsidP="00646FEE">
      <w:pPr>
        <w:rPr>
          <w:rFonts w:eastAsia="Malgun Gothic" w:hint="eastAsia"/>
          <w:lang w:eastAsia="ko-KR"/>
        </w:rPr>
        <w:sectPr w:rsidR="00AE3D7F" w:rsidRPr="00646FEE" w:rsidSect="00AE3D7F">
          <w:pgSz w:w="16838" w:h="11906" w:orient="landscape"/>
          <w:pgMar w:top="1699" w:right="1699" w:bottom="1699" w:left="1987" w:header="720" w:footer="720" w:gutter="0"/>
          <w:lnNumType w:countBy="5" w:restart="continuous"/>
          <w:cols w:space="720"/>
          <w:docGrid w:linePitch="360"/>
        </w:sectPr>
      </w:pPr>
    </w:p>
    <w:p w14:paraId="3E7FD1FE" w14:textId="31A2FE35" w:rsidR="00AE3D7F" w:rsidRPr="006D2A25" w:rsidRDefault="00AE3D7F" w:rsidP="007B3679">
      <w:pPr>
        <w:pStyle w:val="Caption"/>
        <w:rPr>
          <w:rFonts w:eastAsia="Malgun Gothic" w:hint="eastAsia"/>
          <w:lang w:eastAsia="ko-KR"/>
        </w:rPr>
      </w:pPr>
      <w:r>
        <w:lastRenderedPageBreak/>
        <w:t xml:space="preserve">Extended figure </w:t>
      </w:r>
      <w:r>
        <w:fldChar w:fldCharType="begin"/>
      </w:r>
      <w:r>
        <w:instrText xml:space="preserve"> SEQ Extended_figure \* ARABIC </w:instrText>
      </w:r>
      <w:r>
        <w:fldChar w:fldCharType="separate"/>
      </w:r>
      <w:r w:rsidR="000D2411">
        <w:rPr>
          <w:noProof/>
        </w:rPr>
        <w:t>3</w:t>
      </w:r>
      <w:r>
        <w:rPr>
          <w:noProof/>
        </w:rPr>
        <w:fldChar w:fldCharType="end"/>
      </w:r>
      <w:r>
        <w:rPr>
          <w:rFonts w:eastAsia="Malgun Gothic" w:hint="eastAsia"/>
          <w:lang w:eastAsia="ko-KR"/>
        </w:rPr>
        <w:t xml:space="preserve"> </w:t>
      </w:r>
      <w:r w:rsidRPr="006D2A25">
        <w:rPr>
          <w:rFonts w:eastAsia="Malgun Gothic"/>
          <w:lang w:eastAsia="ko-KR"/>
        </w:rPr>
        <w:t xml:space="preserve">Travel associated infection risk and </w:t>
      </w:r>
      <w:r>
        <w:rPr>
          <w:rFonts w:eastAsia="Malgun Gothic" w:hint="eastAsia"/>
          <w:lang w:eastAsia="ko-KR"/>
        </w:rPr>
        <w:t>SAE, and death</w:t>
      </w:r>
      <w:r w:rsidRPr="006D2A25">
        <w:rPr>
          <w:rFonts w:eastAsia="Malgun Gothic"/>
          <w:lang w:eastAsia="ko-KR"/>
        </w:rPr>
        <w:t xml:space="preserve"> benefit-risk across entry timing and travel duration.</w:t>
      </w:r>
    </w:p>
    <w:p w14:paraId="48A7D829" w14:textId="77777777" w:rsidR="00AE3D7F" w:rsidRPr="007B3679" w:rsidRDefault="00AE3D7F" w:rsidP="007B3679">
      <w:pPr>
        <w:rPr>
          <w:rFonts w:eastAsia="Malgun Gothic" w:hint="eastAsia"/>
          <w:lang w:eastAsia="ko-KR"/>
        </w:rPr>
      </w:pPr>
      <w:r w:rsidRPr="007B3679">
        <w:rPr>
          <w:rFonts w:eastAsia="Malgun Gothic"/>
          <w:noProof/>
          <w:lang w:eastAsia="ko-KR"/>
        </w:rPr>
        <w:drawing>
          <wp:inline distT="0" distB="0" distL="0" distR="0" wp14:anchorId="1498725B" wp14:editId="3767CED9">
            <wp:extent cx="5402580" cy="7613015"/>
            <wp:effectExtent l="0" t="0" r="7620" b="6985"/>
            <wp:docPr id="44142990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2580" cy="7613015"/>
                    </a:xfrm>
                    <a:prstGeom prst="rect">
                      <a:avLst/>
                    </a:prstGeom>
                    <a:noFill/>
                    <a:ln>
                      <a:noFill/>
                    </a:ln>
                  </pic:spPr>
                </pic:pic>
              </a:graphicData>
            </a:graphic>
          </wp:inline>
        </w:drawing>
      </w:r>
    </w:p>
    <w:p w14:paraId="6A1C8365" w14:textId="77777777" w:rsidR="00AE3D7F" w:rsidRDefault="00AE3D7F" w:rsidP="007B3679">
      <w:pPr>
        <w:rPr>
          <w:rFonts w:eastAsia="Malgun Gothic" w:hint="eastAsia"/>
          <w:lang w:eastAsia="ko-KR"/>
        </w:rPr>
      </w:pPr>
    </w:p>
    <w:p w14:paraId="62E9A61C" w14:textId="77777777" w:rsidR="00AE3D7F" w:rsidRDefault="00AE3D7F" w:rsidP="007B3679">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38967A02" w14:textId="6B6DF7F6" w:rsidR="00AE3D7F" w:rsidRPr="001718F3" w:rsidRDefault="00AE3D7F" w:rsidP="001718F3">
      <w:pPr>
        <w:pStyle w:val="Caption"/>
        <w:rPr>
          <w:rFonts w:eastAsia="Malgun Gothic" w:hint="eastAsia"/>
          <w:lang w:eastAsia="ko-KR"/>
        </w:rPr>
      </w:pPr>
      <w:r>
        <w:lastRenderedPageBreak/>
        <w:t xml:space="preserve">Extended figure </w:t>
      </w:r>
      <w:r>
        <w:fldChar w:fldCharType="begin"/>
      </w:r>
      <w:r>
        <w:instrText xml:space="preserve"> SEQ Extended_figure \* ARABIC </w:instrText>
      </w:r>
      <w:r>
        <w:fldChar w:fldCharType="separate"/>
      </w:r>
      <w:r w:rsidR="000D2411">
        <w:rPr>
          <w:noProof/>
        </w:rPr>
        <w:t>4</w:t>
      </w:r>
      <w:r>
        <w:rPr>
          <w:noProof/>
        </w:rPr>
        <w:fldChar w:fldCharType="end"/>
      </w:r>
      <w:r w:rsidRPr="006D2A25">
        <w:t xml:space="preserve"> </w:t>
      </w:r>
      <w:r>
        <w:rPr>
          <w:rFonts w:eastAsia="Malgun Gothic" w:hint="eastAsia"/>
          <w:lang w:eastAsia="ko-KR"/>
        </w:rPr>
        <w:t>SAE and death</w:t>
      </w:r>
      <w:r w:rsidRPr="006D2A25">
        <w:t xml:space="preserve"> benefits and vaccine-associated risks under the reference outbreak-response immunisation scenario</w:t>
      </w:r>
    </w:p>
    <w:p w14:paraId="7FD35F89" w14:textId="77777777" w:rsidR="00AE3D7F" w:rsidRPr="001718F3" w:rsidRDefault="00AE3D7F" w:rsidP="001718F3">
      <w:pPr>
        <w:rPr>
          <w:rFonts w:eastAsia="Malgun Gothic" w:hint="eastAsia"/>
          <w:lang w:eastAsia="ko-KR"/>
        </w:rPr>
      </w:pPr>
      <w:commentRangeStart w:id="14"/>
      <w:r>
        <w:rPr>
          <w:noProof/>
        </w:rPr>
        <w:drawing>
          <wp:inline distT="0" distB="0" distL="0" distR="0" wp14:anchorId="247720BE" wp14:editId="092FDE90">
            <wp:extent cx="5402580" cy="5402580"/>
            <wp:effectExtent l="0" t="0" r="7620" b="7620"/>
            <wp:docPr id="35095583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a:noFill/>
                    </a:ln>
                  </pic:spPr>
                </pic:pic>
              </a:graphicData>
            </a:graphic>
          </wp:inline>
        </w:drawing>
      </w:r>
      <w:commentRangeEnd w:id="14"/>
      <w:r w:rsidRPr="001718F3">
        <w:rPr>
          <w:rStyle w:val="CommentReference"/>
          <w:rFonts w:eastAsia="Malgun Gothic" w:hint="eastAsia"/>
          <w:sz w:val="24"/>
          <w:szCs w:val="24"/>
          <w:lang w:eastAsia="ko-KR"/>
        </w:rPr>
        <w:commentReference w:id="14"/>
      </w:r>
    </w:p>
    <w:p w14:paraId="6B050F8A" w14:textId="77777777" w:rsidR="00AE3D7F" w:rsidRDefault="00AE3D7F" w:rsidP="007B3679">
      <w:pPr>
        <w:rPr>
          <w:rFonts w:eastAsia="Malgun Gothic" w:hint="eastAsia"/>
          <w:lang w:eastAsia="ko-KR"/>
        </w:rPr>
      </w:pPr>
    </w:p>
    <w:p w14:paraId="3C321C3E" w14:textId="77777777" w:rsidR="00AE3D7F" w:rsidRDefault="00AE3D7F" w:rsidP="007B3679">
      <w:pPr>
        <w:rPr>
          <w:rFonts w:eastAsia="Malgun Gothic" w:hint="eastAsia"/>
          <w:lang w:eastAsia="ko-KR"/>
        </w:rPr>
      </w:pPr>
    </w:p>
    <w:p w14:paraId="69723AC8" w14:textId="77777777" w:rsidR="00AE3D7F" w:rsidRDefault="00AE3D7F" w:rsidP="007B3679">
      <w:pPr>
        <w:rPr>
          <w:rFonts w:eastAsia="Malgun Gothic" w:hint="eastAsia"/>
          <w:lang w:eastAsia="ko-KR"/>
        </w:rPr>
      </w:pPr>
    </w:p>
    <w:p w14:paraId="5E45F6B4" w14:textId="77777777" w:rsidR="00AE3D7F" w:rsidRDefault="00AE3D7F" w:rsidP="007B3679">
      <w:pPr>
        <w:rPr>
          <w:rFonts w:eastAsia="Malgun Gothic" w:hint="eastAsia"/>
          <w:lang w:eastAsia="ko-KR"/>
        </w:rPr>
      </w:pPr>
    </w:p>
    <w:p w14:paraId="3D162E62" w14:textId="77777777" w:rsidR="00AE3D7F" w:rsidRDefault="00AE3D7F" w:rsidP="007B3679">
      <w:pPr>
        <w:rPr>
          <w:rFonts w:eastAsia="Malgun Gothic" w:hint="eastAsia"/>
          <w:lang w:eastAsia="ko-KR"/>
        </w:rPr>
      </w:pPr>
    </w:p>
    <w:p w14:paraId="16FE3B06" w14:textId="77777777" w:rsidR="00AE3D7F" w:rsidRDefault="00AE3D7F" w:rsidP="007B3679">
      <w:pPr>
        <w:rPr>
          <w:rFonts w:eastAsia="Malgun Gothic" w:hint="eastAsia"/>
          <w:lang w:eastAsia="ko-KR"/>
        </w:rPr>
      </w:pPr>
    </w:p>
    <w:p w14:paraId="322B0B5B" w14:textId="77777777" w:rsidR="00AE3D7F" w:rsidRDefault="00AE3D7F" w:rsidP="007B3679">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385F620C" w14:textId="77777777" w:rsidR="00AE3D7F" w:rsidRPr="00973F32" w:rsidRDefault="00AE3D7F" w:rsidP="00973F32">
      <w:pPr>
        <w:rPr>
          <w:rFonts w:eastAsia="Malgun Gothic" w:hint="eastAsia"/>
          <w:lang w:eastAsia="ko-KR"/>
        </w:rPr>
      </w:pPr>
      <w:r w:rsidRPr="00973F32">
        <w:rPr>
          <w:rFonts w:eastAsia="Malgun Gothic"/>
          <w:noProof/>
          <w:lang w:eastAsia="ko-KR"/>
        </w:rPr>
        <w:lastRenderedPageBreak/>
        <w:drawing>
          <wp:inline distT="0" distB="0" distL="0" distR="0" wp14:anchorId="0C79DD02" wp14:editId="3A204D06">
            <wp:extent cx="5402580" cy="5402580"/>
            <wp:effectExtent l="0" t="0" r="7620" b="7620"/>
            <wp:docPr id="163736604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a:noFill/>
                    </a:ln>
                  </pic:spPr>
                </pic:pic>
              </a:graphicData>
            </a:graphic>
          </wp:inline>
        </w:drawing>
      </w:r>
    </w:p>
    <w:p w14:paraId="3E4144D8" w14:textId="77777777" w:rsidR="00AE3D7F" w:rsidRDefault="00AE3D7F" w:rsidP="007B3679">
      <w:pPr>
        <w:rPr>
          <w:rFonts w:eastAsia="Malgun Gothic" w:hint="eastAsia"/>
          <w:lang w:eastAsia="ko-KR"/>
        </w:rPr>
      </w:pPr>
    </w:p>
    <w:p w14:paraId="68FAEE2E" w14:textId="77777777" w:rsidR="00AE3D7F" w:rsidRDefault="00AE3D7F" w:rsidP="007B3679">
      <w:pPr>
        <w:rPr>
          <w:rFonts w:eastAsia="Malgun Gothic" w:hint="eastAsia"/>
          <w:lang w:eastAsia="ko-KR"/>
        </w:rPr>
      </w:pPr>
    </w:p>
    <w:p w14:paraId="7D904122" w14:textId="77777777" w:rsidR="00AE3D7F" w:rsidRDefault="00AE3D7F" w:rsidP="007B3679">
      <w:pPr>
        <w:rPr>
          <w:rFonts w:eastAsia="Malgun Gothic" w:hint="eastAsia"/>
          <w:lang w:eastAsia="ko-KR"/>
        </w:rPr>
      </w:pPr>
    </w:p>
    <w:p w14:paraId="221FC12B" w14:textId="77777777" w:rsidR="00AE3D7F" w:rsidRDefault="00AE3D7F" w:rsidP="007B3679">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3742665D" w14:textId="77777777" w:rsidR="00AE3D7F" w:rsidRPr="00CE2C76" w:rsidRDefault="00AE3D7F" w:rsidP="00CE2C76">
      <w:pPr>
        <w:rPr>
          <w:rFonts w:eastAsia="Malgun Gothic" w:hint="eastAsia"/>
          <w:lang w:eastAsia="ko-KR"/>
        </w:rPr>
      </w:pPr>
      <w:r w:rsidRPr="00CE2C76">
        <w:rPr>
          <w:rFonts w:eastAsia="Malgun Gothic"/>
          <w:noProof/>
          <w:lang w:eastAsia="ko-KR"/>
        </w:rPr>
        <w:lastRenderedPageBreak/>
        <w:drawing>
          <wp:inline distT="0" distB="0" distL="0" distR="0" wp14:anchorId="0437BAF9" wp14:editId="690C8320">
            <wp:extent cx="5402580" cy="5402580"/>
            <wp:effectExtent l="0" t="0" r="7620" b="7620"/>
            <wp:docPr id="214160431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a:noFill/>
                    </a:ln>
                  </pic:spPr>
                </pic:pic>
              </a:graphicData>
            </a:graphic>
          </wp:inline>
        </w:drawing>
      </w:r>
    </w:p>
    <w:p w14:paraId="095DCC2A" w14:textId="77777777" w:rsidR="00AE3D7F" w:rsidRDefault="00AE3D7F" w:rsidP="00356197">
      <w:pPr>
        <w:rPr>
          <w:rFonts w:eastAsia="Malgun Gothic" w:hint="eastAsia"/>
          <w:lang w:eastAsia="ko-KR"/>
        </w:rPr>
      </w:pPr>
    </w:p>
    <w:p w14:paraId="6E6E1A95" w14:textId="77777777" w:rsidR="00AE3D7F" w:rsidRDefault="00AE3D7F" w:rsidP="00356197">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10FEB03B" w14:textId="77777777" w:rsidR="00AE3D7F" w:rsidRPr="00AD51CF" w:rsidRDefault="00AE3D7F" w:rsidP="00AD51CF">
      <w:pPr>
        <w:rPr>
          <w:rFonts w:eastAsia="Malgun Gothic" w:hint="eastAsia"/>
          <w:lang w:eastAsia="ko-KR"/>
        </w:rPr>
      </w:pPr>
      <w:r w:rsidRPr="00AD51CF">
        <w:rPr>
          <w:rFonts w:eastAsia="Malgun Gothic"/>
          <w:noProof/>
          <w:lang w:eastAsia="ko-KR"/>
        </w:rPr>
        <w:lastRenderedPageBreak/>
        <w:drawing>
          <wp:inline distT="0" distB="0" distL="0" distR="0" wp14:anchorId="200F43F6" wp14:editId="04AEE5F9">
            <wp:extent cx="5402580" cy="5402580"/>
            <wp:effectExtent l="0" t="0" r="7620" b="7620"/>
            <wp:docPr id="64584263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a:noFill/>
                    </a:ln>
                  </pic:spPr>
                </pic:pic>
              </a:graphicData>
            </a:graphic>
          </wp:inline>
        </w:drawing>
      </w:r>
    </w:p>
    <w:p w14:paraId="15BB82B4" w14:textId="77777777" w:rsidR="00AE3D7F" w:rsidRPr="00806344" w:rsidRDefault="00AE3D7F" w:rsidP="00806344">
      <w:pPr>
        <w:rPr>
          <w:rFonts w:eastAsia="Malgun Gothic" w:hint="eastAsia"/>
          <w:lang w:eastAsia="ko-KR"/>
        </w:rPr>
      </w:pPr>
    </w:p>
    <w:p w14:paraId="559200DE" w14:textId="77777777" w:rsidR="00AE3D7F" w:rsidRPr="00356197" w:rsidRDefault="00AE3D7F" w:rsidP="00356197">
      <w:pPr>
        <w:rPr>
          <w:rFonts w:eastAsia="Malgun Gothic" w:hint="eastAsia"/>
          <w:lang w:eastAsia="ko-KR"/>
        </w:rPr>
      </w:pPr>
    </w:p>
    <w:p w14:paraId="5D381771" w14:textId="77777777" w:rsidR="00AE3D7F" w:rsidRDefault="00AE3D7F" w:rsidP="007B3679">
      <w:pPr>
        <w:rPr>
          <w:rFonts w:eastAsia="Malgun Gothic" w:hint="eastAsia"/>
          <w:lang w:eastAsia="ko-KR"/>
        </w:rPr>
      </w:pPr>
    </w:p>
    <w:p w14:paraId="4BE83F3D" w14:textId="77777777" w:rsidR="00AE3D7F" w:rsidRDefault="00AE3D7F" w:rsidP="007B3679">
      <w:pPr>
        <w:rPr>
          <w:rFonts w:eastAsia="Malgun Gothic" w:hint="eastAsia"/>
          <w:lang w:eastAsia="ko-KR"/>
        </w:rPr>
      </w:pPr>
    </w:p>
    <w:p w14:paraId="27CEE44C" w14:textId="77777777" w:rsidR="00AE3D7F" w:rsidRDefault="00AE3D7F" w:rsidP="007B3679">
      <w:pPr>
        <w:rPr>
          <w:rFonts w:eastAsia="Malgun Gothic" w:hint="eastAsia"/>
          <w:lang w:eastAsia="ko-KR"/>
        </w:rPr>
        <w:sectPr w:rsidR="00AE3D7F" w:rsidSect="00AE3D7F">
          <w:pgSz w:w="11906" w:h="16838"/>
          <w:pgMar w:top="1987" w:right="1699" w:bottom="1699" w:left="1699" w:header="720" w:footer="720" w:gutter="0"/>
          <w:lnNumType w:countBy="5" w:restart="continuous"/>
          <w:cols w:space="720"/>
          <w:docGrid w:linePitch="360"/>
        </w:sectPr>
      </w:pPr>
    </w:p>
    <w:p w14:paraId="471908FB" w14:textId="53813D85" w:rsidR="00AE3D7F" w:rsidRPr="0056087F" w:rsidRDefault="00AE3D7F" w:rsidP="0056087F">
      <w:pPr>
        <w:pStyle w:val="Caption"/>
        <w:rPr>
          <w:rFonts w:eastAsia="Malgun Gothic" w:hint="eastAsia"/>
          <w:lang w:eastAsia="ko-KR"/>
        </w:rPr>
      </w:pPr>
      <w:r>
        <w:lastRenderedPageBreak/>
        <w:t xml:space="preserve">Extended figure </w:t>
      </w:r>
      <w:r>
        <w:fldChar w:fldCharType="begin"/>
      </w:r>
      <w:r>
        <w:instrText xml:space="preserve"> SEQ Extended_figure \* ARABIC </w:instrText>
      </w:r>
      <w:r>
        <w:fldChar w:fldCharType="separate"/>
      </w:r>
      <w:r w:rsidR="000D2411">
        <w:rPr>
          <w:noProof/>
        </w:rPr>
        <w:t>5</w:t>
      </w:r>
      <w:r>
        <w:rPr>
          <w:noProof/>
        </w:rPr>
        <w:fldChar w:fldCharType="end"/>
      </w:r>
      <w:r>
        <w:rPr>
          <w:rFonts w:eastAsia="Malgun Gothic" w:hint="eastAsia"/>
          <w:lang w:eastAsia="ko-KR"/>
        </w:rPr>
        <w:t xml:space="preserve"> </w:t>
      </w:r>
      <w:r w:rsidRPr="00176F89">
        <w:t>Modelled susceptible</w:t>
      </w:r>
      <w:r>
        <w:rPr>
          <w:rFonts w:eastAsia="Malgun Gothic" w:hint="eastAsia"/>
          <w:lang w:eastAsia="ko-KR"/>
        </w:rPr>
        <w:t xml:space="preserve"> </w:t>
      </w:r>
      <w:r w:rsidRPr="00176F89">
        <w:t>at</w:t>
      </w:r>
      <w:r>
        <w:rPr>
          <w:rFonts w:eastAsia="Malgun Gothic" w:hint="eastAsia"/>
          <w:lang w:eastAsia="ko-KR"/>
        </w:rPr>
        <w:t xml:space="preserve"> </w:t>
      </w:r>
      <w:r w:rsidRPr="00176F89">
        <w:t>vaccination fraction used in the serostatus-adjusted vaccine-risk scenario</w:t>
      </w:r>
    </w:p>
    <w:p w14:paraId="267A6911" w14:textId="77777777" w:rsidR="00AE3D7F" w:rsidRPr="00FF2ED1" w:rsidRDefault="00AE3D7F" w:rsidP="00FF2ED1">
      <w:pPr>
        <w:rPr>
          <w:rFonts w:eastAsia="Malgun Gothic" w:hint="eastAsia"/>
          <w:lang w:eastAsia="ko-KR"/>
        </w:rPr>
      </w:pPr>
      <w:r w:rsidRPr="00FF2ED1">
        <w:rPr>
          <w:rFonts w:eastAsia="Malgun Gothic"/>
          <w:noProof/>
          <w:lang w:eastAsia="ko-KR"/>
        </w:rPr>
        <w:drawing>
          <wp:inline distT="0" distB="0" distL="0" distR="0" wp14:anchorId="44B93E60" wp14:editId="119AB634">
            <wp:extent cx="5402580" cy="7480300"/>
            <wp:effectExtent l="0" t="0" r="7620" b="6350"/>
            <wp:docPr id="22352424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2580" cy="7480300"/>
                    </a:xfrm>
                    <a:prstGeom prst="rect">
                      <a:avLst/>
                    </a:prstGeom>
                    <a:noFill/>
                    <a:ln>
                      <a:noFill/>
                    </a:ln>
                  </pic:spPr>
                </pic:pic>
              </a:graphicData>
            </a:graphic>
          </wp:inline>
        </w:drawing>
      </w:r>
    </w:p>
    <w:p w14:paraId="411D6986" w14:textId="77777777" w:rsidR="00AE3D7F" w:rsidRPr="00176F89" w:rsidRDefault="00AE3D7F" w:rsidP="00176F89">
      <w:pPr>
        <w:rPr>
          <w:rFonts w:eastAsia="Malgun Gothic" w:hint="eastAsia"/>
          <w:lang w:eastAsia="ko-KR"/>
        </w:rPr>
        <w:sectPr w:rsidR="00AE3D7F" w:rsidRPr="00176F89" w:rsidSect="00AE3D7F">
          <w:pgSz w:w="11906" w:h="16838"/>
          <w:pgMar w:top="1987" w:right="1699" w:bottom="1699" w:left="1699" w:header="720" w:footer="720" w:gutter="0"/>
          <w:lnNumType w:countBy="5" w:restart="continuous"/>
          <w:cols w:space="720"/>
          <w:docGrid w:linePitch="360"/>
        </w:sectPr>
      </w:pPr>
    </w:p>
    <w:p w14:paraId="206603F0" w14:textId="5123E3AB" w:rsidR="00AE3D7F" w:rsidRPr="00801C10" w:rsidRDefault="00AE3D7F" w:rsidP="009E7451">
      <w:pPr>
        <w:pStyle w:val="Caption"/>
        <w:rPr>
          <w:rFonts w:eastAsia="Malgun Gothic" w:hint="eastAsia"/>
          <w:lang w:val="en-US" w:eastAsia="ko-KR"/>
        </w:rPr>
      </w:pPr>
      <w:r>
        <w:lastRenderedPageBreak/>
        <w:t xml:space="preserve">Extended Table </w:t>
      </w:r>
      <w:r>
        <w:fldChar w:fldCharType="begin"/>
      </w:r>
      <w:r>
        <w:instrText xml:space="preserve"> SEQ Extended_Table \* ARABIC </w:instrText>
      </w:r>
      <w:r>
        <w:fldChar w:fldCharType="separate"/>
      </w:r>
      <w:r w:rsidR="000D2411">
        <w:rPr>
          <w:noProof/>
        </w:rPr>
        <w:t>1</w:t>
      </w:r>
      <w:r>
        <w:rPr>
          <w:noProof/>
        </w:rPr>
        <w:fldChar w:fldCharType="end"/>
      </w:r>
      <w:r w:rsidRPr="00801C10">
        <w:t xml:space="preserve"> </w:t>
      </w:r>
      <w:r>
        <w:rPr>
          <w:rFonts w:eastAsia="Malgun Gothic" w:hint="eastAsia"/>
          <w:lang w:eastAsia="ko-KR"/>
        </w:rPr>
        <w:t>SAE</w:t>
      </w:r>
      <w:r w:rsidRPr="00801C10">
        <w:t xml:space="preserve"> averted (benefits) and vaccine- associated </w:t>
      </w:r>
      <w:r>
        <w:rPr>
          <w:rFonts w:eastAsia="Malgun Gothic" w:hint="eastAsia"/>
          <w:lang w:eastAsia="ko-KR"/>
        </w:rPr>
        <w:t>SAE</w:t>
      </w:r>
      <w:r w:rsidRPr="00801C10">
        <w:t xml:space="preserve"> (risks) for travel vaccination by travel duration, transmission setting, and age group.</w:t>
      </w:r>
    </w:p>
    <w:tbl>
      <w:tblPr>
        <w:tblW w:w="5000" w:type="pct"/>
        <w:jc w:val="center"/>
        <w:tblLook w:val="0420" w:firstRow="1" w:lastRow="0" w:firstColumn="0" w:lastColumn="0" w:noHBand="0" w:noVBand="1"/>
      </w:tblPr>
      <w:tblGrid>
        <w:gridCol w:w="1361"/>
        <w:gridCol w:w="964"/>
        <w:gridCol w:w="1279"/>
        <w:gridCol w:w="1427"/>
        <w:gridCol w:w="1279"/>
        <w:gridCol w:w="1427"/>
        <w:gridCol w:w="1279"/>
        <w:gridCol w:w="1428"/>
        <w:gridCol w:w="1280"/>
        <w:gridCol w:w="1428"/>
      </w:tblGrid>
      <w:tr w:rsidR="00AE3D7F" w14:paraId="151F120E" w14:textId="77777777">
        <w:trPr>
          <w:tblHeader/>
          <w:jc w:val="center"/>
        </w:trPr>
        <w:tc>
          <w:tcPr>
            <w:tcW w:w="450"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4B1C1E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7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268080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04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C095B0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7d</w:t>
            </w:r>
          </w:p>
        </w:tc>
        <w:tc>
          <w:tcPr>
            <w:tcW w:w="104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DF5C48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14d</w:t>
            </w:r>
          </w:p>
        </w:tc>
        <w:tc>
          <w:tcPr>
            <w:tcW w:w="104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881569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30d</w:t>
            </w:r>
          </w:p>
        </w:tc>
        <w:tc>
          <w:tcPr>
            <w:tcW w:w="104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4E3E04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90d</w:t>
            </w:r>
          </w:p>
        </w:tc>
      </w:tr>
      <w:tr w:rsidR="00AE3D7F" w14:paraId="77C376BE" w14:textId="77777777">
        <w:trPr>
          <w:tblHeader/>
          <w:jc w:val="center"/>
        </w:trPr>
        <w:tc>
          <w:tcPr>
            <w:tcW w:w="45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460E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7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6522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4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9E8D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5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6A86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4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703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5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1E96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4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411A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5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4EE9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4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2951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5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E529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r>
      <w:tr w:rsidR="00AE3D7F" w14:paraId="65D871C5" w14:textId="77777777">
        <w:trPr>
          <w:jc w:val="center"/>
        </w:trPr>
        <w:tc>
          <w:tcPr>
            <w:tcW w:w="450"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F5BF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7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735C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4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AA4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(0.00–0.08)</w:t>
            </w:r>
          </w:p>
        </w:tc>
        <w:tc>
          <w:tcPr>
            <w:tcW w:w="55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D04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092B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(0.01–0.15)</w:t>
            </w:r>
          </w:p>
        </w:tc>
        <w:tc>
          <w:tcPr>
            <w:tcW w:w="55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EBD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C790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 (0.02–0.35)</w:t>
            </w:r>
          </w:p>
        </w:tc>
        <w:tc>
          <w:tcPr>
            <w:tcW w:w="55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C379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E913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 (0.06–1.20)</w:t>
            </w:r>
          </w:p>
        </w:tc>
        <w:tc>
          <w:tcPr>
            <w:tcW w:w="55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6160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r>
      <w:tr w:rsidR="00AE3D7F" w14:paraId="6BB93B79" w14:textId="77777777">
        <w:trPr>
          <w:jc w:val="center"/>
        </w:trPr>
        <w:tc>
          <w:tcPr>
            <w:tcW w:w="450"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1813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7BF8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702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(0.00–0.04)</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B20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588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(0.00–0.07)</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6595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A94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(0.01–0.16)</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13C5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F7B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0.08 (0.03–0.58)</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3373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r>
      <w:tr w:rsidR="00AE3D7F" w14:paraId="075CE16D" w14:textId="77777777">
        <w:trPr>
          <w:jc w:val="center"/>
        </w:trPr>
        <w:tc>
          <w:tcPr>
            <w:tcW w:w="450"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B87A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F93F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D42F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(0.01–0.06)</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E4FC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8380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(0.03–0.12)</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B16C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91C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(0.06–0.27)</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760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BCD2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 (0.23–1.51)</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B2C3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r>
      <w:tr w:rsidR="00AE3D7F" w14:paraId="7A0B8570" w14:textId="77777777">
        <w:trPr>
          <w:jc w:val="center"/>
        </w:trPr>
        <w:tc>
          <w:tcPr>
            <w:tcW w:w="450"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0CE1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F2AB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75B1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(0.01–0.03)</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E77A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1ADC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(0.01–0.05)</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41F7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78A8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(0.03–0.13)</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9E0F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7421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 (0.11–0.72)</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00DB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r>
      <w:tr w:rsidR="00AE3D7F" w14:paraId="50B789D9" w14:textId="77777777">
        <w:trPr>
          <w:jc w:val="center"/>
        </w:trPr>
        <w:tc>
          <w:tcPr>
            <w:tcW w:w="450"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70B16F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7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CF68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B132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(0.01–0.18)</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AA54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41E3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 (0.02–0.38)</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FF8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529E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0.34 (0.06–0.91)</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4FFD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c>
          <w:tcPr>
            <w:tcW w:w="4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7F09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1.82 (0.52–4.37)</w:t>
            </w:r>
          </w:p>
        </w:tc>
        <w:tc>
          <w:tcPr>
            <w:tcW w:w="55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592A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1.87 (0.76–3.74)</w:t>
            </w:r>
          </w:p>
        </w:tc>
      </w:tr>
      <w:tr w:rsidR="00AE3D7F" w14:paraId="37B4FADE" w14:textId="77777777">
        <w:trPr>
          <w:jc w:val="center"/>
        </w:trPr>
        <w:tc>
          <w:tcPr>
            <w:tcW w:w="450"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C3035B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7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8A0FF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4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43A9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0.03 (0.00–0.09)</w:t>
            </w:r>
          </w:p>
        </w:tc>
        <w:tc>
          <w:tcPr>
            <w:tcW w:w="5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7CED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6620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 (0.01–0.18)</w:t>
            </w:r>
          </w:p>
        </w:tc>
        <w:tc>
          <w:tcPr>
            <w:tcW w:w="5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C47B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7294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0.16 (0.03–0.43)</w:t>
            </w:r>
          </w:p>
        </w:tc>
        <w:tc>
          <w:tcPr>
            <w:tcW w:w="5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6F8F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c>
          <w:tcPr>
            <w:tcW w:w="4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AA8E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0.87 (0.23–2.02)</w:t>
            </w:r>
          </w:p>
        </w:tc>
        <w:tc>
          <w:tcPr>
            <w:tcW w:w="5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D5E3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10.93 (6.85–16.39)</w:t>
            </w:r>
          </w:p>
        </w:tc>
      </w:tr>
    </w:tbl>
    <w:p w14:paraId="3508D82D" w14:textId="77777777" w:rsidR="00AE3D7F" w:rsidRDefault="00AE3D7F" w:rsidP="00C876F9">
      <w:pPr>
        <w:rPr>
          <w:rFonts w:eastAsia="Malgun Gothic" w:hint="eastAsia"/>
          <w:lang w:eastAsia="ko-KR"/>
        </w:rPr>
      </w:pPr>
    </w:p>
    <w:p w14:paraId="2F59F716" w14:textId="77777777" w:rsidR="00AE3D7F" w:rsidRDefault="00AE3D7F" w:rsidP="009E7451">
      <w:pPr>
        <w:rPr>
          <w:rFonts w:eastAsia="Malgun Gothic" w:hint="eastAsia"/>
          <w:lang w:eastAsia="ko-KR"/>
        </w:rPr>
      </w:pPr>
    </w:p>
    <w:p w14:paraId="2968DE6F" w14:textId="77777777" w:rsidR="00AE3D7F" w:rsidRDefault="00AE3D7F" w:rsidP="009E7451">
      <w:pPr>
        <w:tabs>
          <w:tab w:val="left" w:pos="5205"/>
        </w:tabs>
        <w:rPr>
          <w:rFonts w:eastAsia="Malgun Gothic" w:hint="eastAsia"/>
          <w:lang w:eastAsia="ko-KR"/>
        </w:rPr>
        <w:sectPr w:rsidR="00AE3D7F" w:rsidSect="00AE3D7F">
          <w:pgSz w:w="16838" w:h="11906" w:orient="landscape"/>
          <w:pgMar w:top="1699" w:right="1699" w:bottom="1699" w:left="1987" w:header="720" w:footer="720" w:gutter="0"/>
          <w:lnNumType w:countBy="5" w:restart="continuous"/>
          <w:cols w:space="720"/>
          <w:docGrid w:linePitch="360"/>
        </w:sectPr>
      </w:pPr>
      <w:r>
        <w:rPr>
          <w:rFonts w:eastAsia="Malgun Gothic"/>
          <w:lang w:eastAsia="ko-KR"/>
        </w:rPr>
        <w:tab/>
      </w:r>
    </w:p>
    <w:p w14:paraId="372A2131" w14:textId="2953D29E" w:rsidR="00AE3D7F" w:rsidRPr="00A26800" w:rsidRDefault="00AE3D7F" w:rsidP="00877B16">
      <w:pPr>
        <w:pStyle w:val="Caption"/>
        <w:rPr>
          <w:rFonts w:eastAsia="Malgun Gothic" w:hint="eastAsia"/>
          <w:lang w:val="en-US" w:eastAsia="ko-KR"/>
        </w:rPr>
      </w:pPr>
      <w:r>
        <w:lastRenderedPageBreak/>
        <w:t xml:space="preserve">Extended Table </w:t>
      </w:r>
      <w:r>
        <w:fldChar w:fldCharType="begin"/>
      </w:r>
      <w:r>
        <w:instrText xml:space="preserve"> SEQ Extended_Table \* ARABIC </w:instrText>
      </w:r>
      <w:r>
        <w:fldChar w:fldCharType="separate"/>
      </w:r>
      <w:r w:rsidR="000D2411">
        <w:rPr>
          <w:noProof/>
        </w:rPr>
        <w:t>2</w:t>
      </w:r>
      <w:r>
        <w:rPr>
          <w:noProof/>
        </w:rPr>
        <w:fldChar w:fldCharType="end"/>
      </w:r>
      <w:r w:rsidRPr="00A26800">
        <w:t xml:space="preserve"> D</w:t>
      </w:r>
      <w:r>
        <w:rPr>
          <w:rFonts w:eastAsia="Malgun Gothic" w:hint="eastAsia"/>
          <w:lang w:eastAsia="ko-KR"/>
        </w:rPr>
        <w:t>eaths</w:t>
      </w:r>
      <w:r w:rsidRPr="00A26800">
        <w:t xml:space="preserve"> averted (benefits) and vaccine- associated </w:t>
      </w:r>
      <w:r>
        <w:rPr>
          <w:rFonts w:eastAsia="Malgun Gothic" w:hint="eastAsia"/>
          <w:lang w:eastAsia="ko-KR"/>
        </w:rPr>
        <w:t>deaths</w:t>
      </w:r>
      <w:r w:rsidRPr="00A26800">
        <w:t xml:space="preserve"> (risks) for travel vaccination by travel duration, transmission setting, and age group.</w:t>
      </w:r>
    </w:p>
    <w:tbl>
      <w:tblPr>
        <w:tblW w:w="5000" w:type="pct"/>
        <w:jc w:val="center"/>
        <w:tblLook w:val="0420" w:firstRow="1" w:lastRow="0" w:firstColumn="0" w:lastColumn="0" w:noHBand="0" w:noVBand="1"/>
      </w:tblPr>
      <w:tblGrid>
        <w:gridCol w:w="1361"/>
        <w:gridCol w:w="1015"/>
        <w:gridCol w:w="1347"/>
        <w:gridCol w:w="1347"/>
        <w:gridCol w:w="1347"/>
        <w:gridCol w:w="1347"/>
        <w:gridCol w:w="1347"/>
        <w:gridCol w:w="1347"/>
        <w:gridCol w:w="1347"/>
        <w:gridCol w:w="1347"/>
      </w:tblGrid>
      <w:tr w:rsidR="00AE3D7F" w14:paraId="6370790D" w14:textId="77777777">
        <w:trPr>
          <w:tblHeader/>
          <w:jc w:val="center"/>
        </w:trPr>
        <w:tc>
          <w:tcPr>
            <w:tcW w:w="472"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648189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9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6E5014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03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A6EA3C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7d</w:t>
            </w:r>
          </w:p>
        </w:tc>
        <w:tc>
          <w:tcPr>
            <w:tcW w:w="103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18E294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14d</w:t>
            </w:r>
          </w:p>
        </w:tc>
        <w:tc>
          <w:tcPr>
            <w:tcW w:w="103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5D1E7F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30d</w:t>
            </w:r>
          </w:p>
        </w:tc>
        <w:tc>
          <w:tcPr>
            <w:tcW w:w="1034"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BD263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90d</w:t>
            </w:r>
          </w:p>
        </w:tc>
      </w:tr>
      <w:tr w:rsidR="00AE3D7F" w14:paraId="27CAB8BB" w14:textId="77777777">
        <w:trPr>
          <w:tblHeader/>
          <w:jc w:val="center"/>
        </w:trPr>
        <w:tc>
          <w:tcPr>
            <w:tcW w:w="47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0DCD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9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4D3E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2674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14CF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F2535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74A9A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DD64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1E40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63EB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06EE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w:t>
            </w:r>
          </w:p>
        </w:tc>
      </w:tr>
      <w:tr w:rsidR="00AE3D7F" w14:paraId="4F184806" w14:textId="77777777">
        <w:trPr>
          <w:jc w:val="center"/>
        </w:trPr>
        <w:tc>
          <w:tcPr>
            <w:tcW w:w="4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DB59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91" w:type="pct"/>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9CC9C5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7068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6C9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F9BB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CAE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7FF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(0.00–0.02)</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C141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B372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(0.00–0.07)</w:t>
            </w:r>
          </w:p>
        </w:tc>
        <w:tc>
          <w:tcPr>
            <w:tcW w:w="5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0B97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r>
      <w:tr w:rsidR="00AE3D7F" w14:paraId="7E0F1680" w14:textId="77777777">
        <w:trPr>
          <w:jc w:val="center"/>
        </w:trPr>
        <w:tc>
          <w:tcPr>
            <w:tcW w:w="4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FEBC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91"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4930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185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(0.00–0.00)</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755D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4CE6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E3EB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81C3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(0.00–0.02)</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0276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783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 (0.01–0.09)</w:t>
            </w:r>
          </w:p>
        </w:tc>
        <w:tc>
          <w:tcPr>
            <w:tcW w:w="5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70CB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r>
      <w:tr w:rsidR="00AE3D7F" w14:paraId="0F43DC8D" w14:textId="77777777">
        <w:trPr>
          <w:jc w:val="center"/>
        </w:trPr>
        <w:tc>
          <w:tcPr>
            <w:tcW w:w="4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3DF26C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91"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2DFB14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0DCD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 (0.00–0.01)</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4FB1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1C37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 (0.00–0.02)</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5E20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0D59B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 (0.00–0.05)</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6E71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D417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0.11 (0.03–0.26)</w:t>
            </w:r>
          </w:p>
        </w:tc>
        <w:tc>
          <w:tcPr>
            <w:tcW w:w="5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63F3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r>
    </w:tbl>
    <w:p w14:paraId="3970D036" w14:textId="77777777" w:rsidR="00AE3D7F" w:rsidRPr="00877B16" w:rsidRDefault="00AE3D7F" w:rsidP="00877B16">
      <w:pPr>
        <w:rPr>
          <w:rFonts w:eastAsia="Malgun Gothic" w:hint="eastAsia"/>
          <w:lang w:eastAsia="ko-KR"/>
        </w:rPr>
      </w:pPr>
    </w:p>
    <w:p w14:paraId="37F069EE" w14:textId="77777777" w:rsidR="00AE3D7F" w:rsidRDefault="00AE3D7F" w:rsidP="009E7451">
      <w:pPr>
        <w:tabs>
          <w:tab w:val="left" w:pos="5205"/>
        </w:tabs>
        <w:rPr>
          <w:rFonts w:eastAsia="Malgun Gothic" w:hint="eastAsia"/>
          <w:lang w:eastAsia="ko-KR"/>
        </w:rPr>
        <w:sectPr w:rsidR="00AE3D7F" w:rsidSect="00AE3D7F">
          <w:pgSz w:w="16838" w:h="11906" w:orient="landscape"/>
          <w:pgMar w:top="1699" w:right="1699" w:bottom="1699" w:left="1987" w:header="720" w:footer="720" w:gutter="0"/>
          <w:lnNumType w:countBy="5" w:restart="continuous"/>
          <w:cols w:space="720"/>
          <w:docGrid w:linePitch="360"/>
        </w:sectPr>
      </w:pPr>
      <w:r>
        <w:rPr>
          <w:rFonts w:eastAsia="Malgun Gothic"/>
          <w:lang w:eastAsia="ko-KR"/>
        </w:rPr>
        <w:tab/>
      </w:r>
    </w:p>
    <w:p w14:paraId="1D1C9FC9" w14:textId="1EAAECD1" w:rsidR="00AE3D7F" w:rsidRPr="00A26800" w:rsidRDefault="00AE3D7F" w:rsidP="00773F0C">
      <w:pPr>
        <w:pStyle w:val="Caption"/>
        <w:rPr>
          <w:rFonts w:eastAsia="Malgun Gothic" w:hint="eastAsia"/>
          <w:lang w:eastAsia="ko-KR"/>
        </w:rPr>
      </w:pPr>
      <w:r>
        <w:lastRenderedPageBreak/>
        <w:t xml:space="preserve">Extended Table </w:t>
      </w:r>
      <w:r>
        <w:fldChar w:fldCharType="begin"/>
      </w:r>
      <w:r>
        <w:instrText xml:space="preserve"> SEQ Extended_Table \* ARABIC </w:instrText>
      </w:r>
      <w:r>
        <w:fldChar w:fldCharType="separate"/>
      </w:r>
      <w:r w:rsidR="000D2411">
        <w:rPr>
          <w:noProof/>
        </w:rPr>
        <w:t>3</w:t>
      </w:r>
      <w:r>
        <w:rPr>
          <w:noProof/>
        </w:rPr>
        <w:fldChar w:fldCharType="end"/>
      </w:r>
      <w:r>
        <w:rPr>
          <w:rFonts w:eastAsia="Malgun Gothic" w:hint="eastAsia"/>
          <w:lang w:eastAsia="ko-KR"/>
        </w:rPr>
        <w:t xml:space="preserve"> </w:t>
      </w:r>
      <w:r>
        <w:rPr>
          <w:rFonts w:eastAsia="Malgun Gothic"/>
          <w:lang w:eastAsia="ko-KR"/>
        </w:rPr>
        <w:t xml:space="preserve">SAEs </w:t>
      </w:r>
      <w:r w:rsidRPr="00A26800">
        <w:rPr>
          <w:rFonts w:eastAsia="Malgun Gothic"/>
          <w:lang w:eastAsia="ko-KR"/>
        </w:rPr>
        <w:t>averted (benefits</w:t>
      </w:r>
      <w:proofErr w:type="gramStart"/>
      <w:r w:rsidRPr="00A26800">
        <w:rPr>
          <w:rFonts w:eastAsia="Malgun Gothic"/>
          <w:lang w:eastAsia="ko-KR"/>
        </w:rPr>
        <w:t>)</w:t>
      </w:r>
      <w:proofErr w:type="gramEnd"/>
      <w:r w:rsidRPr="00A26800">
        <w:rPr>
          <w:rFonts w:eastAsia="Malgun Gothic"/>
          <w:lang w:eastAsia="ko-KR"/>
        </w:rPr>
        <w:t xml:space="preserve"> and vaccine associated </w:t>
      </w:r>
      <w:r>
        <w:rPr>
          <w:rFonts w:eastAsia="Malgun Gothic"/>
          <w:lang w:eastAsia="ko-KR"/>
        </w:rPr>
        <w:t xml:space="preserve">SAEs </w:t>
      </w:r>
      <w:r w:rsidRPr="00A26800">
        <w:rPr>
          <w:rFonts w:eastAsia="Malgun Gothic"/>
          <w:lang w:eastAsia="ko-KR"/>
        </w:rPr>
        <w:t xml:space="preserve">(risks) under the reference outbreak response vaccination scenario by vaccine protection mechanism, serostatus based vaccine risk, and age group. The reference scenario assumed campaign initiation in </w:t>
      </w:r>
      <w:proofErr w:type="gramStart"/>
      <w:r w:rsidRPr="00A26800">
        <w:rPr>
          <w:rFonts w:eastAsia="Malgun Gothic"/>
          <w:lang w:eastAsia="ko-KR"/>
        </w:rPr>
        <w:t>week</w:t>
      </w:r>
      <w:proofErr w:type="gramEnd"/>
      <w:r w:rsidRPr="00A26800">
        <w:rPr>
          <w:rFonts w:eastAsia="Malgun Gothic"/>
          <w:lang w:eastAsia="ko-KR"/>
        </w:rPr>
        <w:t xml:space="preserve"> 2 and 50% target-age-group coverage.</w:t>
      </w:r>
    </w:p>
    <w:tbl>
      <w:tblPr>
        <w:tblW w:w="5000" w:type="pct"/>
        <w:jc w:val="center"/>
        <w:tblLook w:val="0420" w:firstRow="1" w:lastRow="0" w:firstColumn="0" w:lastColumn="0" w:noHBand="0" w:noVBand="1"/>
      </w:tblPr>
      <w:tblGrid>
        <w:gridCol w:w="1361"/>
        <w:gridCol w:w="791"/>
        <w:gridCol w:w="946"/>
        <w:gridCol w:w="1020"/>
        <w:gridCol w:w="1231"/>
        <w:gridCol w:w="972"/>
        <w:gridCol w:w="1231"/>
        <w:gridCol w:w="1092"/>
        <w:gridCol w:w="1023"/>
        <w:gridCol w:w="1231"/>
        <w:gridCol w:w="1023"/>
        <w:gridCol w:w="1231"/>
      </w:tblGrid>
      <w:tr w:rsidR="00AE3D7F" w14:paraId="6E63BFD2" w14:textId="77777777" w:rsidTr="00B8530F">
        <w:trPr>
          <w:tblHeader/>
          <w:jc w:val="center"/>
        </w:trPr>
        <w:tc>
          <w:tcPr>
            <w:tcW w:w="517"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E2AB11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0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6D7CB3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033"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9BE88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blocking only (DB)</w:t>
            </w:r>
          </w:p>
        </w:tc>
        <w:tc>
          <w:tcPr>
            <w:tcW w:w="2143"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B33698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and infection blocking (D+I)</w:t>
            </w:r>
          </w:p>
        </w:tc>
      </w:tr>
      <w:tr w:rsidR="00512BB2" w14:paraId="567BCE76" w14:textId="77777777" w:rsidTr="00B8530F">
        <w:trPr>
          <w:tblHeader/>
          <w:jc w:val="center"/>
        </w:trPr>
        <w:tc>
          <w:tcPr>
            <w:tcW w:w="51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2D773"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0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00980"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6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97295"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7D7401"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814D8" w14:textId="384F92F1"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375"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46B13"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3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C921E" w14:textId="0405F392"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6E570C"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E5281"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01553" w14:textId="6D4D1AF9"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39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EF1BD" w14:textId="77777777"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C984F" w14:textId="70836784" w:rsidR="00A2353B" w:rsidRDefault="00A2353B"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r>
      <w:tr w:rsidR="00512BB2" w14:paraId="099B5EBE" w14:textId="77777777" w:rsidTr="00B8530F">
        <w:trPr>
          <w:jc w:val="center"/>
        </w:trPr>
        <w:tc>
          <w:tcPr>
            <w:tcW w:w="517"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C74C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A114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8FB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 (0.1–2.2)</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E8F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0ACF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(0.7–3.5)</w:t>
            </w:r>
          </w:p>
        </w:tc>
        <w:tc>
          <w:tcPr>
            <w:tcW w:w="3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733E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(0.1–1.7)</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FE28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(0.1–1.8)</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A0F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 (0.5–9.8)</w:t>
            </w:r>
          </w:p>
        </w:tc>
        <w:tc>
          <w:tcPr>
            <w:tcW w:w="3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740C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2DC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FDAD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 (0.2–7.6)</w:t>
            </w:r>
          </w:p>
        </w:tc>
        <w:tc>
          <w:tcPr>
            <w:tcW w:w="4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ACA3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(0.3–9.4)</w:t>
            </w:r>
          </w:p>
        </w:tc>
      </w:tr>
      <w:tr w:rsidR="00512BB2" w14:paraId="214E64FC" w14:textId="77777777" w:rsidTr="00B8530F">
        <w:trPr>
          <w:jc w:val="center"/>
        </w:trPr>
        <w:tc>
          <w:tcPr>
            <w:tcW w:w="517"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E678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785D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60EA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 (0.3–4.9)</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CE13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94FA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10.8 (6.9–16.2)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9A2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(0.0–0.5)</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6624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(0.0–0.5)</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5C3D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(1.1–23.1)</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60A5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73DD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9.3 (5.9–14.0)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B33B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 (0.1–2.2)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0DE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 (0.1–2.7)</w:t>
            </w:r>
          </w:p>
        </w:tc>
      </w:tr>
      <w:tr w:rsidR="00512BB2" w14:paraId="112C03C4" w14:textId="77777777" w:rsidTr="00B8530F">
        <w:trPr>
          <w:jc w:val="center"/>
        </w:trPr>
        <w:tc>
          <w:tcPr>
            <w:tcW w:w="517"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4DA0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C5CF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81CB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 (0.5–2.6)</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8B4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BA6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(0.7–3.5)</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96E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 (0.2–2.2)</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6BA9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(0.2–2.3)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1319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5.1 (2.0–11.0)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71AB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870D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AED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2.8 (0.9–9.4)</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9339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 (1.1–11.5)</w:t>
            </w:r>
          </w:p>
        </w:tc>
      </w:tr>
      <w:tr w:rsidR="00512BB2" w14:paraId="438E11BF" w14:textId="77777777" w:rsidTr="00B8530F">
        <w:trPr>
          <w:jc w:val="center"/>
        </w:trPr>
        <w:tc>
          <w:tcPr>
            <w:tcW w:w="517"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9319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17C2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594E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 (1.1–5.6)</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E319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064B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10.8 (6.8–16.2)</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5711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(0.1–0.6)</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F5AD0"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 (0.1–0.6)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BBE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 (3.9–22.2)</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4345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869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 (5.9–14.0)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814C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 (0.3–2.2)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1F4E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 (0.4–2.7)</w:t>
            </w:r>
          </w:p>
        </w:tc>
      </w:tr>
      <w:tr w:rsidR="00512BB2" w14:paraId="689F5341" w14:textId="77777777" w:rsidTr="00B8530F">
        <w:trPr>
          <w:jc w:val="center"/>
        </w:trPr>
        <w:tc>
          <w:tcPr>
            <w:tcW w:w="517"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4BAA9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B893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CE01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 (1.6–9.7)</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CF67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257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 (0.7–3.4)</w:t>
            </w:r>
          </w:p>
        </w:tc>
        <w:tc>
          <w:tcPr>
            <w:tcW w:w="3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994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 (0.7–7.7)</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AECD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 (0.8–8.2)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DE3B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19.1 (7.6–45.9)</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4F5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 (0.8–3.7)</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1024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(0.6–3.0)</w:t>
            </w:r>
          </w:p>
        </w:tc>
        <w:tc>
          <w:tcPr>
            <w:tcW w:w="3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84C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10.5 (3.2–35.2)</w:t>
            </w:r>
          </w:p>
        </w:tc>
        <w:tc>
          <w:tcPr>
            <w:tcW w:w="4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C2B8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13.3 (4.2–43.8)</w:t>
            </w:r>
          </w:p>
        </w:tc>
      </w:tr>
      <w:tr w:rsidR="00512BB2" w14:paraId="37318C12" w14:textId="77777777" w:rsidTr="00B8530F">
        <w:trPr>
          <w:jc w:val="center"/>
        </w:trPr>
        <w:tc>
          <w:tcPr>
            <w:tcW w:w="517"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349C3B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FE570C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23AE4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9.6 (3.6–21.2)</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2822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73B1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 (6.8–16.0)</w:t>
            </w:r>
          </w:p>
        </w:tc>
        <w:tc>
          <w:tcPr>
            <w:tcW w:w="3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32BB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 (0.3–2.0)</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1BCA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 (0.3–2.1)</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F98D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37.8 (14.8–99.4)</w:t>
            </w:r>
          </w:p>
        </w:tc>
        <w:tc>
          <w:tcPr>
            <w:tcW w:w="3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87CDE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 (7.5–17.5)</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296D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9.3 (5.8–13.9)</w:t>
            </w:r>
          </w:p>
        </w:tc>
        <w:tc>
          <w:tcPr>
            <w:tcW w:w="3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1AF58"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 (1.1–9.4)</w:t>
            </w:r>
          </w:p>
        </w:tc>
        <w:tc>
          <w:tcPr>
            <w:tcW w:w="4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00726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 (1.6–11.4)</w:t>
            </w:r>
          </w:p>
        </w:tc>
      </w:tr>
    </w:tbl>
    <w:p w14:paraId="02D7604A" w14:textId="77777777" w:rsidR="00AE3D7F" w:rsidRDefault="00AE3D7F" w:rsidP="00877B16">
      <w:pPr>
        <w:rPr>
          <w:rFonts w:eastAsia="Malgun Gothic" w:hint="eastAsia"/>
          <w:lang w:eastAsia="ko-KR"/>
        </w:rPr>
      </w:pPr>
    </w:p>
    <w:p w14:paraId="1B95B0E1" w14:textId="77777777" w:rsidR="00AE3D7F" w:rsidRDefault="00AE3D7F" w:rsidP="00773F0C">
      <w:pPr>
        <w:tabs>
          <w:tab w:val="left" w:pos="3405"/>
        </w:tabs>
        <w:rPr>
          <w:rFonts w:eastAsia="Malgun Gothic" w:hint="eastAsia"/>
          <w:lang w:eastAsia="ko-KR"/>
        </w:rPr>
      </w:pPr>
      <w:r>
        <w:rPr>
          <w:rFonts w:eastAsia="Malgun Gothic"/>
          <w:lang w:eastAsia="ko-KR"/>
        </w:rPr>
        <w:tab/>
      </w:r>
    </w:p>
    <w:p w14:paraId="58AF71D8" w14:textId="77777777" w:rsidR="00AE3D7F" w:rsidRDefault="00AE3D7F" w:rsidP="00773F0C">
      <w:pPr>
        <w:tabs>
          <w:tab w:val="left" w:pos="3405"/>
        </w:tabs>
        <w:rPr>
          <w:rFonts w:eastAsia="Malgun Gothic" w:hint="eastAsia"/>
          <w:lang w:eastAsia="ko-KR"/>
        </w:rPr>
        <w:sectPr w:rsidR="00AE3D7F" w:rsidSect="00AE3D7F">
          <w:pgSz w:w="16838" w:h="11906" w:orient="landscape"/>
          <w:pgMar w:top="1699" w:right="1699" w:bottom="1699" w:left="1987" w:header="720" w:footer="720" w:gutter="0"/>
          <w:lnNumType w:countBy="5" w:restart="continuous"/>
          <w:cols w:space="720"/>
          <w:docGrid w:linePitch="360"/>
        </w:sectPr>
      </w:pPr>
    </w:p>
    <w:p w14:paraId="5DAF4E99" w14:textId="3226EF55" w:rsidR="00AE3D7F" w:rsidRPr="00A26800" w:rsidRDefault="00AE3D7F" w:rsidP="00773F0C">
      <w:pPr>
        <w:pStyle w:val="Caption"/>
        <w:rPr>
          <w:rFonts w:eastAsia="Malgun Gothic" w:hint="eastAsia"/>
          <w:lang w:eastAsia="ko-KR"/>
        </w:rPr>
      </w:pPr>
      <w:r>
        <w:lastRenderedPageBreak/>
        <w:t xml:space="preserve">Extended Table </w:t>
      </w:r>
      <w:r>
        <w:fldChar w:fldCharType="begin"/>
      </w:r>
      <w:r>
        <w:instrText xml:space="preserve"> SEQ Extended_Table \* ARABIC </w:instrText>
      </w:r>
      <w:r>
        <w:fldChar w:fldCharType="separate"/>
      </w:r>
      <w:r w:rsidR="000D2411">
        <w:rPr>
          <w:noProof/>
        </w:rPr>
        <w:t>4</w:t>
      </w:r>
      <w:r>
        <w:rPr>
          <w:noProof/>
        </w:rPr>
        <w:fldChar w:fldCharType="end"/>
      </w:r>
      <w:r>
        <w:rPr>
          <w:rFonts w:eastAsia="Malgun Gothic" w:hint="eastAsia"/>
          <w:lang w:eastAsia="ko-KR"/>
        </w:rPr>
        <w:t xml:space="preserve"> Deaths</w:t>
      </w:r>
      <w:r w:rsidRPr="00A26800">
        <w:rPr>
          <w:rFonts w:eastAsia="Malgun Gothic"/>
          <w:lang w:eastAsia="ko-KR"/>
        </w:rPr>
        <w:t xml:space="preserve"> averted (benefits</w:t>
      </w:r>
      <w:proofErr w:type="gramStart"/>
      <w:r w:rsidRPr="00A26800">
        <w:rPr>
          <w:rFonts w:eastAsia="Malgun Gothic"/>
          <w:lang w:eastAsia="ko-KR"/>
        </w:rPr>
        <w:t>)</w:t>
      </w:r>
      <w:proofErr w:type="gramEnd"/>
      <w:r w:rsidRPr="00A26800">
        <w:rPr>
          <w:rFonts w:eastAsia="Malgun Gothic"/>
          <w:lang w:eastAsia="ko-KR"/>
        </w:rPr>
        <w:t xml:space="preserve"> and vaccine associated </w:t>
      </w:r>
      <w:r>
        <w:rPr>
          <w:rFonts w:eastAsia="Malgun Gothic" w:hint="eastAsia"/>
          <w:lang w:eastAsia="ko-KR"/>
        </w:rPr>
        <w:t>deaths</w:t>
      </w:r>
      <w:r w:rsidRPr="00A26800">
        <w:rPr>
          <w:rFonts w:eastAsia="Malgun Gothic"/>
          <w:lang w:eastAsia="ko-KR"/>
        </w:rPr>
        <w:t xml:space="preserve"> (risks) under the reference outbreak response vaccination scenario by vaccine protection mechanism, serostatus based vaccine risk, and age group. The reference scenario assumed campaign initiation in </w:t>
      </w:r>
      <w:proofErr w:type="gramStart"/>
      <w:r w:rsidRPr="00A26800">
        <w:rPr>
          <w:rFonts w:eastAsia="Malgun Gothic"/>
          <w:lang w:eastAsia="ko-KR"/>
        </w:rPr>
        <w:t>week</w:t>
      </w:r>
      <w:proofErr w:type="gramEnd"/>
      <w:r w:rsidRPr="00A26800">
        <w:rPr>
          <w:rFonts w:eastAsia="Malgun Gothic"/>
          <w:lang w:eastAsia="ko-KR"/>
        </w:rPr>
        <w:t xml:space="preserve"> 2 and 50% target-age-group coverage.</w:t>
      </w:r>
    </w:p>
    <w:tbl>
      <w:tblPr>
        <w:tblW w:w="5000" w:type="pct"/>
        <w:jc w:val="center"/>
        <w:tblLook w:val="0420" w:firstRow="1" w:lastRow="0" w:firstColumn="0" w:lastColumn="0" w:noHBand="0" w:noVBand="1"/>
      </w:tblPr>
      <w:tblGrid>
        <w:gridCol w:w="1361"/>
        <w:gridCol w:w="732"/>
        <w:gridCol w:w="1001"/>
        <w:gridCol w:w="1001"/>
        <w:gridCol w:w="1231"/>
        <w:gridCol w:w="1064"/>
        <w:gridCol w:w="1231"/>
        <w:gridCol w:w="1002"/>
        <w:gridCol w:w="1002"/>
        <w:gridCol w:w="1231"/>
        <w:gridCol w:w="1065"/>
        <w:gridCol w:w="1231"/>
      </w:tblGrid>
      <w:tr w:rsidR="00AE3D7F" w14:paraId="0BBF8B8B" w14:textId="77777777">
        <w:trPr>
          <w:tblHeader/>
          <w:jc w:val="center"/>
        </w:trPr>
        <w:tc>
          <w:tcPr>
            <w:tcW w:w="38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967295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5A9955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149"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5D3274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blocking only (DB)</w:t>
            </w:r>
          </w:p>
        </w:tc>
        <w:tc>
          <w:tcPr>
            <w:tcW w:w="2149"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096FEF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Disease and infection blocking (D+I)</w:t>
            </w:r>
          </w:p>
        </w:tc>
      </w:tr>
      <w:tr w:rsidR="00AE3D7F" w14:paraId="2CD26FF5" w14:textId="77777777">
        <w:trPr>
          <w:tblHeader/>
          <w:jc w:val="center"/>
        </w:trPr>
        <w:tc>
          <w:tcPr>
            <w:tcW w:w="38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9101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Transmission</w:t>
            </w:r>
          </w:p>
        </w:tc>
        <w:tc>
          <w:tcPr>
            <w:tcW w:w="31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CC005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6520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61F3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7D200" w14:textId="7A402FCA"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w:t>
            </w:r>
            <w:r w:rsidR="00423B91">
              <w:rPr>
                <w:rFonts w:ascii="Arial" w:eastAsia="Arial" w:hAnsi="Arial" w:cs="Arial"/>
                <w:b/>
                <w:color w:val="000000"/>
                <w:sz w:val="18"/>
                <w:szCs w:val="18"/>
              </w:rPr>
              <w:t>serostatus-adjusted</w:t>
            </w:r>
            <w:r>
              <w:rPr>
                <w:rFonts w:ascii="Arial" w:eastAsia="Arial" w:hAnsi="Arial" w:cs="Arial"/>
                <w:b/>
                <w:color w:val="000000"/>
                <w:sz w:val="18"/>
                <w:szCs w:val="18"/>
              </w:rPr>
              <w:t>)</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0281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F9968" w14:textId="0E698246"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 xml:space="preserve">BRR </w:t>
            </w:r>
            <w:r w:rsidR="00423B91">
              <w:rPr>
                <w:rFonts w:ascii="Arial" w:eastAsia="Arial" w:hAnsi="Arial" w:cs="Arial"/>
                <w:b/>
                <w:color w:val="000000"/>
                <w:sz w:val="18"/>
                <w:szCs w:val="18"/>
              </w:rPr>
              <w:t>(serostatus-adjusted)</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CFF7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0C25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2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D0642" w14:textId="161D2882"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 xml:space="preserve">Risk </w:t>
            </w:r>
            <w:r w:rsidR="00423B91">
              <w:rPr>
                <w:rFonts w:ascii="Arial" w:eastAsia="Arial" w:hAnsi="Arial" w:cs="Arial"/>
                <w:b/>
                <w:color w:val="000000"/>
                <w:sz w:val="18"/>
                <w:szCs w:val="18"/>
              </w:rPr>
              <w:t>(serostatus-adjusted)</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5ECB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44"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7180D" w14:textId="7C5783AD"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 xml:space="preserve">BRR </w:t>
            </w:r>
            <w:r w:rsidR="00423B91">
              <w:rPr>
                <w:rFonts w:ascii="Arial" w:eastAsia="Arial" w:hAnsi="Arial" w:cs="Arial"/>
                <w:b/>
                <w:color w:val="000000"/>
                <w:sz w:val="18"/>
                <w:szCs w:val="18"/>
              </w:rPr>
              <w:t>(serostatus-adjusted)</w:t>
            </w:r>
          </w:p>
        </w:tc>
      </w:tr>
      <w:tr w:rsidR="00AE3D7F" w14:paraId="0B4E4F1D" w14:textId="77777777">
        <w:trPr>
          <w:jc w:val="center"/>
        </w:trPr>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DDD8D"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18" w:type="pct"/>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4C9320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2AA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 (0.02–0.29)</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11DC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08F0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0.59 (0.05–2.33)</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C8FD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0.12 (0.01–1.98)</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BB5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(0.01–2.17)</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C8A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 (0.03–0.54)</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C81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E271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0.51 (0.05–2.02)</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EE21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0.23 (0.02–3.86)</w:t>
            </w:r>
          </w:p>
        </w:tc>
        <w:tc>
          <w:tcPr>
            <w:tcW w:w="4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724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 (0.03–4.80)</w:t>
            </w:r>
          </w:p>
        </w:tc>
      </w:tr>
      <w:tr w:rsidR="00AE3D7F" w14:paraId="0F914D2F" w14:textId="77777777">
        <w:trPr>
          <w:jc w:val="center"/>
        </w:trPr>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DB0EC"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18"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9401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F9C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0.16 (0.06–0.33)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A688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4BC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0.59 (0.05–2.32)</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DC5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 (0.04–2.85)</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028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0.27 (0.05–3.10)</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C8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 (0.11–0.58)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F8B31"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BB00B"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0.51 (0.05–2.03)</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D5649"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0.45 (0.08–5.04)</w:t>
            </w:r>
          </w:p>
        </w:tc>
        <w:tc>
          <w:tcPr>
            <w:tcW w:w="4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40284"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 (0.11–6.51)</w:t>
            </w:r>
          </w:p>
        </w:tc>
      </w:tr>
      <w:tr w:rsidR="00AE3D7F" w14:paraId="56F0BEE2" w14:textId="77777777">
        <w:trPr>
          <w:jc w:val="center"/>
        </w:trPr>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44AC5A3"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18"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8CD595"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A870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0.57 (0.22–1.22)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ADF7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C0D2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0.58 (0.05–2.31)</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4290F2"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0.89 (0.17–10.95)</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FA20E"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0.97 (0.19–11.79)</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8BC97"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1.06 (0.43–2.22)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7CDF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 (0.06–2.53)</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53FCA"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0.50 (0.05–1.99)</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D1806"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 (0.32–19.83)</w:t>
            </w:r>
          </w:p>
        </w:tc>
        <w:tc>
          <w:tcPr>
            <w:tcW w:w="4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F90BF" w14:textId="77777777" w:rsidR="00AE3D7F" w:rsidRDefault="00AE3D7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 (0.41–24.86)</w:t>
            </w:r>
          </w:p>
        </w:tc>
      </w:tr>
    </w:tbl>
    <w:p w14:paraId="6CD7D996" w14:textId="77777777" w:rsidR="00AE3D7F" w:rsidRPr="00827995" w:rsidRDefault="00AE3D7F" w:rsidP="00827995">
      <w:pPr>
        <w:rPr>
          <w:rFonts w:ascii="Calibri" w:eastAsia="Malgun Gothic" w:hAnsi="Calibri" w:cs="Calibri"/>
          <w:lang w:eastAsia="ko-KR"/>
        </w:rPr>
      </w:pPr>
    </w:p>
    <w:sectPr w:rsidR="00AE3D7F" w:rsidRPr="00827995" w:rsidSect="00827995">
      <w:pgSz w:w="16838" w:h="11906" w:orient="landscape"/>
      <w:pgMar w:top="1699" w:right="1699" w:bottom="1699" w:left="1987" w:header="720" w:footer="720" w:gutter="0"/>
      <w:lnNumType w:countBy="5"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9-11T16:16:00Z" w:initials="GU">
    <w:p w14:paraId="1CF7C6A1" w14:textId="1036D4C9" w:rsidR="00FE267B" w:rsidRDefault="00FE267B">
      <w:pPr>
        <w:pStyle w:val="CommentText"/>
      </w:pPr>
      <w:r>
        <w:rPr>
          <w:rStyle w:val="CommentReference"/>
        </w:rPr>
        <w:annotationRef/>
      </w:r>
      <w:r w:rsidRPr="64BEFD70">
        <w:t>JHK: Please review the sentence if you can make it simpler.</w:t>
      </w:r>
    </w:p>
  </w:comment>
  <w:comment w:id="1" w:author="Thiago Cerqueira Silva" w:date="2026-09-04T08:58:00Z" w:initials="TS">
    <w:p w14:paraId="1B7FA08F" w14:textId="558C56C9" w:rsidR="00B8566A" w:rsidRDefault="006E397F">
      <w:pPr>
        <w:pStyle w:val="CommentText"/>
      </w:pPr>
      <w:r>
        <w:rPr>
          <w:rStyle w:val="CommentReference"/>
        </w:rPr>
        <w:annotationRef/>
      </w:r>
      <w:r w:rsidR="00B8566A" w:rsidRPr="7F284E95">
        <w:t>Because Nature format (methods in the end). We need to include something in the results to explain why something was done. "To reconstruct chikungunya outbreak dynamics, we used data from 11 Brazilian states with sufficient chikv cases in 2022, which fitted the criteria of XYZ"</w:t>
      </w:r>
    </w:p>
  </w:comment>
  <w:comment w:id="2" w:author="Thiago Cerqueira Silva" w:date="2026-09-04T09:12:00Z" w:initials="TS">
    <w:p w14:paraId="21D3016A" w14:textId="76A28894" w:rsidR="001B70F1" w:rsidRDefault="001B70F1">
      <w:pPr>
        <w:pStyle w:val="CommentText"/>
      </w:pPr>
      <w:r>
        <w:rPr>
          <w:rStyle w:val="CommentReference"/>
        </w:rPr>
        <w:annotationRef/>
      </w:r>
      <w:r w:rsidRPr="5DD3B740">
        <w:t>define the acronym</w:t>
      </w:r>
    </w:p>
  </w:comment>
  <w:comment w:id="3" w:author="Guest User" w:date="2026-09-14T11:01:00Z" w:initials="GU">
    <w:p w14:paraId="2B7ED8F7" w14:textId="018D6A7F" w:rsidR="007F63C6" w:rsidRDefault="007F63C6">
      <w:pPr>
        <w:pStyle w:val="CommentText"/>
      </w:pPr>
      <w:r>
        <w:rPr>
          <w:rStyle w:val="CommentReference"/>
        </w:rPr>
        <w:annotationRef/>
      </w:r>
      <w:r w:rsidRPr="0181B1C4">
        <w:t>"shorter than" or "lasting less than"?</w:t>
      </w:r>
    </w:p>
  </w:comment>
  <w:comment w:id="4" w:author="Thiago Cerqueira Silva" w:date="2026-09-04T09:15:00Z" w:initials="TS">
    <w:p w14:paraId="14C894B9" w14:textId="1231492F" w:rsidR="00D232DB" w:rsidRDefault="00D232DB">
      <w:pPr>
        <w:pStyle w:val="CommentText"/>
      </w:pPr>
      <w:r>
        <w:rPr>
          <w:rStyle w:val="CommentReference"/>
        </w:rPr>
        <w:annotationRef/>
      </w:r>
      <w:r w:rsidRPr="3F6D0848">
        <w:t>also state the country of origin of the surveillance</w:t>
      </w:r>
    </w:p>
  </w:comment>
  <w:comment w:id="5" w:author="Thiago Cerqueira Silva" w:date="2026-09-04T09:05:00Z" w:initials="TS">
    <w:p w14:paraId="4DC9B999" w14:textId="58E06F25" w:rsidR="0092337D" w:rsidRDefault="0092337D">
      <w:pPr>
        <w:pStyle w:val="CommentText"/>
      </w:pPr>
      <w:r>
        <w:rPr>
          <w:rStyle w:val="CommentReference"/>
        </w:rPr>
        <w:annotationRef/>
      </w:r>
      <w:r w:rsidRPr="79509969">
        <w:t>4 years age bands?</w:t>
      </w:r>
    </w:p>
  </w:comment>
  <w:comment w:id="6" w:author="Guest User" w:date="2026-09-14T12:00:00Z" w:initials="GU">
    <w:p w14:paraId="6EE73820" w14:textId="49C1123A" w:rsidR="00407265" w:rsidRDefault="00407265">
      <w:pPr>
        <w:pStyle w:val="CommentText"/>
      </w:pPr>
      <w:r>
        <w:rPr>
          <w:rStyle w:val="CommentReference"/>
        </w:rPr>
        <w:annotationRef/>
      </w:r>
      <w:r w:rsidRPr="6EF49837">
        <w:t xml:space="preserve">JHK: Should N vary by r as well (i.e, N_r instead of N)?  </w:t>
      </w:r>
    </w:p>
  </w:comment>
  <w:comment w:id="7" w:author="Guest User" w:date="2026-09-14T12:02:00Z" w:initials="GU">
    <w:p w14:paraId="08F24578" w14:textId="47EF6B59" w:rsidR="00407265" w:rsidRDefault="00407265">
      <w:pPr>
        <w:pStyle w:val="CommentText"/>
      </w:pPr>
      <w:r>
        <w:rPr>
          <w:rStyle w:val="CommentReference"/>
        </w:rPr>
        <w:annotationRef/>
      </w:r>
      <w:r w:rsidRPr="1F66FEB1">
        <w:t>JHK: should alpha and delta also include the subscript r?</w:t>
      </w:r>
    </w:p>
  </w:comment>
  <w:comment w:id="8" w:author="Thiago Cerqueira Silva" w:date="2026-09-04T09:21:00Z" w:initials="TS">
    <w:p w14:paraId="27C82BB6" w14:textId="77777777" w:rsidR="0067504C" w:rsidRDefault="0067504C" w:rsidP="0067504C">
      <w:pPr>
        <w:pStyle w:val="CommentText"/>
      </w:pPr>
      <w:r>
        <w:rPr>
          <w:rStyle w:val="CommentReference"/>
        </w:rPr>
        <w:annotationRef/>
      </w:r>
      <w:r w:rsidRPr="4AA2FFF6">
        <w:t>I think this a single figure will make each facet very small. Or maybe rearrange with the two surfaces (A/C) on top of each other, and B with each graph on top of each other.</w:t>
      </w:r>
    </w:p>
    <w:p w14:paraId="4541A747" w14:textId="77777777" w:rsidR="0067504C" w:rsidRDefault="0067504C" w:rsidP="0067504C">
      <w:pPr>
        <w:pStyle w:val="CommentText"/>
      </w:pPr>
      <w:r w:rsidRPr="2F4C9577">
        <w:t>A   B1</w:t>
      </w:r>
    </w:p>
    <w:p w14:paraId="02BB378C" w14:textId="77777777" w:rsidR="0067504C" w:rsidRDefault="0067504C" w:rsidP="0067504C">
      <w:pPr>
        <w:pStyle w:val="CommentText"/>
      </w:pPr>
      <w:r w:rsidRPr="5766F972">
        <w:t>C   B2</w:t>
      </w:r>
    </w:p>
  </w:comment>
  <w:comment w:id="9" w:author="Guest User" w:date="2026-09-14T13:45:00Z" w:initials="GU">
    <w:p w14:paraId="573F4F58" w14:textId="7CB40ECD" w:rsidR="00F37C1F" w:rsidRDefault="00F37C1F">
      <w:pPr>
        <w:pStyle w:val="CommentText"/>
      </w:pPr>
      <w:r>
        <w:rPr>
          <w:rStyle w:val="CommentReference"/>
        </w:rPr>
        <w:annotationRef/>
      </w:r>
      <w:r w:rsidRPr="1B95C519">
        <w:t>JHK: Is it correct that no uncertainty band is shown around the estimates in B?</w:t>
      </w:r>
    </w:p>
  </w:comment>
  <w:comment w:id="10" w:author="효림 강" w:date="2026-09-16T11:29:00Z" w:initials="효강">
    <w:p w14:paraId="2C83666D" w14:textId="77777777" w:rsidR="002F2B61" w:rsidRDefault="002F2B61" w:rsidP="002F2B61">
      <w:pPr>
        <w:pStyle w:val="CommentText"/>
      </w:pPr>
      <w:r>
        <w:rPr>
          <w:rStyle w:val="CommentReference"/>
        </w:rPr>
        <w:annotationRef/>
      </w:r>
      <w:r>
        <w:rPr>
          <w:lang w:val="en-US"/>
        </w:rPr>
        <w:t>Yes, y-axis represents the posterior probability that BRR &gt;1 (proportion of PSA draws with BRR &gt; 1).</w:t>
      </w:r>
    </w:p>
  </w:comment>
  <w:comment w:id="11" w:author="Guest User" w:date="2026-09-14T13:58:00Z" w:initials="GU">
    <w:p w14:paraId="7569A911" w14:textId="51024104" w:rsidR="00437897" w:rsidRDefault="00437897">
      <w:pPr>
        <w:pStyle w:val="CommentText"/>
      </w:pPr>
      <w:r>
        <w:rPr>
          <w:rStyle w:val="CommentReference"/>
        </w:rPr>
        <w:annotationRef/>
      </w:r>
      <w:r w:rsidRPr="73B2A6CA">
        <w:t>JHK: I wonder whether using a more intuitive parameter, such as the delay in campaign initiation, on the x-axis would make the figure easier to interpret. (e.g., extended figure 4)</w:t>
      </w:r>
    </w:p>
  </w:comment>
  <w:comment w:id="13" w:author="Guest User" w:date="1900-01-01T00:00:00Z" w:initials="GU">
    <w:p w14:paraId="1F9778E2" w14:textId="79010DFC" w:rsidR="005C1278" w:rsidRDefault="005C1278">
      <w:pPr>
        <w:pStyle w:val="CommentText"/>
      </w:pPr>
      <w:r>
        <w:rPr>
          <w:rStyle w:val="CommentReference"/>
        </w:rPr>
        <w:annotationRef/>
      </w:r>
      <w:r w:rsidRPr="7F07C482">
        <w:t>JHK: Could you clarify whether you are presenting the posterior distribution of the expected reported case counts, which excludes observation-level randomness? In my experience, posterior predictive intervals, which also account for this randomness, are generally much wider.</w:t>
      </w:r>
    </w:p>
  </w:comment>
  <w:comment w:id="12" w:author="Guest User" w:date="2026-09-14T14:05:00Z" w:initials="GU">
    <w:p w14:paraId="4F2F66CE" w14:textId="4276F28F" w:rsidR="00437897" w:rsidRDefault="00437897">
      <w:pPr>
        <w:pStyle w:val="CommentText"/>
      </w:pPr>
      <w:r>
        <w:rPr>
          <w:rStyle w:val="CommentReference"/>
        </w:rPr>
        <w:annotationRef/>
      </w:r>
      <w:r w:rsidRPr="39BF760F">
        <w:t>JHK: Can we justify assuming that travellers to these administrative level 1 regions would face the infection risk estimated from the outbreak trajectories? For example, were the outbreaks widespread across these regions?</w:t>
      </w:r>
    </w:p>
  </w:comment>
  <w:comment w:id="14" w:author="Thiago Cerqueira Silva" w:date="2026-09-04T09:18:00Z" w:initials="TS">
    <w:p w14:paraId="5AB43175" w14:textId="3EA42F61" w:rsidR="00EF4F88" w:rsidRDefault="00EF4F88">
      <w:pPr>
        <w:pStyle w:val="CommentText"/>
      </w:pPr>
      <w:r>
        <w:rPr>
          <w:rStyle w:val="CommentReference"/>
        </w:rPr>
        <w:annotationRef/>
      </w:r>
      <w:r w:rsidRPr="7FC0CD7B">
        <w:t>Can you slightly jitter the points? so the bars dont overlap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7C6A1" w15:done="1"/>
  <w15:commentEx w15:paraId="1B7FA08F" w15:done="1"/>
  <w15:commentEx w15:paraId="21D3016A" w15:done="1"/>
  <w15:commentEx w15:paraId="2B7ED8F7" w15:done="1"/>
  <w15:commentEx w15:paraId="14C894B9" w15:done="0"/>
  <w15:commentEx w15:paraId="4DC9B999" w15:done="1"/>
  <w15:commentEx w15:paraId="6EE73820" w15:done="1"/>
  <w15:commentEx w15:paraId="08F24578" w15:done="1"/>
  <w15:commentEx w15:paraId="02BB378C" w15:done="1"/>
  <w15:commentEx w15:paraId="573F4F58" w15:done="1"/>
  <w15:commentEx w15:paraId="2C83666D" w15:paraIdParent="573F4F58" w15:done="1"/>
  <w15:commentEx w15:paraId="7569A911" w15:done="1"/>
  <w15:commentEx w15:paraId="1F9778E2" w15:done="1"/>
  <w15:commentEx w15:paraId="4F2F66CE" w15:done="1"/>
  <w15:commentEx w15:paraId="5AB431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710E88" w16cex:dateUtc="2026-09-11T07:16:00Z"/>
  <w16cex:commentExtensible w16cex:durableId="5E7033D6" w16cex:dateUtc="2026-09-04T07:58:00Z"/>
  <w16cex:commentExtensible w16cex:durableId="398EF214" w16cex:dateUtc="2026-09-04T08:12:00Z"/>
  <w16cex:commentExtensible w16cex:durableId="5E18037D" w16cex:dateUtc="2026-09-14T02:01:00Z"/>
  <w16cex:commentExtensible w16cex:durableId="4E51737D" w16cex:dateUtc="2026-09-04T08:15:00Z"/>
  <w16cex:commentExtensible w16cex:durableId="015EAA09" w16cex:dateUtc="2026-09-04T08:05:00Z"/>
  <w16cex:commentExtensible w16cex:durableId="44BDCB58" w16cex:dateUtc="2026-09-14T03:00:00Z"/>
  <w16cex:commentExtensible w16cex:durableId="699E61B7" w16cex:dateUtc="2026-09-14T03:02:00Z"/>
  <w16cex:commentExtensible w16cex:durableId="76682411" w16cex:dateUtc="2026-09-04T08:21:00Z">
    <w16cex:extLst>
      <w16:ext w16:uri="{CE6994B0-6A32-4C9F-8C6B-6E91EDA988CE}">
        <cr:reactions xmlns:cr="http://schemas.microsoft.com/office/comments/2020/reactions">
          <cr:reaction reactionType="1">
            <cr:reactionInfo dateUtc="2026-09-05T13:04:35Z">
              <cr:user userId="34c203ecef29604f" userProvider="Windows Live" userName="효림 강"/>
            </cr:reactionInfo>
          </cr:reaction>
        </cr:reactions>
      </w16:ext>
    </w16cex:extLst>
  </w16cex:commentExtensible>
  <w16cex:commentExtensible w16cex:durableId="070EA8A4" w16cex:dateUtc="2026-09-14T04:45:00Z"/>
  <w16cex:commentExtensible w16cex:durableId="71F35931" w16cex:dateUtc="2026-09-16T02:29:00Z"/>
  <w16cex:commentExtensible w16cex:durableId="0E69B34E" w16cex:dateUtc="2026-09-14T04:58:00Z"/>
  <w16cex:commentExtensible w16cex:durableId="65CFD219" w16cex:dateUtc="2026-09-14T03:15:00Z"/>
  <w16cex:commentExtensible w16cex:durableId="6E9CDC57" w16cex:dateUtc="2026-09-14T05:05:00Z"/>
  <w16cex:commentExtensible w16cex:durableId="2435B46A" w16cex:dateUtc="2026-09-04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7C6A1" w16cid:durableId="26710E88"/>
  <w16cid:commentId w16cid:paraId="1B7FA08F" w16cid:durableId="5E7033D6"/>
  <w16cid:commentId w16cid:paraId="21D3016A" w16cid:durableId="398EF214"/>
  <w16cid:commentId w16cid:paraId="2B7ED8F7" w16cid:durableId="5E18037D"/>
  <w16cid:commentId w16cid:paraId="14C894B9" w16cid:durableId="4E51737D"/>
  <w16cid:commentId w16cid:paraId="4DC9B999" w16cid:durableId="015EAA09"/>
  <w16cid:commentId w16cid:paraId="6EE73820" w16cid:durableId="44BDCB58"/>
  <w16cid:commentId w16cid:paraId="08F24578" w16cid:durableId="699E61B7"/>
  <w16cid:commentId w16cid:paraId="02BB378C" w16cid:durableId="76682411"/>
  <w16cid:commentId w16cid:paraId="573F4F58" w16cid:durableId="070EA8A4"/>
  <w16cid:commentId w16cid:paraId="2C83666D" w16cid:durableId="71F35931"/>
  <w16cid:commentId w16cid:paraId="7569A911" w16cid:durableId="0E69B34E"/>
  <w16cid:commentId w16cid:paraId="1F9778E2" w16cid:durableId="65CFD219"/>
  <w16cid:commentId w16cid:paraId="4F2F66CE" w16cid:durableId="6E9CDC57"/>
  <w16cid:commentId w16cid:paraId="5AB43175" w16cid:durableId="2435B4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3AB9" w14:textId="77777777" w:rsidR="0006779E" w:rsidRDefault="0006779E" w:rsidP="002A716B">
      <w:pPr>
        <w:spacing w:after="0" w:line="240" w:lineRule="auto"/>
      </w:pPr>
      <w:r>
        <w:separator/>
      </w:r>
    </w:p>
  </w:endnote>
  <w:endnote w:type="continuationSeparator" w:id="0">
    <w:p w14:paraId="09A2CF2E" w14:textId="77777777" w:rsidR="0006779E" w:rsidRDefault="0006779E" w:rsidP="002A7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98F54" w14:textId="77777777" w:rsidR="0006779E" w:rsidRDefault="0006779E" w:rsidP="002A716B">
      <w:pPr>
        <w:spacing w:after="0" w:line="240" w:lineRule="auto"/>
      </w:pPr>
      <w:r>
        <w:separator/>
      </w:r>
    </w:p>
  </w:footnote>
  <w:footnote w:type="continuationSeparator" w:id="0">
    <w:p w14:paraId="603EC912" w14:textId="77777777" w:rsidR="0006779E" w:rsidRDefault="0006779E" w:rsidP="002A7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D7C2C"/>
    <w:multiLevelType w:val="hybridMultilevel"/>
    <w:tmpl w:val="DCE86CB6"/>
    <w:lvl w:ilvl="0" w:tplc="7F08C8A4">
      <w:start w:val="13"/>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221EE"/>
    <w:multiLevelType w:val="hybridMultilevel"/>
    <w:tmpl w:val="E4A42BBE"/>
    <w:lvl w:ilvl="0" w:tplc="1C4CF80E">
      <w:start w:val="2"/>
      <w:numFmt w:val="bullet"/>
      <w:lvlText w:val="-"/>
      <w:lvlJc w:val="left"/>
      <w:pPr>
        <w:ind w:left="720" w:hanging="360"/>
      </w:pPr>
      <w:rPr>
        <w:rFonts w:ascii="Calibri" w:eastAsia="Malgun Gothic" w:hAnsi="Calibri"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E51417"/>
    <w:multiLevelType w:val="multilevel"/>
    <w:tmpl w:val="F87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EB2669"/>
    <w:multiLevelType w:val="hybridMultilevel"/>
    <w:tmpl w:val="89144B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1626226">
    <w:abstractNumId w:val="2"/>
  </w:num>
  <w:num w:numId="2" w16cid:durableId="274334389">
    <w:abstractNumId w:val="3"/>
  </w:num>
  <w:num w:numId="3" w16cid:durableId="1683972331">
    <w:abstractNumId w:val="4"/>
  </w:num>
  <w:num w:numId="4" w16cid:durableId="1441485082">
    <w:abstractNumId w:val="1"/>
  </w:num>
  <w:num w:numId="5" w16cid:durableId="407970185">
    <w:abstractNumId w:val="0"/>
  </w:num>
  <w:num w:numId="6" w16cid:durableId="14539821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ago Cerqueira Silva">
    <w15:presenceInfo w15:providerId="Windows Live" w15:userId="9a5aae515a9b2e6b"/>
  </w15:person>
  <w15:person w15:author="효림 강">
    <w15:presenceInfo w15:providerId="Windows Live" w15:userId="34c203ecef296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E"/>
    <w:rsid w:val="0000078F"/>
    <w:rsid w:val="000007D8"/>
    <w:rsid w:val="00001A67"/>
    <w:rsid w:val="00001AE5"/>
    <w:rsid w:val="00002EFF"/>
    <w:rsid w:val="000034EC"/>
    <w:rsid w:val="00005ADD"/>
    <w:rsid w:val="000064CB"/>
    <w:rsid w:val="0000710A"/>
    <w:rsid w:val="00007838"/>
    <w:rsid w:val="000078FB"/>
    <w:rsid w:val="000079A8"/>
    <w:rsid w:val="0001141A"/>
    <w:rsid w:val="00011EA3"/>
    <w:rsid w:val="00011FD2"/>
    <w:rsid w:val="0001367E"/>
    <w:rsid w:val="00013EE0"/>
    <w:rsid w:val="00014688"/>
    <w:rsid w:val="00014916"/>
    <w:rsid w:val="00015C41"/>
    <w:rsid w:val="00016B30"/>
    <w:rsid w:val="00017CCB"/>
    <w:rsid w:val="00020645"/>
    <w:rsid w:val="000224BB"/>
    <w:rsid w:val="00022F35"/>
    <w:rsid w:val="000245D5"/>
    <w:rsid w:val="0002522D"/>
    <w:rsid w:val="00026AB7"/>
    <w:rsid w:val="00026B03"/>
    <w:rsid w:val="000304FA"/>
    <w:rsid w:val="0003077A"/>
    <w:rsid w:val="0003125D"/>
    <w:rsid w:val="00031819"/>
    <w:rsid w:val="00032B12"/>
    <w:rsid w:val="00032C03"/>
    <w:rsid w:val="0003579C"/>
    <w:rsid w:val="00036F10"/>
    <w:rsid w:val="0004097C"/>
    <w:rsid w:val="00040E02"/>
    <w:rsid w:val="0004111C"/>
    <w:rsid w:val="000428F3"/>
    <w:rsid w:val="00042E6C"/>
    <w:rsid w:val="00043D76"/>
    <w:rsid w:val="00046355"/>
    <w:rsid w:val="000471AB"/>
    <w:rsid w:val="00047991"/>
    <w:rsid w:val="000479BF"/>
    <w:rsid w:val="00050B36"/>
    <w:rsid w:val="0005370F"/>
    <w:rsid w:val="00053864"/>
    <w:rsid w:val="00055528"/>
    <w:rsid w:val="0005569F"/>
    <w:rsid w:val="00056F94"/>
    <w:rsid w:val="0006088C"/>
    <w:rsid w:val="00061A77"/>
    <w:rsid w:val="00061C05"/>
    <w:rsid w:val="00062D53"/>
    <w:rsid w:val="00063542"/>
    <w:rsid w:val="00064CF7"/>
    <w:rsid w:val="00066904"/>
    <w:rsid w:val="00066E89"/>
    <w:rsid w:val="0006779E"/>
    <w:rsid w:val="00070B71"/>
    <w:rsid w:val="00071630"/>
    <w:rsid w:val="00071DB6"/>
    <w:rsid w:val="00073713"/>
    <w:rsid w:val="0007567B"/>
    <w:rsid w:val="00076D4D"/>
    <w:rsid w:val="00077034"/>
    <w:rsid w:val="00077505"/>
    <w:rsid w:val="00080277"/>
    <w:rsid w:val="00080469"/>
    <w:rsid w:val="00080C16"/>
    <w:rsid w:val="000823BD"/>
    <w:rsid w:val="00083605"/>
    <w:rsid w:val="00083F94"/>
    <w:rsid w:val="0008508E"/>
    <w:rsid w:val="00085B5A"/>
    <w:rsid w:val="0008692D"/>
    <w:rsid w:val="00086CC8"/>
    <w:rsid w:val="000872CE"/>
    <w:rsid w:val="00087CA6"/>
    <w:rsid w:val="0009049E"/>
    <w:rsid w:val="00090B2D"/>
    <w:rsid w:val="000914EE"/>
    <w:rsid w:val="00091B1F"/>
    <w:rsid w:val="000924A4"/>
    <w:rsid w:val="00093A78"/>
    <w:rsid w:val="00094EF2"/>
    <w:rsid w:val="00095CF0"/>
    <w:rsid w:val="00096C04"/>
    <w:rsid w:val="00097440"/>
    <w:rsid w:val="000A023B"/>
    <w:rsid w:val="000A1481"/>
    <w:rsid w:val="000A2831"/>
    <w:rsid w:val="000A30BC"/>
    <w:rsid w:val="000A33F3"/>
    <w:rsid w:val="000A33FA"/>
    <w:rsid w:val="000A39F0"/>
    <w:rsid w:val="000A3B60"/>
    <w:rsid w:val="000A3F92"/>
    <w:rsid w:val="000A4302"/>
    <w:rsid w:val="000A4EFF"/>
    <w:rsid w:val="000A6AAE"/>
    <w:rsid w:val="000A6BA9"/>
    <w:rsid w:val="000B00E0"/>
    <w:rsid w:val="000B2B6F"/>
    <w:rsid w:val="000B2C74"/>
    <w:rsid w:val="000B30FC"/>
    <w:rsid w:val="000B508E"/>
    <w:rsid w:val="000B7DCE"/>
    <w:rsid w:val="000C1C05"/>
    <w:rsid w:val="000C1F14"/>
    <w:rsid w:val="000C33A2"/>
    <w:rsid w:val="000C3757"/>
    <w:rsid w:val="000C3813"/>
    <w:rsid w:val="000C3A00"/>
    <w:rsid w:val="000C3B45"/>
    <w:rsid w:val="000C3C5A"/>
    <w:rsid w:val="000C4A3D"/>
    <w:rsid w:val="000C51BF"/>
    <w:rsid w:val="000C6E44"/>
    <w:rsid w:val="000C715D"/>
    <w:rsid w:val="000C7A6C"/>
    <w:rsid w:val="000D0BB7"/>
    <w:rsid w:val="000D195E"/>
    <w:rsid w:val="000D1D2C"/>
    <w:rsid w:val="000D1D92"/>
    <w:rsid w:val="000D1E58"/>
    <w:rsid w:val="000D2411"/>
    <w:rsid w:val="000D24DB"/>
    <w:rsid w:val="000D2EAF"/>
    <w:rsid w:val="000D3757"/>
    <w:rsid w:val="000D456A"/>
    <w:rsid w:val="000D4F74"/>
    <w:rsid w:val="000D62EC"/>
    <w:rsid w:val="000D6759"/>
    <w:rsid w:val="000D6A30"/>
    <w:rsid w:val="000D7C59"/>
    <w:rsid w:val="000E0393"/>
    <w:rsid w:val="000E0B7E"/>
    <w:rsid w:val="000E1A79"/>
    <w:rsid w:val="000E2D6A"/>
    <w:rsid w:val="000E3291"/>
    <w:rsid w:val="000E7673"/>
    <w:rsid w:val="000E7B76"/>
    <w:rsid w:val="000E7F3C"/>
    <w:rsid w:val="000E7F9A"/>
    <w:rsid w:val="000F094C"/>
    <w:rsid w:val="000F23E1"/>
    <w:rsid w:val="000F2736"/>
    <w:rsid w:val="000F3983"/>
    <w:rsid w:val="000F3DC2"/>
    <w:rsid w:val="000F43C3"/>
    <w:rsid w:val="000F593A"/>
    <w:rsid w:val="000F5AF4"/>
    <w:rsid w:val="000F6480"/>
    <w:rsid w:val="00101210"/>
    <w:rsid w:val="0010233A"/>
    <w:rsid w:val="0010391B"/>
    <w:rsid w:val="001046C1"/>
    <w:rsid w:val="00106232"/>
    <w:rsid w:val="001073E9"/>
    <w:rsid w:val="001074E0"/>
    <w:rsid w:val="00107EAC"/>
    <w:rsid w:val="0011083C"/>
    <w:rsid w:val="00110CCC"/>
    <w:rsid w:val="00110D24"/>
    <w:rsid w:val="00110D47"/>
    <w:rsid w:val="00110E0F"/>
    <w:rsid w:val="00110E17"/>
    <w:rsid w:val="0011137B"/>
    <w:rsid w:val="00112917"/>
    <w:rsid w:val="00116735"/>
    <w:rsid w:val="00116C5B"/>
    <w:rsid w:val="001171E8"/>
    <w:rsid w:val="0011737B"/>
    <w:rsid w:val="00117EFF"/>
    <w:rsid w:val="001216B8"/>
    <w:rsid w:val="00121E9D"/>
    <w:rsid w:val="001227D0"/>
    <w:rsid w:val="00122D97"/>
    <w:rsid w:val="00123156"/>
    <w:rsid w:val="00123889"/>
    <w:rsid w:val="00123BD2"/>
    <w:rsid w:val="00123C77"/>
    <w:rsid w:val="00123EF7"/>
    <w:rsid w:val="00125712"/>
    <w:rsid w:val="00132A4D"/>
    <w:rsid w:val="00132CE3"/>
    <w:rsid w:val="0013347D"/>
    <w:rsid w:val="00133CBB"/>
    <w:rsid w:val="0013561F"/>
    <w:rsid w:val="00136016"/>
    <w:rsid w:val="0013619F"/>
    <w:rsid w:val="001374B3"/>
    <w:rsid w:val="001375BA"/>
    <w:rsid w:val="00140600"/>
    <w:rsid w:val="00141BE7"/>
    <w:rsid w:val="00142740"/>
    <w:rsid w:val="00142A9F"/>
    <w:rsid w:val="001430B4"/>
    <w:rsid w:val="00144134"/>
    <w:rsid w:val="00144B59"/>
    <w:rsid w:val="00145AA7"/>
    <w:rsid w:val="00146E12"/>
    <w:rsid w:val="00152D63"/>
    <w:rsid w:val="0015375F"/>
    <w:rsid w:val="00153C10"/>
    <w:rsid w:val="001558E2"/>
    <w:rsid w:val="001566C0"/>
    <w:rsid w:val="00156AEA"/>
    <w:rsid w:val="00156CC7"/>
    <w:rsid w:val="00157202"/>
    <w:rsid w:val="00157F25"/>
    <w:rsid w:val="00161634"/>
    <w:rsid w:val="001630C0"/>
    <w:rsid w:val="0016313C"/>
    <w:rsid w:val="0016359F"/>
    <w:rsid w:val="00163914"/>
    <w:rsid w:val="001642BF"/>
    <w:rsid w:val="00164619"/>
    <w:rsid w:val="00164F91"/>
    <w:rsid w:val="001718F3"/>
    <w:rsid w:val="00171A92"/>
    <w:rsid w:val="00173A0C"/>
    <w:rsid w:val="001749E7"/>
    <w:rsid w:val="00175345"/>
    <w:rsid w:val="00175568"/>
    <w:rsid w:val="0017563C"/>
    <w:rsid w:val="00175AC1"/>
    <w:rsid w:val="00175B2B"/>
    <w:rsid w:val="00175F6B"/>
    <w:rsid w:val="00176F89"/>
    <w:rsid w:val="001803D0"/>
    <w:rsid w:val="00180EAE"/>
    <w:rsid w:val="0018114A"/>
    <w:rsid w:val="001813AA"/>
    <w:rsid w:val="00184A75"/>
    <w:rsid w:val="00186295"/>
    <w:rsid w:val="00186BBF"/>
    <w:rsid w:val="00187D79"/>
    <w:rsid w:val="001911D0"/>
    <w:rsid w:val="00192264"/>
    <w:rsid w:val="00192872"/>
    <w:rsid w:val="00192EE0"/>
    <w:rsid w:val="00192F37"/>
    <w:rsid w:val="0019366E"/>
    <w:rsid w:val="001941E5"/>
    <w:rsid w:val="00195056"/>
    <w:rsid w:val="001958A0"/>
    <w:rsid w:val="00195A65"/>
    <w:rsid w:val="00195E43"/>
    <w:rsid w:val="0019642C"/>
    <w:rsid w:val="00196CBA"/>
    <w:rsid w:val="001A0339"/>
    <w:rsid w:val="001A0D5F"/>
    <w:rsid w:val="001A1226"/>
    <w:rsid w:val="001A19F9"/>
    <w:rsid w:val="001A1B24"/>
    <w:rsid w:val="001A247D"/>
    <w:rsid w:val="001A2B6E"/>
    <w:rsid w:val="001A30F2"/>
    <w:rsid w:val="001A3B16"/>
    <w:rsid w:val="001A4A99"/>
    <w:rsid w:val="001A4C13"/>
    <w:rsid w:val="001A6C4D"/>
    <w:rsid w:val="001A6CE3"/>
    <w:rsid w:val="001A7B46"/>
    <w:rsid w:val="001B0FB6"/>
    <w:rsid w:val="001B1A24"/>
    <w:rsid w:val="001B1C1F"/>
    <w:rsid w:val="001B1C81"/>
    <w:rsid w:val="001B220C"/>
    <w:rsid w:val="001B271F"/>
    <w:rsid w:val="001B2CBB"/>
    <w:rsid w:val="001B35D6"/>
    <w:rsid w:val="001B3F95"/>
    <w:rsid w:val="001B4A1E"/>
    <w:rsid w:val="001B5803"/>
    <w:rsid w:val="001B582D"/>
    <w:rsid w:val="001B64D7"/>
    <w:rsid w:val="001B70F1"/>
    <w:rsid w:val="001B7189"/>
    <w:rsid w:val="001C04D9"/>
    <w:rsid w:val="001C15A7"/>
    <w:rsid w:val="001C1FAA"/>
    <w:rsid w:val="001C2C69"/>
    <w:rsid w:val="001C2CD2"/>
    <w:rsid w:val="001C3185"/>
    <w:rsid w:val="001C46B0"/>
    <w:rsid w:val="001C58B9"/>
    <w:rsid w:val="001C69F7"/>
    <w:rsid w:val="001C7D13"/>
    <w:rsid w:val="001D09F7"/>
    <w:rsid w:val="001D177E"/>
    <w:rsid w:val="001D181B"/>
    <w:rsid w:val="001D18A2"/>
    <w:rsid w:val="001D2EE2"/>
    <w:rsid w:val="001D381F"/>
    <w:rsid w:val="001D4983"/>
    <w:rsid w:val="001D4A3E"/>
    <w:rsid w:val="001D7696"/>
    <w:rsid w:val="001D7A6F"/>
    <w:rsid w:val="001D7E02"/>
    <w:rsid w:val="001E031C"/>
    <w:rsid w:val="001E0F39"/>
    <w:rsid w:val="001E1965"/>
    <w:rsid w:val="001E1FDE"/>
    <w:rsid w:val="001E475A"/>
    <w:rsid w:val="001E49E5"/>
    <w:rsid w:val="001E640F"/>
    <w:rsid w:val="001E6764"/>
    <w:rsid w:val="001E78B9"/>
    <w:rsid w:val="001F2AF6"/>
    <w:rsid w:val="001F3FE2"/>
    <w:rsid w:val="001F4569"/>
    <w:rsid w:val="001F45A6"/>
    <w:rsid w:val="001F58EF"/>
    <w:rsid w:val="001F71E3"/>
    <w:rsid w:val="001F7980"/>
    <w:rsid w:val="002009C8"/>
    <w:rsid w:val="0020141D"/>
    <w:rsid w:val="002016B1"/>
    <w:rsid w:val="00201DF2"/>
    <w:rsid w:val="002029EA"/>
    <w:rsid w:val="00202B71"/>
    <w:rsid w:val="00205D14"/>
    <w:rsid w:val="0020603B"/>
    <w:rsid w:val="00206256"/>
    <w:rsid w:val="00206270"/>
    <w:rsid w:val="00206A43"/>
    <w:rsid w:val="00206D42"/>
    <w:rsid w:val="00207655"/>
    <w:rsid w:val="002103C7"/>
    <w:rsid w:val="00210741"/>
    <w:rsid w:val="00210E16"/>
    <w:rsid w:val="002113EA"/>
    <w:rsid w:val="00212286"/>
    <w:rsid w:val="0021265B"/>
    <w:rsid w:val="00212DF8"/>
    <w:rsid w:val="0021342D"/>
    <w:rsid w:val="002157E5"/>
    <w:rsid w:val="00215A3C"/>
    <w:rsid w:val="00215D23"/>
    <w:rsid w:val="002168C2"/>
    <w:rsid w:val="0021730C"/>
    <w:rsid w:val="002203F8"/>
    <w:rsid w:val="00220A15"/>
    <w:rsid w:val="00220AC4"/>
    <w:rsid w:val="00222959"/>
    <w:rsid w:val="0022425C"/>
    <w:rsid w:val="0022437E"/>
    <w:rsid w:val="00227053"/>
    <w:rsid w:val="00230EC0"/>
    <w:rsid w:val="00230ECC"/>
    <w:rsid w:val="00231500"/>
    <w:rsid w:val="00231C7D"/>
    <w:rsid w:val="00232957"/>
    <w:rsid w:val="00233C3A"/>
    <w:rsid w:val="00233F31"/>
    <w:rsid w:val="002372FD"/>
    <w:rsid w:val="00237330"/>
    <w:rsid w:val="00237DC3"/>
    <w:rsid w:val="00237EB3"/>
    <w:rsid w:val="00240269"/>
    <w:rsid w:val="00240F2F"/>
    <w:rsid w:val="00242712"/>
    <w:rsid w:val="00242A5B"/>
    <w:rsid w:val="00243D5D"/>
    <w:rsid w:val="0024450E"/>
    <w:rsid w:val="00244AD6"/>
    <w:rsid w:val="00246501"/>
    <w:rsid w:val="00246AAA"/>
    <w:rsid w:val="002476D5"/>
    <w:rsid w:val="00247C57"/>
    <w:rsid w:val="00250261"/>
    <w:rsid w:val="00251421"/>
    <w:rsid w:val="00251DBB"/>
    <w:rsid w:val="002528DC"/>
    <w:rsid w:val="00253916"/>
    <w:rsid w:val="0025396F"/>
    <w:rsid w:val="00253BB4"/>
    <w:rsid w:val="00254A96"/>
    <w:rsid w:val="00254D19"/>
    <w:rsid w:val="00254D7F"/>
    <w:rsid w:val="00255B11"/>
    <w:rsid w:val="00255B32"/>
    <w:rsid w:val="002567DA"/>
    <w:rsid w:val="00256CED"/>
    <w:rsid w:val="002576D2"/>
    <w:rsid w:val="00257804"/>
    <w:rsid w:val="002612C8"/>
    <w:rsid w:val="0026185F"/>
    <w:rsid w:val="00261AB8"/>
    <w:rsid w:val="00261F72"/>
    <w:rsid w:val="00262B20"/>
    <w:rsid w:val="00262CD1"/>
    <w:rsid w:val="002631EC"/>
    <w:rsid w:val="00263230"/>
    <w:rsid w:val="00263428"/>
    <w:rsid w:val="0026408E"/>
    <w:rsid w:val="00264441"/>
    <w:rsid w:val="0026481D"/>
    <w:rsid w:val="00265082"/>
    <w:rsid w:val="002651C8"/>
    <w:rsid w:val="002653BC"/>
    <w:rsid w:val="00267CB9"/>
    <w:rsid w:val="00267DE3"/>
    <w:rsid w:val="00271672"/>
    <w:rsid w:val="002723DC"/>
    <w:rsid w:val="0027248C"/>
    <w:rsid w:val="00272FDC"/>
    <w:rsid w:val="00273DBF"/>
    <w:rsid w:val="00274092"/>
    <w:rsid w:val="00274D4B"/>
    <w:rsid w:val="00276652"/>
    <w:rsid w:val="00276841"/>
    <w:rsid w:val="002768A5"/>
    <w:rsid w:val="00277477"/>
    <w:rsid w:val="00277FE2"/>
    <w:rsid w:val="0028012D"/>
    <w:rsid w:val="00280FC5"/>
    <w:rsid w:val="002818DA"/>
    <w:rsid w:val="00281BD4"/>
    <w:rsid w:val="00282425"/>
    <w:rsid w:val="00284392"/>
    <w:rsid w:val="00284DA2"/>
    <w:rsid w:val="00285AC6"/>
    <w:rsid w:val="0029042F"/>
    <w:rsid w:val="00291511"/>
    <w:rsid w:val="00291B0F"/>
    <w:rsid w:val="00292782"/>
    <w:rsid w:val="00293B4D"/>
    <w:rsid w:val="0029650E"/>
    <w:rsid w:val="00297069"/>
    <w:rsid w:val="0029750B"/>
    <w:rsid w:val="00297899"/>
    <w:rsid w:val="00297D54"/>
    <w:rsid w:val="002A067E"/>
    <w:rsid w:val="002A09B3"/>
    <w:rsid w:val="002A1730"/>
    <w:rsid w:val="002A28E0"/>
    <w:rsid w:val="002A2B2C"/>
    <w:rsid w:val="002A33A6"/>
    <w:rsid w:val="002A3460"/>
    <w:rsid w:val="002A3736"/>
    <w:rsid w:val="002A517A"/>
    <w:rsid w:val="002A5CA5"/>
    <w:rsid w:val="002A653E"/>
    <w:rsid w:val="002A6930"/>
    <w:rsid w:val="002A6EB1"/>
    <w:rsid w:val="002A716B"/>
    <w:rsid w:val="002A7741"/>
    <w:rsid w:val="002A77E5"/>
    <w:rsid w:val="002A7D34"/>
    <w:rsid w:val="002B0425"/>
    <w:rsid w:val="002B045C"/>
    <w:rsid w:val="002B4D37"/>
    <w:rsid w:val="002B5447"/>
    <w:rsid w:val="002B558C"/>
    <w:rsid w:val="002B63ED"/>
    <w:rsid w:val="002B79C4"/>
    <w:rsid w:val="002B7FAB"/>
    <w:rsid w:val="002C1C13"/>
    <w:rsid w:val="002C1CB3"/>
    <w:rsid w:val="002C1FA7"/>
    <w:rsid w:val="002C5818"/>
    <w:rsid w:val="002C5A14"/>
    <w:rsid w:val="002C7F79"/>
    <w:rsid w:val="002D0CD6"/>
    <w:rsid w:val="002D0FDA"/>
    <w:rsid w:val="002D1418"/>
    <w:rsid w:val="002D1CC4"/>
    <w:rsid w:val="002D1DFA"/>
    <w:rsid w:val="002D5C0A"/>
    <w:rsid w:val="002D63CE"/>
    <w:rsid w:val="002E038B"/>
    <w:rsid w:val="002E06C8"/>
    <w:rsid w:val="002E0C18"/>
    <w:rsid w:val="002E3608"/>
    <w:rsid w:val="002E49B7"/>
    <w:rsid w:val="002E520E"/>
    <w:rsid w:val="002E6657"/>
    <w:rsid w:val="002E673F"/>
    <w:rsid w:val="002E7246"/>
    <w:rsid w:val="002E74BF"/>
    <w:rsid w:val="002E7A4D"/>
    <w:rsid w:val="002E7E22"/>
    <w:rsid w:val="002E7FCF"/>
    <w:rsid w:val="002F08AA"/>
    <w:rsid w:val="002F1FA1"/>
    <w:rsid w:val="002F2B61"/>
    <w:rsid w:val="002F2DB9"/>
    <w:rsid w:val="002F3E1D"/>
    <w:rsid w:val="002F49B6"/>
    <w:rsid w:val="002F4CE6"/>
    <w:rsid w:val="002F4E92"/>
    <w:rsid w:val="002F5844"/>
    <w:rsid w:val="002F6874"/>
    <w:rsid w:val="002F78DE"/>
    <w:rsid w:val="003007BA"/>
    <w:rsid w:val="0030171B"/>
    <w:rsid w:val="00301DF1"/>
    <w:rsid w:val="00304C87"/>
    <w:rsid w:val="00304CC7"/>
    <w:rsid w:val="003060F3"/>
    <w:rsid w:val="0031011B"/>
    <w:rsid w:val="00310FB9"/>
    <w:rsid w:val="003112FE"/>
    <w:rsid w:val="003113A6"/>
    <w:rsid w:val="00312326"/>
    <w:rsid w:val="003128F5"/>
    <w:rsid w:val="0031325F"/>
    <w:rsid w:val="00314292"/>
    <w:rsid w:val="003143F4"/>
    <w:rsid w:val="00315623"/>
    <w:rsid w:val="0031615D"/>
    <w:rsid w:val="00316564"/>
    <w:rsid w:val="00317AD3"/>
    <w:rsid w:val="00321503"/>
    <w:rsid w:val="00321F73"/>
    <w:rsid w:val="0032232C"/>
    <w:rsid w:val="00324257"/>
    <w:rsid w:val="00324A4E"/>
    <w:rsid w:val="00324CBF"/>
    <w:rsid w:val="00324EA1"/>
    <w:rsid w:val="0032505A"/>
    <w:rsid w:val="00327064"/>
    <w:rsid w:val="00327653"/>
    <w:rsid w:val="00327FC7"/>
    <w:rsid w:val="00330562"/>
    <w:rsid w:val="00331707"/>
    <w:rsid w:val="00332386"/>
    <w:rsid w:val="00335B2A"/>
    <w:rsid w:val="00336CA0"/>
    <w:rsid w:val="00337BA6"/>
    <w:rsid w:val="00337FB7"/>
    <w:rsid w:val="003412F0"/>
    <w:rsid w:val="00342569"/>
    <w:rsid w:val="00342987"/>
    <w:rsid w:val="003434D0"/>
    <w:rsid w:val="00343A17"/>
    <w:rsid w:val="00345ACB"/>
    <w:rsid w:val="00345F9C"/>
    <w:rsid w:val="003464D1"/>
    <w:rsid w:val="00346D44"/>
    <w:rsid w:val="00346DB6"/>
    <w:rsid w:val="003500A6"/>
    <w:rsid w:val="00352EC7"/>
    <w:rsid w:val="0035310B"/>
    <w:rsid w:val="00353E81"/>
    <w:rsid w:val="00354335"/>
    <w:rsid w:val="00354552"/>
    <w:rsid w:val="00354C8F"/>
    <w:rsid w:val="0035578C"/>
    <w:rsid w:val="00355DE9"/>
    <w:rsid w:val="00356197"/>
    <w:rsid w:val="00356A80"/>
    <w:rsid w:val="003574E3"/>
    <w:rsid w:val="00361DC4"/>
    <w:rsid w:val="0036412F"/>
    <w:rsid w:val="0036451A"/>
    <w:rsid w:val="003663BD"/>
    <w:rsid w:val="00370B91"/>
    <w:rsid w:val="00370FCD"/>
    <w:rsid w:val="003723FD"/>
    <w:rsid w:val="00373768"/>
    <w:rsid w:val="003766C9"/>
    <w:rsid w:val="003770DF"/>
    <w:rsid w:val="00380E45"/>
    <w:rsid w:val="00381942"/>
    <w:rsid w:val="003824DD"/>
    <w:rsid w:val="0038348C"/>
    <w:rsid w:val="0038362D"/>
    <w:rsid w:val="00384859"/>
    <w:rsid w:val="003848CA"/>
    <w:rsid w:val="003856B0"/>
    <w:rsid w:val="00385B9B"/>
    <w:rsid w:val="003914DA"/>
    <w:rsid w:val="00391615"/>
    <w:rsid w:val="00391C27"/>
    <w:rsid w:val="0039257B"/>
    <w:rsid w:val="003925E3"/>
    <w:rsid w:val="003927BF"/>
    <w:rsid w:val="00392BDE"/>
    <w:rsid w:val="00393462"/>
    <w:rsid w:val="003943CF"/>
    <w:rsid w:val="0039458E"/>
    <w:rsid w:val="0039568E"/>
    <w:rsid w:val="00396148"/>
    <w:rsid w:val="00396FF9"/>
    <w:rsid w:val="003A0A12"/>
    <w:rsid w:val="003A113E"/>
    <w:rsid w:val="003A1C7D"/>
    <w:rsid w:val="003A366E"/>
    <w:rsid w:val="003A39B0"/>
    <w:rsid w:val="003A478A"/>
    <w:rsid w:val="003A502E"/>
    <w:rsid w:val="003A663E"/>
    <w:rsid w:val="003A6E39"/>
    <w:rsid w:val="003A79ED"/>
    <w:rsid w:val="003B2235"/>
    <w:rsid w:val="003B4018"/>
    <w:rsid w:val="003B4939"/>
    <w:rsid w:val="003B5858"/>
    <w:rsid w:val="003B5A1D"/>
    <w:rsid w:val="003B64AA"/>
    <w:rsid w:val="003B6958"/>
    <w:rsid w:val="003B6C60"/>
    <w:rsid w:val="003B70F1"/>
    <w:rsid w:val="003C1127"/>
    <w:rsid w:val="003C1E58"/>
    <w:rsid w:val="003C2E01"/>
    <w:rsid w:val="003C2EBA"/>
    <w:rsid w:val="003C3311"/>
    <w:rsid w:val="003C390B"/>
    <w:rsid w:val="003C413C"/>
    <w:rsid w:val="003C4AA2"/>
    <w:rsid w:val="003C4EAF"/>
    <w:rsid w:val="003C660C"/>
    <w:rsid w:val="003C7633"/>
    <w:rsid w:val="003D249C"/>
    <w:rsid w:val="003D37CC"/>
    <w:rsid w:val="003D3815"/>
    <w:rsid w:val="003D3928"/>
    <w:rsid w:val="003D3FEE"/>
    <w:rsid w:val="003D517F"/>
    <w:rsid w:val="003D52DB"/>
    <w:rsid w:val="003D55EB"/>
    <w:rsid w:val="003D6A2D"/>
    <w:rsid w:val="003E03B3"/>
    <w:rsid w:val="003E07DB"/>
    <w:rsid w:val="003E0BDA"/>
    <w:rsid w:val="003E1182"/>
    <w:rsid w:val="003E11D1"/>
    <w:rsid w:val="003E2003"/>
    <w:rsid w:val="003E2773"/>
    <w:rsid w:val="003E2EF0"/>
    <w:rsid w:val="003E36D8"/>
    <w:rsid w:val="003E37E1"/>
    <w:rsid w:val="003E4AD0"/>
    <w:rsid w:val="003E53D0"/>
    <w:rsid w:val="003E5D06"/>
    <w:rsid w:val="003E728C"/>
    <w:rsid w:val="003F08F0"/>
    <w:rsid w:val="003F0B71"/>
    <w:rsid w:val="003F0D25"/>
    <w:rsid w:val="003F0D87"/>
    <w:rsid w:val="003F1691"/>
    <w:rsid w:val="003F6881"/>
    <w:rsid w:val="003F700B"/>
    <w:rsid w:val="003F7EF6"/>
    <w:rsid w:val="00400297"/>
    <w:rsid w:val="00404544"/>
    <w:rsid w:val="00404E33"/>
    <w:rsid w:val="00406503"/>
    <w:rsid w:val="00407265"/>
    <w:rsid w:val="00410545"/>
    <w:rsid w:val="0041131B"/>
    <w:rsid w:val="00411F29"/>
    <w:rsid w:val="004139E4"/>
    <w:rsid w:val="004140F7"/>
    <w:rsid w:val="004144EC"/>
    <w:rsid w:val="004157E8"/>
    <w:rsid w:val="004158AB"/>
    <w:rsid w:val="00416271"/>
    <w:rsid w:val="00416468"/>
    <w:rsid w:val="00416C5B"/>
    <w:rsid w:val="00417E5B"/>
    <w:rsid w:val="0042041B"/>
    <w:rsid w:val="0042294A"/>
    <w:rsid w:val="00423B91"/>
    <w:rsid w:val="00425027"/>
    <w:rsid w:val="00425FBD"/>
    <w:rsid w:val="004266EE"/>
    <w:rsid w:val="00426745"/>
    <w:rsid w:val="00427A3B"/>
    <w:rsid w:val="00430ED7"/>
    <w:rsid w:val="00431DDD"/>
    <w:rsid w:val="00433059"/>
    <w:rsid w:val="004352F7"/>
    <w:rsid w:val="00435CE9"/>
    <w:rsid w:val="00435D59"/>
    <w:rsid w:val="00436B90"/>
    <w:rsid w:val="00436DD7"/>
    <w:rsid w:val="004371F2"/>
    <w:rsid w:val="00437897"/>
    <w:rsid w:val="00437F27"/>
    <w:rsid w:val="004404EB"/>
    <w:rsid w:val="004408C1"/>
    <w:rsid w:val="00441C67"/>
    <w:rsid w:val="0044270B"/>
    <w:rsid w:val="0044427A"/>
    <w:rsid w:val="00444646"/>
    <w:rsid w:val="00444974"/>
    <w:rsid w:val="004469D5"/>
    <w:rsid w:val="00446E4A"/>
    <w:rsid w:val="0044745B"/>
    <w:rsid w:val="00450343"/>
    <w:rsid w:val="00452B4B"/>
    <w:rsid w:val="00453EBE"/>
    <w:rsid w:val="00455CD5"/>
    <w:rsid w:val="004567D1"/>
    <w:rsid w:val="00456B9C"/>
    <w:rsid w:val="00456FD8"/>
    <w:rsid w:val="00457D50"/>
    <w:rsid w:val="004609EC"/>
    <w:rsid w:val="00460D59"/>
    <w:rsid w:val="004615E6"/>
    <w:rsid w:val="004619BE"/>
    <w:rsid w:val="00462723"/>
    <w:rsid w:val="00462D19"/>
    <w:rsid w:val="00463955"/>
    <w:rsid w:val="00463AF8"/>
    <w:rsid w:val="00463EAE"/>
    <w:rsid w:val="0046423D"/>
    <w:rsid w:val="004645F2"/>
    <w:rsid w:val="00465A55"/>
    <w:rsid w:val="00466439"/>
    <w:rsid w:val="004667D5"/>
    <w:rsid w:val="00467675"/>
    <w:rsid w:val="0047032B"/>
    <w:rsid w:val="00470AE3"/>
    <w:rsid w:val="00471818"/>
    <w:rsid w:val="004724EC"/>
    <w:rsid w:val="00472B7C"/>
    <w:rsid w:val="00472D7C"/>
    <w:rsid w:val="00472EAA"/>
    <w:rsid w:val="00473A58"/>
    <w:rsid w:val="004741E4"/>
    <w:rsid w:val="004749BD"/>
    <w:rsid w:val="00475882"/>
    <w:rsid w:val="00475A5C"/>
    <w:rsid w:val="00475A72"/>
    <w:rsid w:val="004763B6"/>
    <w:rsid w:val="004765B2"/>
    <w:rsid w:val="004768A5"/>
    <w:rsid w:val="00476D27"/>
    <w:rsid w:val="0047776C"/>
    <w:rsid w:val="004778ED"/>
    <w:rsid w:val="00481A47"/>
    <w:rsid w:val="00482054"/>
    <w:rsid w:val="004826C7"/>
    <w:rsid w:val="00482C2F"/>
    <w:rsid w:val="00482FFE"/>
    <w:rsid w:val="00484852"/>
    <w:rsid w:val="00485035"/>
    <w:rsid w:val="00485DCD"/>
    <w:rsid w:val="00486312"/>
    <w:rsid w:val="00487F57"/>
    <w:rsid w:val="00490018"/>
    <w:rsid w:val="00490159"/>
    <w:rsid w:val="0049022D"/>
    <w:rsid w:val="00490BCD"/>
    <w:rsid w:val="00490BEF"/>
    <w:rsid w:val="0049123B"/>
    <w:rsid w:val="004914AB"/>
    <w:rsid w:val="00491DF0"/>
    <w:rsid w:val="00493FBF"/>
    <w:rsid w:val="0049469C"/>
    <w:rsid w:val="0049520C"/>
    <w:rsid w:val="00495434"/>
    <w:rsid w:val="00495E39"/>
    <w:rsid w:val="00495F98"/>
    <w:rsid w:val="00496685"/>
    <w:rsid w:val="0049708B"/>
    <w:rsid w:val="00497C3C"/>
    <w:rsid w:val="004A10B7"/>
    <w:rsid w:val="004A2280"/>
    <w:rsid w:val="004A2707"/>
    <w:rsid w:val="004A34D6"/>
    <w:rsid w:val="004A385F"/>
    <w:rsid w:val="004A3BFE"/>
    <w:rsid w:val="004A55CA"/>
    <w:rsid w:val="004A7B2F"/>
    <w:rsid w:val="004B13D3"/>
    <w:rsid w:val="004B2909"/>
    <w:rsid w:val="004B2D00"/>
    <w:rsid w:val="004B366E"/>
    <w:rsid w:val="004B3FEC"/>
    <w:rsid w:val="004B5DDF"/>
    <w:rsid w:val="004B64CF"/>
    <w:rsid w:val="004B7DD3"/>
    <w:rsid w:val="004B7F6B"/>
    <w:rsid w:val="004C0EFB"/>
    <w:rsid w:val="004C17CF"/>
    <w:rsid w:val="004C240B"/>
    <w:rsid w:val="004C2CDE"/>
    <w:rsid w:val="004C3DB0"/>
    <w:rsid w:val="004C4A16"/>
    <w:rsid w:val="004C626F"/>
    <w:rsid w:val="004C645C"/>
    <w:rsid w:val="004C73E6"/>
    <w:rsid w:val="004D0F91"/>
    <w:rsid w:val="004D1441"/>
    <w:rsid w:val="004D259F"/>
    <w:rsid w:val="004D297F"/>
    <w:rsid w:val="004D2F88"/>
    <w:rsid w:val="004D41B6"/>
    <w:rsid w:val="004D5C24"/>
    <w:rsid w:val="004D6A3C"/>
    <w:rsid w:val="004D7504"/>
    <w:rsid w:val="004E0A08"/>
    <w:rsid w:val="004E1261"/>
    <w:rsid w:val="004E19DC"/>
    <w:rsid w:val="004E19F0"/>
    <w:rsid w:val="004E1A43"/>
    <w:rsid w:val="004E261D"/>
    <w:rsid w:val="004E2763"/>
    <w:rsid w:val="004E2D8D"/>
    <w:rsid w:val="004E328B"/>
    <w:rsid w:val="004E3532"/>
    <w:rsid w:val="004E4ADA"/>
    <w:rsid w:val="004E55D5"/>
    <w:rsid w:val="004E58F4"/>
    <w:rsid w:val="004E5AE0"/>
    <w:rsid w:val="004E6F00"/>
    <w:rsid w:val="004E7197"/>
    <w:rsid w:val="004E7AF6"/>
    <w:rsid w:val="004E7CC7"/>
    <w:rsid w:val="004E7E4D"/>
    <w:rsid w:val="004F05CF"/>
    <w:rsid w:val="004F1744"/>
    <w:rsid w:val="004F1917"/>
    <w:rsid w:val="004F3D3F"/>
    <w:rsid w:val="004F4F1B"/>
    <w:rsid w:val="004F5B65"/>
    <w:rsid w:val="004F5D9E"/>
    <w:rsid w:val="004F5E81"/>
    <w:rsid w:val="004F6773"/>
    <w:rsid w:val="004F7DAE"/>
    <w:rsid w:val="00500C08"/>
    <w:rsid w:val="00501ED4"/>
    <w:rsid w:val="005030D7"/>
    <w:rsid w:val="00503574"/>
    <w:rsid w:val="00503BE1"/>
    <w:rsid w:val="0050455B"/>
    <w:rsid w:val="00505C9F"/>
    <w:rsid w:val="00506589"/>
    <w:rsid w:val="005078EB"/>
    <w:rsid w:val="00507D22"/>
    <w:rsid w:val="00510BA2"/>
    <w:rsid w:val="00511798"/>
    <w:rsid w:val="00512073"/>
    <w:rsid w:val="00512BB2"/>
    <w:rsid w:val="00513FEC"/>
    <w:rsid w:val="00514F3E"/>
    <w:rsid w:val="00515299"/>
    <w:rsid w:val="00515790"/>
    <w:rsid w:val="00515A30"/>
    <w:rsid w:val="005173FA"/>
    <w:rsid w:val="00517619"/>
    <w:rsid w:val="005213AB"/>
    <w:rsid w:val="00521D23"/>
    <w:rsid w:val="00521E1F"/>
    <w:rsid w:val="0052281C"/>
    <w:rsid w:val="005229BE"/>
    <w:rsid w:val="00523A01"/>
    <w:rsid w:val="00523FF6"/>
    <w:rsid w:val="00524092"/>
    <w:rsid w:val="0052659B"/>
    <w:rsid w:val="005275AF"/>
    <w:rsid w:val="00531405"/>
    <w:rsid w:val="005333D7"/>
    <w:rsid w:val="00533F89"/>
    <w:rsid w:val="00535434"/>
    <w:rsid w:val="005356EC"/>
    <w:rsid w:val="00535829"/>
    <w:rsid w:val="00535EFA"/>
    <w:rsid w:val="00537053"/>
    <w:rsid w:val="005402E2"/>
    <w:rsid w:val="0054273C"/>
    <w:rsid w:val="005427DB"/>
    <w:rsid w:val="005428DE"/>
    <w:rsid w:val="0054390B"/>
    <w:rsid w:val="00544267"/>
    <w:rsid w:val="00545B5E"/>
    <w:rsid w:val="00551030"/>
    <w:rsid w:val="0055272A"/>
    <w:rsid w:val="00553698"/>
    <w:rsid w:val="00554D7D"/>
    <w:rsid w:val="00554F7C"/>
    <w:rsid w:val="0055580A"/>
    <w:rsid w:val="00560112"/>
    <w:rsid w:val="00560245"/>
    <w:rsid w:val="0056087F"/>
    <w:rsid w:val="00561170"/>
    <w:rsid w:val="0056232C"/>
    <w:rsid w:val="005625F7"/>
    <w:rsid w:val="00563243"/>
    <w:rsid w:val="00563723"/>
    <w:rsid w:val="005638A3"/>
    <w:rsid w:val="005641E8"/>
    <w:rsid w:val="005658DE"/>
    <w:rsid w:val="00566374"/>
    <w:rsid w:val="00566479"/>
    <w:rsid w:val="005667B1"/>
    <w:rsid w:val="00567295"/>
    <w:rsid w:val="00567477"/>
    <w:rsid w:val="005678E2"/>
    <w:rsid w:val="00570026"/>
    <w:rsid w:val="00570AA1"/>
    <w:rsid w:val="00570B8F"/>
    <w:rsid w:val="00573CF6"/>
    <w:rsid w:val="00573F31"/>
    <w:rsid w:val="005747C0"/>
    <w:rsid w:val="0057580C"/>
    <w:rsid w:val="00576C45"/>
    <w:rsid w:val="00576E0F"/>
    <w:rsid w:val="005770BB"/>
    <w:rsid w:val="005774DE"/>
    <w:rsid w:val="005775E5"/>
    <w:rsid w:val="00580D45"/>
    <w:rsid w:val="00580F08"/>
    <w:rsid w:val="00581AF2"/>
    <w:rsid w:val="00583107"/>
    <w:rsid w:val="00585BBB"/>
    <w:rsid w:val="00586076"/>
    <w:rsid w:val="005878EC"/>
    <w:rsid w:val="00590293"/>
    <w:rsid w:val="005917E4"/>
    <w:rsid w:val="005918A7"/>
    <w:rsid w:val="00592452"/>
    <w:rsid w:val="005934B7"/>
    <w:rsid w:val="00593988"/>
    <w:rsid w:val="0059399B"/>
    <w:rsid w:val="00594D7D"/>
    <w:rsid w:val="00597277"/>
    <w:rsid w:val="005975F0"/>
    <w:rsid w:val="005A1C30"/>
    <w:rsid w:val="005A1CFB"/>
    <w:rsid w:val="005A281C"/>
    <w:rsid w:val="005A2F74"/>
    <w:rsid w:val="005A42FA"/>
    <w:rsid w:val="005A4816"/>
    <w:rsid w:val="005A67D2"/>
    <w:rsid w:val="005A71EC"/>
    <w:rsid w:val="005A7B54"/>
    <w:rsid w:val="005B0ADD"/>
    <w:rsid w:val="005B0FAA"/>
    <w:rsid w:val="005B1380"/>
    <w:rsid w:val="005B139F"/>
    <w:rsid w:val="005B3772"/>
    <w:rsid w:val="005B4234"/>
    <w:rsid w:val="005B5F7B"/>
    <w:rsid w:val="005B6444"/>
    <w:rsid w:val="005B6905"/>
    <w:rsid w:val="005C09C7"/>
    <w:rsid w:val="005C0AD2"/>
    <w:rsid w:val="005C1278"/>
    <w:rsid w:val="005C15A5"/>
    <w:rsid w:val="005C2339"/>
    <w:rsid w:val="005C2714"/>
    <w:rsid w:val="005C36AA"/>
    <w:rsid w:val="005C4078"/>
    <w:rsid w:val="005C42E5"/>
    <w:rsid w:val="005C434F"/>
    <w:rsid w:val="005C5149"/>
    <w:rsid w:val="005C5460"/>
    <w:rsid w:val="005C589E"/>
    <w:rsid w:val="005C6487"/>
    <w:rsid w:val="005C653F"/>
    <w:rsid w:val="005C6F6C"/>
    <w:rsid w:val="005C7E68"/>
    <w:rsid w:val="005D09D0"/>
    <w:rsid w:val="005D1182"/>
    <w:rsid w:val="005D2790"/>
    <w:rsid w:val="005D530C"/>
    <w:rsid w:val="005D5772"/>
    <w:rsid w:val="005D62CD"/>
    <w:rsid w:val="005D6587"/>
    <w:rsid w:val="005D6782"/>
    <w:rsid w:val="005E0B3E"/>
    <w:rsid w:val="005E1211"/>
    <w:rsid w:val="005E2764"/>
    <w:rsid w:val="005E2DA1"/>
    <w:rsid w:val="005E3EEC"/>
    <w:rsid w:val="005E42E8"/>
    <w:rsid w:val="005E4ED8"/>
    <w:rsid w:val="005E5CFC"/>
    <w:rsid w:val="005E5FF7"/>
    <w:rsid w:val="005E72F4"/>
    <w:rsid w:val="005E7E93"/>
    <w:rsid w:val="005F00E7"/>
    <w:rsid w:val="005F207A"/>
    <w:rsid w:val="005F22AA"/>
    <w:rsid w:val="005F289B"/>
    <w:rsid w:val="005F35CC"/>
    <w:rsid w:val="005F3906"/>
    <w:rsid w:val="005F3FBA"/>
    <w:rsid w:val="005F40E5"/>
    <w:rsid w:val="005F4980"/>
    <w:rsid w:val="005F4C28"/>
    <w:rsid w:val="005F529F"/>
    <w:rsid w:val="005F5709"/>
    <w:rsid w:val="005F5B44"/>
    <w:rsid w:val="005F6241"/>
    <w:rsid w:val="005F62CC"/>
    <w:rsid w:val="005F7462"/>
    <w:rsid w:val="00600705"/>
    <w:rsid w:val="00600A6F"/>
    <w:rsid w:val="00600F0F"/>
    <w:rsid w:val="00600F5B"/>
    <w:rsid w:val="00601786"/>
    <w:rsid w:val="00604105"/>
    <w:rsid w:val="006048CA"/>
    <w:rsid w:val="0060709D"/>
    <w:rsid w:val="00607116"/>
    <w:rsid w:val="006116B7"/>
    <w:rsid w:val="00611F89"/>
    <w:rsid w:val="00612DD0"/>
    <w:rsid w:val="00613010"/>
    <w:rsid w:val="0061303F"/>
    <w:rsid w:val="0061389B"/>
    <w:rsid w:val="00613CC4"/>
    <w:rsid w:val="006145E9"/>
    <w:rsid w:val="006149C1"/>
    <w:rsid w:val="006152E7"/>
    <w:rsid w:val="00616021"/>
    <w:rsid w:val="006166E3"/>
    <w:rsid w:val="00617A2F"/>
    <w:rsid w:val="0062005E"/>
    <w:rsid w:val="0062057A"/>
    <w:rsid w:val="00620FD0"/>
    <w:rsid w:val="00621537"/>
    <w:rsid w:val="00621CB3"/>
    <w:rsid w:val="006220B3"/>
    <w:rsid w:val="00622EAD"/>
    <w:rsid w:val="006232A4"/>
    <w:rsid w:val="00623DBC"/>
    <w:rsid w:val="0062449C"/>
    <w:rsid w:val="006245EC"/>
    <w:rsid w:val="006258BD"/>
    <w:rsid w:val="00625E98"/>
    <w:rsid w:val="00627A06"/>
    <w:rsid w:val="00634046"/>
    <w:rsid w:val="0063407B"/>
    <w:rsid w:val="0063573F"/>
    <w:rsid w:val="00636B4C"/>
    <w:rsid w:val="00636E21"/>
    <w:rsid w:val="00640290"/>
    <w:rsid w:val="0064226D"/>
    <w:rsid w:val="0064240E"/>
    <w:rsid w:val="00642D43"/>
    <w:rsid w:val="00643A07"/>
    <w:rsid w:val="00643C12"/>
    <w:rsid w:val="00643C18"/>
    <w:rsid w:val="00643EC0"/>
    <w:rsid w:val="00644B58"/>
    <w:rsid w:val="00644E04"/>
    <w:rsid w:val="00645D62"/>
    <w:rsid w:val="00646860"/>
    <w:rsid w:val="00646FEE"/>
    <w:rsid w:val="006476AA"/>
    <w:rsid w:val="00647806"/>
    <w:rsid w:val="00650556"/>
    <w:rsid w:val="006513B0"/>
    <w:rsid w:val="006525FA"/>
    <w:rsid w:val="00653810"/>
    <w:rsid w:val="00653A04"/>
    <w:rsid w:val="00654E4C"/>
    <w:rsid w:val="006558DC"/>
    <w:rsid w:val="006616C5"/>
    <w:rsid w:val="00661AD1"/>
    <w:rsid w:val="00662A0A"/>
    <w:rsid w:val="0066405F"/>
    <w:rsid w:val="006646B2"/>
    <w:rsid w:val="0066680B"/>
    <w:rsid w:val="00666B72"/>
    <w:rsid w:val="006676BB"/>
    <w:rsid w:val="006677BF"/>
    <w:rsid w:val="00670CED"/>
    <w:rsid w:val="00670F83"/>
    <w:rsid w:val="00671C9B"/>
    <w:rsid w:val="00672D0E"/>
    <w:rsid w:val="0067504C"/>
    <w:rsid w:val="00677A7C"/>
    <w:rsid w:val="00677E26"/>
    <w:rsid w:val="00677F32"/>
    <w:rsid w:val="00681403"/>
    <w:rsid w:val="00682542"/>
    <w:rsid w:val="006838FF"/>
    <w:rsid w:val="00684211"/>
    <w:rsid w:val="00685457"/>
    <w:rsid w:val="006863B2"/>
    <w:rsid w:val="00686D48"/>
    <w:rsid w:val="00687E2A"/>
    <w:rsid w:val="0069065C"/>
    <w:rsid w:val="00690914"/>
    <w:rsid w:val="00690B86"/>
    <w:rsid w:val="00691CAB"/>
    <w:rsid w:val="00695AD6"/>
    <w:rsid w:val="00695D99"/>
    <w:rsid w:val="006962A4"/>
    <w:rsid w:val="00696483"/>
    <w:rsid w:val="00696752"/>
    <w:rsid w:val="00697693"/>
    <w:rsid w:val="00697C0A"/>
    <w:rsid w:val="006A02A5"/>
    <w:rsid w:val="006A0820"/>
    <w:rsid w:val="006A0DE6"/>
    <w:rsid w:val="006A18C4"/>
    <w:rsid w:val="006A1ACC"/>
    <w:rsid w:val="006A1EAD"/>
    <w:rsid w:val="006A29B8"/>
    <w:rsid w:val="006A2F69"/>
    <w:rsid w:val="006A3859"/>
    <w:rsid w:val="006A4884"/>
    <w:rsid w:val="006A65D7"/>
    <w:rsid w:val="006A758E"/>
    <w:rsid w:val="006B02B4"/>
    <w:rsid w:val="006B223C"/>
    <w:rsid w:val="006B26E7"/>
    <w:rsid w:val="006B2AC2"/>
    <w:rsid w:val="006B3F86"/>
    <w:rsid w:val="006B57CA"/>
    <w:rsid w:val="006B675E"/>
    <w:rsid w:val="006B6F19"/>
    <w:rsid w:val="006C08DD"/>
    <w:rsid w:val="006C3A63"/>
    <w:rsid w:val="006C485B"/>
    <w:rsid w:val="006C4C51"/>
    <w:rsid w:val="006C4C5D"/>
    <w:rsid w:val="006C5043"/>
    <w:rsid w:val="006C59B4"/>
    <w:rsid w:val="006C73A0"/>
    <w:rsid w:val="006D07F8"/>
    <w:rsid w:val="006D0C46"/>
    <w:rsid w:val="006D22C8"/>
    <w:rsid w:val="006D2A25"/>
    <w:rsid w:val="006D48FB"/>
    <w:rsid w:val="006D4B2B"/>
    <w:rsid w:val="006D5300"/>
    <w:rsid w:val="006D5379"/>
    <w:rsid w:val="006D5494"/>
    <w:rsid w:val="006D5CE4"/>
    <w:rsid w:val="006D602F"/>
    <w:rsid w:val="006E0BDB"/>
    <w:rsid w:val="006E0C50"/>
    <w:rsid w:val="006E0DC7"/>
    <w:rsid w:val="006E1B3F"/>
    <w:rsid w:val="006E1F7E"/>
    <w:rsid w:val="006E26AF"/>
    <w:rsid w:val="006E2820"/>
    <w:rsid w:val="006E2AEF"/>
    <w:rsid w:val="006E2F3A"/>
    <w:rsid w:val="006E34E3"/>
    <w:rsid w:val="006E397F"/>
    <w:rsid w:val="006E3EA3"/>
    <w:rsid w:val="006E57CF"/>
    <w:rsid w:val="006E6401"/>
    <w:rsid w:val="006E6DFF"/>
    <w:rsid w:val="006E7313"/>
    <w:rsid w:val="006E7F20"/>
    <w:rsid w:val="006F0185"/>
    <w:rsid w:val="006F038B"/>
    <w:rsid w:val="006F14C8"/>
    <w:rsid w:val="006F14CD"/>
    <w:rsid w:val="006F2353"/>
    <w:rsid w:val="006F27BE"/>
    <w:rsid w:val="006F2DBA"/>
    <w:rsid w:val="006F2E68"/>
    <w:rsid w:val="006F3C3B"/>
    <w:rsid w:val="006F3D43"/>
    <w:rsid w:val="006F4CD3"/>
    <w:rsid w:val="006F5771"/>
    <w:rsid w:val="006F6ED6"/>
    <w:rsid w:val="006F7364"/>
    <w:rsid w:val="006F7865"/>
    <w:rsid w:val="006F798E"/>
    <w:rsid w:val="00700373"/>
    <w:rsid w:val="007009B9"/>
    <w:rsid w:val="00700B30"/>
    <w:rsid w:val="00701D00"/>
    <w:rsid w:val="00701E7A"/>
    <w:rsid w:val="00702E91"/>
    <w:rsid w:val="00703F07"/>
    <w:rsid w:val="00703FB0"/>
    <w:rsid w:val="007040BD"/>
    <w:rsid w:val="007040C9"/>
    <w:rsid w:val="0070448C"/>
    <w:rsid w:val="00704826"/>
    <w:rsid w:val="007051C1"/>
    <w:rsid w:val="00705A10"/>
    <w:rsid w:val="00705D3C"/>
    <w:rsid w:val="007062DF"/>
    <w:rsid w:val="007071D1"/>
    <w:rsid w:val="007114FB"/>
    <w:rsid w:val="00711633"/>
    <w:rsid w:val="007116AD"/>
    <w:rsid w:val="00712442"/>
    <w:rsid w:val="00712E92"/>
    <w:rsid w:val="007134FA"/>
    <w:rsid w:val="00713DAC"/>
    <w:rsid w:val="00714687"/>
    <w:rsid w:val="00714A0F"/>
    <w:rsid w:val="00717015"/>
    <w:rsid w:val="0071704F"/>
    <w:rsid w:val="0072027B"/>
    <w:rsid w:val="00720CC0"/>
    <w:rsid w:val="007212A3"/>
    <w:rsid w:val="007222AA"/>
    <w:rsid w:val="007237D3"/>
    <w:rsid w:val="00723E88"/>
    <w:rsid w:val="0072415A"/>
    <w:rsid w:val="0072679D"/>
    <w:rsid w:val="00726F83"/>
    <w:rsid w:val="007279DE"/>
    <w:rsid w:val="00727C80"/>
    <w:rsid w:val="00727D39"/>
    <w:rsid w:val="00730595"/>
    <w:rsid w:val="007306B1"/>
    <w:rsid w:val="00730960"/>
    <w:rsid w:val="00730E39"/>
    <w:rsid w:val="00732823"/>
    <w:rsid w:val="00733433"/>
    <w:rsid w:val="00733BF6"/>
    <w:rsid w:val="00733D90"/>
    <w:rsid w:val="00733EEA"/>
    <w:rsid w:val="00733F8D"/>
    <w:rsid w:val="00734051"/>
    <w:rsid w:val="0073530C"/>
    <w:rsid w:val="00740BC7"/>
    <w:rsid w:val="00740ECE"/>
    <w:rsid w:val="00741BAB"/>
    <w:rsid w:val="00746CA9"/>
    <w:rsid w:val="00747033"/>
    <w:rsid w:val="0074708F"/>
    <w:rsid w:val="00747BA5"/>
    <w:rsid w:val="00750ADA"/>
    <w:rsid w:val="00751815"/>
    <w:rsid w:val="00751DDB"/>
    <w:rsid w:val="007528DE"/>
    <w:rsid w:val="00753C43"/>
    <w:rsid w:val="007540B3"/>
    <w:rsid w:val="00754FBC"/>
    <w:rsid w:val="00756289"/>
    <w:rsid w:val="00757C8E"/>
    <w:rsid w:val="00757E75"/>
    <w:rsid w:val="00760337"/>
    <w:rsid w:val="00760F34"/>
    <w:rsid w:val="00761456"/>
    <w:rsid w:val="00761DF7"/>
    <w:rsid w:val="00762446"/>
    <w:rsid w:val="00762E45"/>
    <w:rsid w:val="007641C7"/>
    <w:rsid w:val="00764B58"/>
    <w:rsid w:val="00764BAE"/>
    <w:rsid w:val="00765782"/>
    <w:rsid w:val="007661CE"/>
    <w:rsid w:val="00766391"/>
    <w:rsid w:val="00766798"/>
    <w:rsid w:val="007704A5"/>
    <w:rsid w:val="00770AB4"/>
    <w:rsid w:val="007710AF"/>
    <w:rsid w:val="0077124A"/>
    <w:rsid w:val="00771516"/>
    <w:rsid w:val="00771766"/>
    <w:rsid w:val="00771A94"/>
    <w:rsid w:val="007722B2"/>
    <w:rsid w:val="00773F0C"/>
    <w:rsid w:val="00775BCE"/>
    <w:rsid w:val="00775CB7"/>
    <w:rsid w:val="00776D8F"/>
    <w:rsid w:val="00777383"/>
    <w:rsid w:val="00777420"/>
    <w:rsid w:val="00777A4B"/>
    <w:rsid w:val="00777DA3"/>
    <w:rsid w:val="00777FA6"/>
    <w:rsid w:val="00782DBA"/>
    <w:rsid w:val="00783906"/>
    <w:rsid w:val="00784C42"/>
    <w:rsid w:val="00784CE9"/>
    <w:rsid w:val="00785357"/>
    <w:rsid w:val="00786278"/>
    <w:rsid w:val="007865C4"/>
    <w:rsid w:val="00786C6F"/>
    <w:rsid w:val="00787294"/>
    <w:rsid w:val="007873FE"/>
    <w:rsid w:val="00790F98"/>
    <w:rsid w:val="0079125F"/>
    <w:rsid w:val="00795341"/>
    <w:rsid w:val="00795600"/>
    <w:rsid w:val="0079640B"/>
    <w:rsid w:val="00797CB6"/>
    <w:rsid w:val="007A30CE"/>
    <w:rsid w:val="007A40F9"/>
    <w:rsid w:val="007A45A2"/>
    <w:rsid w:val="007A7002"/>
    <w:rsid w:val="007B0CC0"/>
    <w:rsid w:val="007B1B1A"/>
    <w:rsid w:val="007B2C8C"/>
    <w:rsid w:val="007B35A6"/>
    <w:rsid w:val="007B3679"/>
    <w:rsid w:val="007B5C3F"/>
    <w:rsid w:val="007B75D9"/>
    <w:rsid w:val="007B75F1"/>
    <w:rsid w:val="007C0212"/>
    <w:rsid w:val="007C0E01"/>
    <w:rsid w:val="007C16B7"/>
    <w:rsid w:val="007C1BDF"/>
    <w:rsid w:val="007C237D"/>
    <w:rsid w:val="007C349E"/>
    <w:rsid w:val="007C3A37"/>
    <w:rsid w:val="007C404C"/>
    <w:rsid w:val="007C49F8"/>
    <w:rsid w:val="007C5411"/>
    <w:rsid w:val="007C5967"/>
    <w:rsid w:val="007C6D97"/>
    <w:rsid w:val="007D0366"/>
    <w:rsid w:val="007D2292"/>
    <w:rsid w:val="007D272C"/>
    <w:rsid w:val="007D2E43"/>
    <w:rsid w:val="007D4AB0"/>
    <w:rsid w:val="007D58A0"/>
    <w:rsid w:val="007D65F6"/>
    <w:rsid w:val="007D671D"/>
    <w:rsid w:val="007D683D"/>
    <w:rsid w:val="007E0979"/>
    <w:rsid w:val="007E286A"/>
    <w:rsid w:val="007E2911"/>
    <w:rsid w:val="007E3637"/>
    <w:rsid w:val="007E509E"/>
    <w:rsid w:val="007E7117"/>
    <w:rsid w:val="007F3654"/>
    <w:rsid w:val="007F47D6"/>
    <w:rsid w:val="007F5C0B"/>
    <w:rsid w:val="007F60D2"/>
    <w:rsid w:val="007F63C6"/>
    <w:rsid w:val="007F6B5B"/>
    <w:rsid w:val="008000B3"/>
    <w:rsid w:val="00800ED0"/>
    <w:rsid w:val="008010DC"/>
    <w:rsid w:val="00801233"/>
    <w:rsid w:val="00801C10"/>
    <w:rsid w:val="00801D0C"/>
    <w:rsid w:val="0080297F"/>
    <w:rsid w:val="0080339C"/>
    <w:rsid w:val="008033F8"/>
    <w:rsid w:val="008034E4"/>
    <w:rsid w:val="00803BBB"/>
    <w:rsid w:val="00804472"/>
    <w:rsid w:val="00804520"/>
    <w:rsid w:val="0080454C"/>
    <w:rsid w:val="00804AA7"/>
    <w:rsid w:val="00804B4D"/>
    <w:rsid w:val="0080534B"/>
    <w:rsid w:val="00806344"/>
    <w:rsid w:val="00806D8D"/>
    <w:rsid w:val="00807186"/>
    <w:rsid w:val="00807CB4"/>
    <w:rsid w:val="00807F41"/>
    <w:rsid w:val="0081095E"/>
    <w:rsid w:val="00810F10"/>
    <w:rsid w:val="0081206B"/>
    <w:rsid w:val="0081236C"/>
    <w:rsid w:val="008124AD"/>
    <w:rsid w:val="008127FF"/>
    <w:rsid w:val="008135A2"/>
    <w:rsid w:val="00813C75"/>
    <w:rsid w:val="00817A7F"/>
    <w:rsid w:val="00817D8D"/>
    <w:rsid w:val="00820E16"/>
    <w:rsid w:val="00822BC4"/>
    <w:rsid w:val="00822E5A"/>
    <w:rsid w:val="0082467F"/>
    <w:rsid w:val="0082490F"/>
    <w:rsid w:val="00824F5B"/>
    <w:rsid w:val="00825D24"/>
    <w:rsid w:val="008277EE"/>
    <w:rsid w:val="00827995"/>
    <w:rsid w:val="00831DAE"/>
    <w:rsid w:val="008329B8"/>
    <w:rsid w:val="0083308D"/>
    <w:rsid w:val="00833AE6"/>
    <w:rsid w:val="00835330"/>
    <w:rsid w:val="00835A13"/>
    <w:rsid w:val="00835DF1"/>
    <w:rsid w:val="008402AA"/>
    <w:rsid w:val="0084118B"/>
    <w:rsid w:val="0084400C"/>
    <w:rsid w:val="0084781C"/>
    <w:rsid w:val="008502B5"/>
    <w:rsid w:val="0085072C"/>
    <w:rsid w:val="008517CA"/>
    <w:rsid w:val="00851BC7"/>
    <w:rsid w:val="00852CA6"/>
    <w:rsid w:val="00853E91"/>
    <w:rsid w:val="00854301"/>
    <w:rsid w:val="00854A5D"/>
    <w:rsid w:val="00854ADF"/>
    <w:rsid w:val="0085665E"/>
    <w:rsid w:val="00856F44"/>
    <w:rsid w:val="008575EC"/>
    <w:rsid w:val="00857A1B"/>
    <w:rsid w:val="00860818"/>
    <w:rsid w:val="00860B86"/>
    <w:rsid w:val="0086356C"/>
    <w:rsid w:val="00863EE2"/>
    <w:rsid w:val="008664A0"/>
    <w:rsid w:val="00867154"/>
    <w:rsid w:val="008673AC"/>
    <w:rsid w:val="00870825"/>
    <w:rsid w:val="00870BCD"/>
    <w:rsid w:val="00870C8E"/>
    <w:rsid w:val="00871023"/>
    <w:rsid w:val="008713B0"/>
    <w:rsid w:val="00872016"/>
    <w:rsid w:val="00872CE4"/>
    <w:rsid w:val="0087352B"/>
    <w:rsid w:val="00874490"/>
    <w:rsid w:val="00874A5E"/>
    <w:rsid w:val="00875A7D"/>
    <w:rsid w:val="00875EA0"/>
    <w:rsid w:val="00876EBA"/>
    <w:rsid w:val="00877B16"/>
    <w:rsid w:val="00880799"/>
    <w:rsid w:val="00880B03"/>
    <w:rsid w:val="00881E69"/>
    <w:rsid w:val="008828A0"/>
    <w:rsid w:val="008828D1"/>
    <w:rsid w:val="0088338F"/>
    <w:rsid w:val="00883F19"/>
    <w:rsid w:val="0088466B"/>
    <w:rsid w:val="00884F71"/>
    <w:rsid w:val="00885453"/>
    <w:rsid w:val="00885549"/>
    <w:rsid w:val="0088563F"/>
    <w:rsid w:val="00885BEA"/>
    <w:rsid w:val="00886326"/>
    <w:rsid w:val="00886B5C"/>
    <w:rsid w:val="008871C2"/>
    <w:rsid w:val="008875CB"/>
    <w:rsid w:val="0089007E"/>
    <w:rsid w:val="008909DC"/>
    <w:rsid w:val="0089265C"/>
    <w:rsid w:val="00893271"/>
    <w:rsid w:val="00895173"/>
    <w:rsid w:val="00895D75"/>
    <w:rsid w:val="00897A79"/>
    <w:rsid w:val="008A2378"/>
    <w:rsid w:val="008A39AF"/>
    <w:rsid w:val="008A4396"/>
    <w:rsid w:val="008A5BB3"/>
    <w:rsid w:val="008A7231"/>
    <w:rsid w:val="008A7735"/>
    <w:rsid w:val="008B0405"/>
    <w:rsid w:val="008B16A2"/>
    <w:rsid w:val="008B1B6F"/>
    <w:rsid w:val="008B2845"/>
    <w:rsid w:val="008B3D2A"/>
    <w:rsid w:val="008B4119"/>
    <w:rsid w:val="008B4196"/>
    <w:rsid w:val="008B43CD"/>
    <w:rsid w:val="008B76FD"/>
    <w:rsid w:val="008B7BFB"/>
    <w:rsid w:val="008C0716"/>
    <w:rsid w:val="008C184E"/>
    <w:rsid w:val="008C4724"/>
    <w:rsid w:val="008C75F4"/>
    <w:rsid w:val="008C7826"/>
    <w:rsid w:val="008C7AC1"/>
    <w:rsid w:val="008C7BAB"/>
    <w:rsid w:val="008D1059"/>
    <w:rsid w:val="008D15EA"/>
    <w:rsid w:val="008D1650"/>
    <w:rsid w:val="008D2030"/>
    <w:rsid w:val="008D227E"/>
    <w:rsid w:val="008D3D28"/>
    <w:rsid w:val="008D5362"/>
    <w:rsid w:val="008D6229"/>
    <w:rsid w:val="008D6684"/>
    <w:rsid w:val="008D7CFA"/>
    <w:rsid w:val="008E0D28"/>
    <w:rsid w:val="008E1679"/>
    <w:rsid w:val="008E20AD"/>
    <w:rsid w:val="008E350D"/>
    <w:rsid w:val="008E39C4"/>
    <w:rsid w:val="008E43CC"/>
    <w:rsid w:val="008E4521"/>
    <w:rsid w:val="008E495D"/>
    <w:rsid w:val="008E5128"/>
    <w:rsid w:val="008E524E"/>
    <w:rsid w:val="008E7031"/>
    <w:rsid w:val="008F25E6"/>
    <w:rsid w:val="008F4489"/>
    <w:rsid w:val="008F477E"/>
    <w:rsid w:val="008F4902"/>
    <w:rsid w:val="008F4940"/>
    <w:rsid w:val="008F57C1"/>
    <w:rsid w:val="008F6F43"/>
    <w:rsid w:val="00900706"/>
    <w:rsid w:val="00900F9A"/>
    <w:rsid w:val="00901588"/>
    <w:rsid w:val="00902107"/>
    <w:rsid w:val="0090214D"/>
    <w:rsid w:val="0090380F"/>
    <w:rsid w:val="009064DD"/>
    <w:rsid w:val="0090657C"/>
    <w:rsid w:val="009071AF"/>
    <w:rsid w:val="00907BFD"/>
    <w:rsid w:val="00910A11"/>
    <w:rsid w:val="00910CDA"/>
    <w:rsid w:val="00911A25"/>
    <w:rsid w:val="00912C9E"/>
    <w:rsid w:val="00913310"/>
    <w:rsid w:val="00917D7F"/>
    <w:rsid w:val="009214F5"/>
    <w:rsid w:val="00921886"/>
    <w:rsid w:val="00921F6D"/>
    <w:rsid w:val="0092228D"/>
    <w:rsid w:val="0092337D"/>
    <w:rsid w:val="0092350B"/>
    <w:rsid w:val="00923BB4"/>
    <w:rsid w:val="0092436A"/>
    <w:rsid w:val="00924DDD"/>
    <w:rsid w:val="00925329"/>
    <w:rsid w:val="009256B9"/>
    <w:rsid w:val="00925B7B"/>
    <w:rsid w:val="00930469"/>
    <w:rsid w:val="009305E5"/>
    <w:rsid w:val="00930FB6"/>
    <w:rsid w:val="009310A5"/>
    <w:rsid w:val="00931306"/>
    <w:rsid w:val="00931F07"/>
    <w:rsid w:val="0093204A"/>
    <w:rsid w:val="00933635"/>
    <w:rsid w:val="00933AE2"/>
    <w:rsid w:val="009352B4"/>
    <w:rsid w:val="009356B8"/>
    <w:rsid w:val="00936A81"/>
    <w:rsid w:val="00937648"/>
    <w:rsid w:val="0093784E"/>
    <w:rsid w:val="009401C4"/>
    <w:rsid w:val="00940DC5"/>
    <w:rsid w:val="009430E4"/>
    <w:rsid w:val="009440D8"/>
    <w:rsid w:val="00950C5C"/>
    <w:rsid w:val="00953335"/>
    <w:rsid w:val="00953982"/>
    <w:rsid w:val="00954093"/>
    <w:rsid w:val="00954FC1"/>
    <w:rsid w:val="00957277"/>
    <w:rsid w:val="00960EDC"/>
    <w:rsid w:val="00961551"/>
    <w:rsid w:val="00961BA0"/>
    <w:rsid w:val="00961D2F"/>
    <w:rsid w:val="00962ACA"/>
    <w:rsid w:val="00962F34"/>
    <w:rsid w:val="00963153"/>
    <w:rsid w:val="0096330D"/>
    <w:rsid w:val="009634A3"/>
    <w:rsid w:val="00963EF4"/>
    <w:rsid w:val="00964130"/>
    <w:rsid w:val="00964D54"/>
    <w:rsid w:val="009654E7"/>
    <w:rsid w:val="009658BD"/>
    <w:rsid w:val="00965E96"/>
    <w:rsid w:val="00966ADE"/>
    <w:rsid w:val="009671CF"/>
    <w:rsid w:val="00967F2B"/>
    <w:rsid w:val="0097040B"/>
    <w:rsid w:val="009706DF"/>
    <w:rsid w:val="00971171"/>
    <w:rsid w:val="0097150F"/>
    <w:rsid w:val="00971CFA"/>
    <w:rsid w:val="00972648"/>
    <w:rsid w:val="00972ED4"/>
    <w:rsid w:val="00973D15"/>
    <w:rsid w:val="00973F32"/>
    <w:rsid w:val="009743EF"/>
    <w:rsid w:val="0097635F"/>
    <w:rsid w:val="00980C02"/>
    <w:rsid w:val="00981132"/>
    <w:rsid w:val="009821F7"/>
    <w:rsid w:val="00982290"/>
    <w:rsid w:val="0098240D"/>
    <w:rsid w:val="009826DE"/>
    <w:rsid w:val="009829A0"/>
    <w:rsid w:val="009831CC"/>
    <w:rsid w:val="009833E3"/>
    <w:rsid w:val="00985A1A"/>
    <w:rsid w:val="0098637B"/>
    <w:rsid w:val="00986FF5"/>
    <w:rsid w:val="00990354"/>
    <w:rsid w:val="00993F77"/>
    <w:rsid w:val="00994364"/>
    <w:rsid w:val="0099455C"/>
    <w:rsid w:val="00994E24"/>
    <w:rsid w:val="00997054"/>
    <w:rsid w:val="009970BE"/>
    <w:rsid w:val="009974FC"/>
    <w:rsid w:val="00997AC8"/>
    <w:rsid w:val="009A1C16"/>
    <w:rsid w:val="009A1D1E"/>
    <w:rsid w:val="009A22F9"/>
    <w:rsid w:val="009A250E"/>
    <w:rsid w:val="009A38E3"/>
    <w:rsid w:val="009A5884"/>
    <w:rsid w:val="009A697E"/>
    <w:rsid w:val="009A7DA0"/>
    <w:rsid w:val="009B067E"/>
    <w:rsid w:val="009B0941"/>
    <w:rsid w:val="009B1B1D"/>
    <w:rsid w:val="009B3535"/>
    <w:rsid w:val="009B3D07"/>
    <w:rsid w:val="009B43E4"/>
    <w:rsid w:val="009B7902"/>
    <w:rsid w:val="009B7F5F"/>
    <w:rsid w:val="009C01B3"/>
    <w:rsid w:val="009C0D34"/>
    <w:rsid w:val="009C169A"/>
    <w:rsid w:val="009C1713"/>
    <w:rsid w:val="009C1799"/>
    <w:rsid w:val="009C3032"/>
    <w:rsid w:val="009C31BB"/>
    <w:rsid w:val="009C32AE"/>
    <w:rsid w:val="009C3A23"/>
    <w:rsid w:val="009C4D38"/>
    <w:rsid w:val="009C7319"/>
    <w:rsid w:val="009D0350"/>
    <w:rsid w:val="009D1930"/>
    <w:rsid w:val="009D1CC1"/>
    <w:rsid w:val="009D205D"/>
    <w:rsid w:val="009D2ADA"/>
    <w:rsid w:val="009D2BF6"/>
    <w:rsid w:val="009D50C9"/>
    <w:rsid w:val="009D52C8"/>
    <w:rsid w:val="009D587F"/>
    <w:rsid w:val="009D67BE"/>
    <w:rsid w:val="009D6C82"/>
    <w:rsid w:val="009D7647"/>
    <w:rsid w:val="009E150C"/>
    <w:rsid w:val="009E1E49"/>
    <w:rsid w:val="009E2378"/>
    <w:rsid w:val="009E2D08"/>
    <w:rsid w:val="009E2E8D"/>
    <w:rsid w:val="009E3533"/>
    <w:rsid w:val="009E36B5"/>
    <w:rsid w:val="009E3E6A"/>
    <w:rsid w:val="009E3FB1"/>
    <w:rsid w:val="009E461B"/>
    <w:rsid w:val="009E51F6"/>
    <w:rsid w:val="009E5603"/>
    <w:rsid w:val="009E6FFE"/>
    <w:rsid w:val="009E7451"/>
    <w:rsid w:val="009E75F0"/>
    <w:rsid w:val="009F2406"/>
    <w:rsid w:val="009F59E4"/>
    <w:rsid w:val="009F6583"/>
    <w:rsid w:val="009F66BD"/>
    <w:rsid w:val="009F77A6"/>
    <w:rsid w:val="00A00A93"/>
    <w:rsid w:val="00A01D94"/>
    <w:rsid w:val="00A02E7B"/>
    <w:rsid w:val="00A038AD"/>
    <w:rsid w:val="00A03966"/>
    <w:rsid w:val="00A0409F"/>
    <w:rsid w:val="00A04D75"/>
    <w:rsid w:val="00A06D4F"/>
    <w:rsid w:val="00A06F3F"/>
    <w:rsid w:val="00A078A5"/>
    <w:rsid w:val="00A1069F"/>
    <w:rsid w:val="00A10C2B"/>
    <w:rsid w:val="00A11257"/>
    <w:rsid w:val="00A12FE4"/>
    <w:rsid w:val="00A149B2"/>
    <w:rsid w:val="00A14A3D"/>
    <w:rsid w:val="00A16847"/>
    <w:rsid w:val="00A16A6D"/>
    <w:rsid w:val="00A20891"/>
    <w:rsid w:val="00A20937"/>
    <w:rsid w:val="00A2095D"/>
    <w:rsid w:val="00A20BE0"/>
    <w:rsid w:val="00A20E93"/>
    <w:rsid w:val="00A21D59"/>
    <w:rsid w:val="00A21DB8"/>
    <w:rsid w:val="00A2226F"/>
    <w:rsid w:val="00A2242F"/>
    <w:rsid w:val="00A22C5F"/>
    <w:rsid w:val="00A22DFF"/>
    <w:rsid w:val="00A22FE3"/>
    <w:rsid w:val="00A2353B"/>
    <w:rsid w:val="00A25193"/>
    <w:rsid w:val="00A25275"/>
    <w:rsid w:val="00A256A3"/>
    <w:rsid w:val="00A25A32"/>
    <w:rsid w:val="00A265E4"/>
    <w:rsid w:val="00A26800"/>
    <w:rsid w:val="00A268DB"/>
    <w:rsid w:val="00A26ECA"/>
    <w:rsid w:val="00A2759D"/>
    <w:rsid w:val="00A27E50"/>
    <w:rsid w:val="00A30AF0"/>
    <w:rsid w:val="00A30D51"/>
    <w:rsid w:val="00A30E72"/>
    <w:rsid w:val="00A325F8"/>
    <w:rsid w:val="00A333DF"/>
    <w:rsid w:val="00A33424"/>
    <w:rsid w:val="00A339D2"/>
    <w:rsid w:val="00A349A1"/>
    <w:rsid w:val="00A34F65"/>
    <w:rsid w:val="00A3672C"/>
    <w:rsid w:val="00A36F11"/>
    <w:rsid w:val="00A41BB7"/>
    <w:rsid w:val="00A429C5"/>
    <w:rsid w:val="00A43EAD"/>
    <w:rsid w:val="00A44687"/>
    <w:rsid w:val="00A44A51"/>
    <w:rsid w:val="00A4550C"/>
    <w:rsid w:val="00A45683"/>
    <w:rsid w:val="00A46486"/>
    <w:rsid w:val="00A46D9C"/>
    <w:rsid w:val="00A4792A"/>
    <w:rsid w:val="00A4794F"/>
    <w:rsid w:val="00A50B54"/>
    <w:rsid w:val="00A522DE"/>
    <w:rsid w:val="00A52F00"/>
    <w:rsid w:val="00A5491A"/>
    <w:rsid w:val="00A54963"/>
    <w:rsid w:val="00A55692"/>
    <w:rsid w:val="00A57294"/>
    <w:rsid w:val="00A574D6"/>
    <w:rsid w:val="00A61257"/>
    <w:rsid w:val="00A61D8F"/>
    <w:rsid w:val="00A631E7"/>
    <w:rsid w:val="00A63CC4"/>
    <w:rsid w:val="00A64960"/>
    <w:rsid w:val="00A67A67"/>
    <w:rsid w:val="00A67D3B"/>
    <w:rsid w:val="00A70576"/>
    <w:rsid w:val="00A70F86"/>
    <w:rsid w:val="00A710C7"/>
    <w:rsid w:val="00A719E2"/>
    <w:rsid w:val="00A72B1C"/>
    <w:rsid w:val="00A72F2B"/>
    <w:rsid w:val="00A7381D"/>
    <w:rsid w:val="00A73D6B"/>
    <w:rsid w:val="00A74584"/>
    <w:rsid w:val="00A74782"/>
    <w:rsid w:val="00A762BB"/>
    <w:rsid w:val="00A77681"/>
    <w:rsid w:val="00A77C40"/>
    <w:rsid w:val="00A8046E"/>
    <w:rsid w:val="00A808C7"/>
    <w:rsid w:val="00A816B3"/>
    <w:rsid w:val="00A8254A"/>
    <w:rsid w:val="00A83B77"/>
    <w:rsid w:val="00A862B8"/>
    <w:rsid w:val="00A87A3C"/>
    <w:rsid w:val="00A87DD1"/>
    <w:rsid w:val="00A913F4"/>
    <w:rsid w:val="00A91667"/>
    <w:rsid w:val="00A938FD"/>
    <w:rsid w:val="00A941C5"/>
    <w:rsid w:val="00A94C60"/>
    <w:rsid w:val="00A9533B"/>
    <w:rsid w:val="00A9551E"/>
    <w:rsid w:val="00A963F9"/>
    <w:rsid w:val="00A97AD5"/>
    <w:rsid w:val="00AA0E3B"/>
    <w:rsid w:val="00AA1716"/>
    <w:rsid w:val="00AA316B"/>
    <w:rsid w:val="00AA33D7"/>
    <w:rsid w:val="00AA49CF"/>
    <w:rsid w:val="00AA4AE0"/>
    <w:rsid w:val="00AA572A"/>
    <w:rsid w:val="00AA5EC6"/>
    <w:rsid w:val="00AA71B4"/>
    <w:rsid w:val="00AA71B6"/>
    <w:rsid w:val="00AB0285"/>
    <w:rsid w:val="00AB0B89"/>
    <w:rsid w:val="00AB0D3F"/>
    <w:rsid w:val="00AB0D5A"/>
    <w:rsid w:val="00AB10E9"/>
    <w:rsid w:val="00AB138C"/>
    <w:rsid w:val="00AB3F22"/>
    <w:rsid w:val="00AB4B62"/>
    <w:rsid w:val="00AB6585"/>
    <w:rsid w:val="00AB6B3E"/>
    <w:rsid w:val="00AB7CE4"/>
    <w:rsid w:val="00AC0CD4"/>
    <w:rsid w:val="00AC1F84"/>
    <w:rsid w:val="00AC2AD5"/>
    <w:rsid w:val="00AC4BDE"/>
    <w:rsid w:val="00AC561D"/>
    <w:rsid w:val="00AC5A3E"/>
    <w:rsid w:val="00AC5C2F"/>
    <w:rsid w:val="00AC5FC2"/>
    <w:rsid w:val="00AD1F3B"/>
    <w:rsid w:val="00AD3E61"/>
    <w:rsid w:val="00AD406B"/>
    <w:rsid w:val="00AD51CF"/>
    <w:rsid w:val="00AD5B1C"/>
    <w:rsid w:val="00AD609E"/>
    <w:rsid w:val="00AD7A77"/>
    <w:rsid w:val="00AE03EC"/>
    <w:rsid w:val="00AE08AE"/>
    <w:rsid w:val="00AE113D"/>
    <w:rsid w:val="00AE132B"/>
    <w:rsid w:val="00AE184D"/>
    <w:rsid w:val="00AE2767"/>
    <w:rsid w:val="00AE2FF6"/>
    <w:rsid w:val="00AE3D7F"/>
    <w:rsid w:val="00AE481D"/>
    <w:rsid w:val="00AE4A2D"/>
    <w:rsid w:val="00AE534F"/>
    <w:rsid w:val="00AE6B02"/>
    <w:rsid w:val="00AE775E"/>
    <w:rsid w:val="00AF084E"/>
    <w:rsid w:val="00AF234C"/>
    <w:rsid w:val="00AF3251"/>
    <w:rsid w:val="00AF3436"/>
    <w:rsid w:val="00AF3D2B"/>
    <w:rsid w:val="00AF41C8"/>
    <w:rsid w:val="00AF45DC"/>
    <w:rsid w:val="00AF4FF3"/>
    <w:rsid w:val="00AF5553"/>
    <w:rsid w:val="00AF5845"/>
    <w:rsid w:val="00AF5C44"/>
    <w:rsid w:val="00AF5E44"/>
    <w:rsid w:val="00AF6A72"/>
    <w:rsid w:val="00AF71B9"/>
    <w:rsid w:val="00B004D8"/>
    <w:rsid w:val="00B016C1"/>
    <w:rsid w:val="00B01742"/>
    <w:rsid w:val="00B02B32"/>
    <w:rsid w:val="00B06E09"/>
    <w:rsid w:val="00B100DA"/>
    <w:rsid w:val="00B10594"/>
    <w:rsid w:val="00B1179C"/>
    <w:rsid w:val="00B11878"/>
    <w:rsid w:val="00B13F76"/>
    <w:rsid w:val="00B151DB"/>
    <w:rsid w:val="00B15B14"/>
    <w:rsid w:val="00B16429"/>
    <w:rsid w:val="00B1782E"/>
    <w:rsid w:val="00B17AA3"/>
    <w:rsid w:val="00B20281"/>
    <w:rsid w:val="00B21510"/>
    <w:rsid w:val="00B21E63"/>
    <w:rsid w:val="00B24199"/>
    <w:rsid w:val="00B24696"/>
    <w:rsid w:val="00B24C1F"/>
    <w:rsid w:val="00B2514A"/>
    <w:rsid w:val="00B26120"/>
    <w:rsid w:val="00B30859"/>
    <w:rsid w:val="00B32149"/>
    <w:rsid w:val="00B32178"/>
    <w:rsid w:val="00B34902"/>
    <w:rsid w:val="00B34ED7"/>
    <w:rsid w:val="00B35C12"/>
    <w:rsid w:val="00B36A2D"/>
    <w:rsid w:val="00B40493"/>
    <w:rsid w:val="00B4060B"/>
    <w:rsid w:val="00B41261"/>
    <w:rsid w:val="00B42EAB"/>
    <w:rsid w:val="00B4370A"/>
    <w:rsid w:val="00B448B0"/>
    <w:rsid w:val="00B45FEE"/>
    <w:rsid w:val="00B47CC1"/>
    <w:rsid w:val="00B50B02"/>
    <w:rsid w:val="00B51691"/>
    <w:rsid w:val="00B5187A"/>
    <w:rsid w:val="00B51C2C"/>
    <w:rsid w:val="00B51C83"/>
    <w:rsid w:val="00B51D2C"/>
    <w:rsid w:val="00B51DFB"/>
    <w:rsid w:val="00B53039"/>
    <w:rsid w:val="00B53DB0"/>
    <w:rsid w:val="00B5440B"/>
    <w:rsid w:val="00B544DE"/>
    <w:rsid w:val="00B556DE"/>
    <w:rsid w:val="00B56EA7"/>
    <w:rsid w:val="00B57531"/>
    <w:rsid w:val="00B601E9"/>
    <w:rsid w:val="00B6029F"/>
    <w:rsid w:val="00B60595"/>
    <w:rsid w:val="00B615F8"/>
    <w:rsid w:val="00B62052"/>
    <w:rsid w:val="00B624EC"/>
    <w:rsid w:val="00B62DBD"/>
    <w:rsid w:val="00B63710"/>
    <w:rsid w:val="00B64239"/>
    <w:rsid w:val="00B65187"/>
    <w:rsid w:val="00B65F06"/>
    <w:rsid w:val="00B664BA"/>
    <w:rsid w:val="00B6759C"/>
    <w:rsid w:val="00B67DBD"/>
    <w:rsid w:val="00B67EC8"/>
    <w:rsid w:val="00B67F8D"/>
    <w:rsid w:val="00B7028E"/>
    <w:rsid w:val="00B7123B"/>
    <w:rsid w:val="00B713ED"/>
    <w:rsid w:val="00B71C46"/>
    <w:rsid w:val="00B72141"/>
    <w:rsid w:val="00B72A07"/>
    <w:rsid w:val="00B72ACF"/>
    <w:rsid w:val="00B72AEF"/>
    <w:rsid w:val="00B7320A"/>
    <w:rsid w:val="00B732AE"/>
    <w:rsid w:val="00B735D5"/>
    <w:rsid w:val="00B75369"/>
    <w:rsid w:val="00B76494"/>
    <w:rsid w:val="00B76CF1"/>
    <w:rsid w:val="00B77161"/>
    <w:rsid w:val="00B77A52"/>
    <w:rsid w:val="00B81713"/>
    <w:rsid w:val="00B8215C"/>
    <w:rsid w:val="00B82A98"/>
    <w:rsid w:val="00B831F0"/>
    <w:rsid w:val="00B83217"/>
    <w:rsid w:val="00B836C9"/>
    <w:rsid w:val="00B83EE6"/>
    <w:rsid w:val="00B84F1D"/>
    <w:rsid w:val="00B852C6"/>
    <w:rsid w:val="00B8530F"/>
    <w:rsid w:val="00B853FE"/>
    <w:rsid w:val="00B8566A"/>
    <w:rsid w:val="00B8576B"/>
    <w:rsid w:val="00B862FC"/>
    <w:rsid w:val="00B86A2F"/>
    <w:rsid w:val="00B878AD"/>
    <w:rsid w:val="00B87FEF"/>
    <w:rsid w:val="00B906F9"/>
    <w:rsid w:val="00B90ED6"/>
    <w:rsid w:val="00B9171D"/>
    <w:rsid w:val="00B926A8"/>
    <w:rsid w:val="00B94893"/>
    <w:rsid w:val="00B94C31"/>
    <w:rsid w:val="00B94E7F"/>
    <w:rsid w:val="00B95064"/>
    <w:rsid w:val="00B96C1E"/>
    <w:rsid w:val="00B97751"/>
    <w:rsid w:val="00BA00F1"/>
    <w:rsid w:val="00BA032B"/>
    <w:rsid w:val="00BA0CE5"/>
    <w:rsid w:val="00BA2014"/>
    <w:rsid w:val="00BA25F7"/>
    <w:rsid w:val="00BA2A07"/>
    <w:rsid w:val="00BA4911"/>
    <w:rsid w:val="00BA56BB"/>
    <w:rsid w:val="00BA57A0"/>
    <w:rsid w:val="00BA5939"/>
    <w:rsid w:val="00BA602C"/>
    <w:rsid w:val="00BA6A1C"/>
    <w:rsid w:val="00BA7A71"/>
    <w:rsid w:val="00BA7BFA"/>
    <w:rsid w:val="00BB01B9"/>
    <w:rsid w:val="00BB043F"/>
    <w:rsid w:val="00BB197D"/>
    <w:rsid w:val="00BB4118"/>
    <w:rsid w:val="00BB42C0"/>
    <w:rsid w:val="00BB4B7C"/>
    <w:rsid w:val="00BC180D"/>
    <w:rsid w:val="00BC1A9B"/>
    <w:rsid w:val="00BC1B36"/>
    <w:rsid w:val="00BC3BFB"/>
    <w:rsid w:val="00BC424F"/>
    <w:rsid w:val="00BC5DF8"/>
    <w:rsid w:val="00BC634A"/>
    <w:rsid w:val="00BC6A65"/>
    <w:rsid w:val="00BC6CE7"/>
    <w:rsid w:val="00BC7264"/>
    <w:rsid w:val="00BC76FB"/>
    <w:rsid w:val="00BC7B9A"/>
    <w:rsid w:val="00BD028D"/>
    <w:rsid w:val="00BD0351"/>
    <w:rsid w:val="00BD0EB0"/>
    <w:rsid w:val="00BD15D1"/>
    <w:rsid w:val="00BD1CDC"/>
    <w:rsid w:val="00BD2757"/>
    <w:rsid w:val="00BD2D30"/>
    <w:rsid w:val="00BD3095"/>
    <w:rsid w:val="00BD3802"/>
    <w:rsid w:val="00BD3E3F"/>
    <w:rsid w:val="00BD4028"/>
    <w:rsid w:val="00BD424F"/>
    <w:rsid w:val="00BD46A4"/>
    <w:rsid w:val="00BD4721"/>
    <w:rsid w:val="00BD5112"/>
    <w:rsid w:val="00BD57B7"/>
    <w:rsid w:val="00BD57DA"/>
    <w:rsid w:val="00BD60A5"/>
    <w:rsid w:val="00BD67A0"/>
    <w:rsid w:val="00BD7835"/>
    <w:rsid w:val="00BE0738"/>
    <w:rsid w:val="00BE2FC4"/>
    <w:rsid w:val="00BE3568"/>
    <w:rsid w:val="00BE4782"/>
    <w:rsid w:val="00BE4CD5"/>
    <w:rsid w:val="00BE56EF"/>
    <w:rsid w:val="00BE575B"/>
    <w:rsid w:val="00BE59B6"/>
    <w:rsid w:val="00BE5A2D"/>
    <w:rsid w:val="00BE6ADD"/>
    <w:rsid w:val="00BE75FF"/>
    <w:rsid w:val="00BE78DD"/>
    <w:rsid w:val="00BF0C6B"/>
    <w:rsid w:val="00BF1F87"/>
    <w:rsid w:val="00BF1FFE"/>
    <w:rsid w:val="00BF25CB"/>
    <w:rsid w:val="00BF3A7B"/>
    <w:rsid w:val="00BF4314"/>
    <w:rsid w:val="00BF52D6"/>
    <w:rsid w:val="00BF7182"/>
    <w:rsid w:val="00C00555"/>
    <w:rsid w:val="00C00EF2"/>
    <w:rsid w:val="00C044D0"/>
    <w:rsid w:val="00C04D0B"/>
    <w:rsid w:val="00C06F70"/>
    <w:rsid w:val="00C11659"/>
    <w:rsid w:val="00C124B4"/>
    <w:rsid w:val="00C12A7B"/>
    <w:rsid w:val="00C13788"/>
    <w:rsid w:val="00C1538A"/>
    <w:rsid w:val="00C169B6"/>
    <w:rsid w:val="00C16DC3"/>
    <w:rsid w:val="00C20B53"/>
    <w:rsid w:val="00C21777"/>
    <w:rsid w:val="00C22439"/>
    <w:rsid w:val="00C22BDF"/>
    <w:rsid w:val="00C232DB"/>
    <w:rsid w:val="00C232DF"/>
    <w:rsid w:val="00C23439"/>
    <w:rsid w:val="00C2356E"/>
    <w:rsid w:val="00C23E94"/>
    <w:rsid w:val="00C24564"/>
    <w:rsid w:val="00C253A4"/>
    <w:rsid w:val="00C253AB"/>
    <w:rsid w:val="00C259F0"/>
    <w:rsid w:val="00C26C2D"/>
    <w:rsid w:val="00C2716F"/>
    <w:rsid w:val="00C27206"/>
    <w:rsid w:val="00C274FA"/>
    <w:rsid w:val="00C2786D"/>
    <w:rsid w:val="00C27AA9"/>
    <w:rsid w:val="00C30442"/>
    <w:rsid w:val="00C3268C"/>
    <w:rsid w:val="00C32AF4"/>
    <w:rsid w:val="00C345BB"/>
    <w:rsid w:val="00C351D9"/>
    <w:rsid w:val="00C356FB"/>
    <w:rsid w:val="00C35730"/>
    <w:rsid w:val="00C361DD"/>
    <w:rsid w:val="00C3799F"/>
    <w:rsid w:val="00C41701"/>
    <w:rsid w:val="00C4228E"/>
    <w:rsid w:val="00C43BB5"/>
    <w:rsid w:val="00C454B2"/>
    <w:rsid w:val="00C474D2"/>
    <w:rsid w:val="00C479DF"/>
    <w:rsid w:val="00C47B70"/>
    <w:rsid w:val="00C50B8A"/>
    <w:rsid w:val="00C5315D"/>
    <w:rsid w:val="00C53B18"/>
    <w:rsid w:val="00C53E38"/>
    <w:rsid w:val="00C55BD6"/>
    <w:rsid w:val="00C55EA0"/>
    <w:rsid w:val="00C56EE5"/>
    <w:rsid w:val="00C57C43"/>
    <w:rsid w:val="00C60D86"/>
    <w:rsid w:val="00C6102F"/>
    <w:rsid w:val="00C615D9"/>
    <w:rsid w:val="00C61776"/>
    <w:rsid w:val="00C61DA9"/>
    <w:rsid w:val="00C63055"/>
    <w:rsid w:val="00C6400A"/>
    <w:rsid w:val="00C65B6F"/>
    <w:rsid w:val="00C66358"/>
    <w:rsid w:val="00C66447"/>
    <w:rsid w:val="00C6719A"/>
    <w:rsid w:val="00C67449"/>
    <w:rsid w:val="00C7000D"/>
    <w:rsid w:val="00C718FB"/>
    <w:rsid w:val="00C72BB0"/>
    <w:rsid w:val="00C732BA"/>
    <w:rsid w:val="00C73397"/>
    <w:rsid w:val="00C75AE3"/>
    <w:rsid w:val="00C76860"/>
    <w:rsid w:val="00C76B20"/>
    <w:rsid w:val="00C771B2"/>
    <w:rsid w:val="00C77318"/>
    <w:rsid w:val="00C77F63"/>
    <w:rsid w:val="00C81561"/>
    <w:rsid w:val="00C81C58"/>
    <w:rsid w:val="00C82436"/>
    <w:rsid w:val="00C83385"/>
    <w:rsid w:val="00C839EF"/>
    <w:rsid w:val="00C84D7B"/>
    <w:rsid w:val="00C84FDD"/>
    <w:rsid w:val="00C85053"/>
    <w:rsid w:val="00C8519E"/>
    <w:rsid w:val="00C85EC7"/>
    <w:rsid w:val="00C864B7"/>
    <w:rsid w:val="00C8655D"/>
    <w:rsid w:val="00C876A0"/>
    <w:rsid w:val="00C876F9"/>
    <w:rsid w:val="00C87879"/>
    <w:rsid w:val="00C87C7E"/>
    <w:rsid w:val="00C9097C"/>
    <w:rsid w:val="00C91558"/>
    <w:rsid w:val="00C91955"/>
    <w:rsid w:val="00C93EF0"/>
    <w:rsid w:val="00C942D4"/>
    <w:rsid w:val="00C96F46"/>
    <w:rsid w:val="00C97520"/>
    <w:rsid w:val="00CA1EDC"/>
    <w:rsid w:val="00CA231E"/>
    <w:rsid w:val="00CA2880"/>
    <w:rsid w:val="00CA4AD9"/>
    <w:rsid w:val="00CA510C"/>
    <w:rsid w:val="00CA5194"/>
    <w:rsid w:val="00CA5B95"/>
    <w:rsid w:val="00CA5D3D"/>
    <w:rsid w:val="00CA6719"/>
    <w:rsid w:val="00CA73F7"/>
    <w:rsid w:val="00CB280B"/>
    <w:rsid w:val="00CB2ABD"/>
    <w:rsid w:val="00CB30B4"/>
    <w:rsid w:val="00CB30F7"/>
    <w:rsid w:val="00CB3D18"/>
    <w:rsid w:val="00CB45DD"/>
    <w:rsid w:val="00CB4A07"/>
    <w:rsid w:val="00CB4A2B"/>
    <w:rsid w:val="00CB60C3"/>
    <w:rsid w:val="00CB678C"/>
    <w:rsid w:val="00CB7106"/>
    <w:rsid w:val="00CB7675"/>
    <w:rsid w:val="00CC11CB"/>
    <w:rsid w:val="00CC173E"/>
    <w:rsid w:val="00CC2D52"/>
    <w:rsid w:val="00CC3A24"/>
    <w:rsid w:val="00CC4000"/>
    <w:rsid w:val="00CC4766"/>
    <w:rsid w:val="00CC4BF2"/>
    <w:rsid w:val="00CC5105"/>
    <w:rsid w:val="00CC59D9"/>
    <w:rsid w:val="00CC6A57"/>
    <w:rsid w:val="00CC6A99"/>
    <w:rsid w:val="00CC6EB1"/>
    <w:rsid w:val="00CC6FDF"/>
    <w:rsid w:val="00CC7576"/>
    <w:rsid w:val="00CC7B07"/>
    <w:rsid w:val="00CC7B28"/>
    <w:rsid w:val="00CC7C42"/>
    <w:rsid w:val="00CC7CB7"/>
    <w:rsid w:val="00CD057A"/>
    <w:rsid w:val="00CD0DF3"/>
    <w:rsid w:val="00CD1C65"/>
    <w:rsid w:val="00CD29E3"/>
    <w:rsid w:val="00CD4EFB"/>
    <w:rsid w:val="00CD5291"/>
    <w:rsid w:val="00CD6ABB"/>
    <w:rsid w:val="00CD719F"/>
    <w:rsid w:val="00CD7E91"/>
    <w:rsid w:val="00CD7EBA"/>
    <w:rsid w:val="00CE00BB"/>
    <w:rsid w:val="00CE0607"/>
    <w:rsid w:val="00CE0736"/>
    <w:rsid w:val="00CE0BD6"/>
    <w:rsid w:val="00CE1FCD"/>
    <w:rsid w:val="00CE20E6"/>
    <w:rsid w:val="00CE2A91"/>
    <w:rsid w:val="00CE2C76"/>
    <w:rsid w:val="00CE3883"/>
    <w:rsid w:val="00CE4F94"/>
    <w:rsid w:val="00CE5264"/>
    <w:rsid w:val="00CE55AB"/>
    <w:rsid w:val="00CE678C"/>
    <w:rsid w:val="00CE7C4D"/>
    <w:rsid w:val="00CE7F67"/>
    <w:rsid w:val="00CF0AA9"/>
    <w:rsid w:val="00CF1622"/>
    <w:rsid w:val="00CF1A88"/>
    <w:rsid w:val="00CF2371"/>
    <w:rsid w:val="00CF2A52"/>
    <w:rsid w:val="00CF3A77"/>
    <w:rsid w:val="00CF5252"/>
    <w:rsid w:val="00CF6839"/>
    <w:rsid w:val="00CF6D3D"/>
    <w:rsid w:val="00CF6F0D"/>
    <w:rsid w:val="00CF7365"/>
    <w:rsid w:val="00D003FA"/>
    <w:rsid w:val="00D0053E"/>
    <w:rsid w:val="00D00FF9"/>
    <w:rsid w:val="00D018DA"/>
    <w:rsid w:val="00D02702"/>
    <w:rsid w:val="00D033E8"/>
    <w:rsid w:val="00D062AF"/>
    <w:rsid w:val="00D11AF5"/>
    <w:rsid w:val="00D11E73"/>
    <w:rsid w:val="00D1344E"/>
    <w:rsid w:val="00D142D3"/>
    <w:rsid w:val="00D15643"/>
    <w:rsid w:val="00D16C07"/>
    <w:rsid w:val="00D1710F"/>
    <w:rsid w:val="00D17A06"/>
    <w:rsid w:val="00D17C27"/>
    <w:rsid w:val="00D17D52"/>
    <w:rsid w:val="00D201D2"/>
    <w:rsid w:val="00D201E6"/>
    <w:rsid w:val="00D20415"/>
    <w:rsid w:val="00D21DE0"/>
    <w:rsid w:val="00D221C1"/>
    <w:rsid w:val="00D22795"/>
    <w:rsid w:val="00D232DB"/>
    <w:rsid w:val="00D235EF"/>
    <w:rsid w:val="00D239CE"/>
    <w:rsid w:val="00D261C0"/>
    <w:rsid w:val="00D2687A"/>
    <w:rsid w:val="00D303FB"/>
    <w:rsid w:val="00D30A5D"/>
    <w:rsid w:val="00D30AFF"/>
    <w:rsid w:val="00D311FB"/>
    <w:rsid w:val="00D31E50"/>
    <w:rsid w:val="00D328A0"/>
    <w:rsid w:val="00D32BBD"/>
    <w:rsid w:val="00D33D9C"/>
    <w:rsid w:val="00D34FB5"/>
    <w:rsid w:val="00D352B5"/>
    <w:rsid w:val="00D37363"/>
    <w:rsid w:val="00D37F49"/>
    <w:rsid w:val="00D41289"/>
    <w:rsid w:val="00D419FC"/>
    <w:rsid w:val="00D41E10"/>
    <w:rsid w:val="00D43436"/>
    <w:rsid w:val="00D43511"/>
    <w:rsid w:val="00D46573"/>
    <w:rsid w:val="00D46F4D"/>
    <w:rsid w:val="00D47B6D"/>
    <w:rsid w:val="00D528D7"/>
    <w:rsid w:val="00D52C18"/>
    <w:rsid w:val="00D53C8C"/>
    <w:rsid w:val="00D541F4"/>
    <w:rsid w:val="00D5431F"/>
    <w:rsid w:val="00D543E5"/>
    <w:rsid w:val="00D55250"/>
    <w:rsid w:val="00D56DCE"/>
    <w:rsid w:val="00D570E5"/>
    <w:rsid w:val="00D57254"/>
    <w:rsid w:val="00D57A9C"/>
    <w:rsid w:val="00D61147"/>
    <w:rsid w:val="00D61241"/>
    <w:rsid w:val="00D61565"/>
    <w:rsid w:val="00D61D30"/>
    <w:rsid w:val="00D61D61"/>
    <w:rsid w:val="00D624BA"/>
    <w:rsid w:val="00D6513B"/>
    <w:rsid w:val="00D6522F"/>
    <w:rsid w:val="00D70DA7"/>
    <w:rsid w:val="00D7101A"/>
    <w:rsid w:val="00D71BE2"/>
    <w:rsid w:val="00D71EAB"/>
    <w:rsid w:val="00D7285D"/>
    <w:rsid w:val="00D72E46"/>
    <w:rsid w:val="00D73991"/>
    <w:rsid w:val="00D73F40"/>
    <w:rsid w:val="00D74861"/>
    <w:rsid w:val="00D75942"/>
    <w:rsid w:val="00D75F2A"/>
    <w:rsid w:val="00D77F52"/>
    <w:rsid w:val="00D80257"/>
    <w:rsid w:val="00D80F88"/>
    <w:rsid w:val="00D82124"/>
    <w:rsid w:val="00D82790"/>
    <w:rsid w:val="00D82F39"/>
    <w:rsid w:val="00D83A5E"/>
    <w:rsid w:val="00D83BF0"/>
    <w:rsid w:val="00D83ECA"/>
    <w:rsid w:val="00D8415F"/>
    <w:rsid w:val="00D8485B"/>
    <w:rsid w:val="00D85480"/>
    <w:rsid w:val="00D855D4"/>
    <w:rsid w:val="00D85A72"/>
    <w:rsid w:val="00D8602B"/>
    <w:rsid w:val="00D86CC6"/>
    <w:rsid w:val="00D87852"/>
    <w:rsid w:val="00D904D7"/>
    <w:rsid w:val="00D90828"/>
    <w:rsid w:val="00D914B0"/>
    <w:rsid w:val="00D9186D"/>
    <w:rsid w:val="00D91A1F"/>
    <w:rsid w:val="00D92AA4"/>
    <w:rsid w:val="00D93CEF"/>
    <w:rsid w:val="00D94AFE"/>
    <w:rsid w:val="00D97BED"/>
    <w:rsid w:val="00DA069E"/>
    <w:rsid w:val="00DA280B"/>
    <w:rsid w:val="00DA2CEF"/>
    <w:rsid w:val="00DA43D4"/>
    <w:rsid w:val="00DA4AC8"/>
    <w:rsid w:val="00DA5EE6"/>
    <w:rsid w:val="00DB0E3C"/>
    <w:rsid w:val="00DB181A"/>
    <w:rsid w:val="00DB1A5A"/>
    <w:rsid w:val="00DB3CA2"/>
    <w:rsid w:val="00DB4C60"/>
    <w:rsid w:val="00DB5EDB"/>
    <w:rsid w:val="00DB7670"/>
    <w:rsid w:val="00DC053D"/>
    <w:rsid w:val="00DC3268"/>
    <w:rsid w:val="00DC39F7"/>
    <w:rsid w:val="00DC3FF7"/>
    <w:rsid w:val="00DC4727"/>
    <w:rsid w:val="00DC4FE0"/>
    <w:rsid w:val="00DC5696"/>
    <w:rsid w:val="00DC5DF1"/>
    <w:rsid w:val="00DD0F82"/>
    <w:rsid w:val="00DD1311"/>
    <w:rsid w:val="00DD2943"/>
    <w:rsid w:val="00DD2FCE"/>
    <w:rsid w:val="00DD37EE"/>
    <w:rsid w:val="00DD3E64"/>
    <w:rsid w:val="00DD4346"/>
    <w:rsid w:val="00DD4396"/>
    <w:rsid w:val="00DD5129"/>
    <w:rsid w:val="00DD5180"/>
    <w:rsid w:val="00DD6092"/>
    <w:rsid w:val="00DD6187"/>
    <w:rsid w:val="00DE1743"/>
    <w:rsid w:val="00DE21D2"/>
    <w:rsid w:val="00DE280A"/>
    <w:rsid w:val="00DE2A5C"/>
    <w:rsid w:val="00DE4B32"/>
    <w:rsid w:val="00DE4B89"/>
    <w:rsid w:val="00DE4DC1"/>
    <w:rsid w:val="00DE5249"/>
    <w:rsid w:val="00DE62A0"/>
    <w:rsid w:val="00DE6624"/>
    <w:rsid w:val="00DE6719"/>
    <w:rsid w:val="00DF1ECC"/>
    <w:rsid w:val="00DF1F31"/>
    <w:rsid w:val="00DF1F4A"/>
    <w:rsid w:val="00DF2326"/>
    <w:rsid w:val="00DF2DD5"/>
    <w:rsid w:val="00DF39C9"/>
    <w:rsid w:val="00DF4B35"/>
    <w:rsid w:val="00DF4FB4"/>
    <w:rsid w:val="00DF5407"/>
    <w:rsid w:val="00DF5A4A"/>
    <w:rsid w:val="00DF6B42"/>
    <w:rsid w:val="00E00090"/>
    <w:rsid w:val="00E01A16"/>
    <w:rsid w:val="00E02AE0"/>
    <w:rsid w:val="00E03C23"/>
    <w:rsid w:val="00E042B6"/>
    <w:rsid w:val="00E04D60"/>
    <w:rsid w:val="00E050A8"/>
    <w:rsid w:val="00E0584C"/>
    <w:rsid w:val="00E0752D"/>
    <w:rsid w:val="00E123CD"/>
    <w:rsid w:val="00E13E17"/>
    <w:rsid w:val="00E14581"/>
    <w:rsid w:val="00E14E8C"/>
    <w:rsid w:val="00E150C3"/>
    <w:rsid w:val="00E15E60"/>
    <w:rsid w:val="00E16640"/>
    <w:rsid w:val="00E17B7F"/>
    <w:rsid w:val="00E216BC"/>
    <w:rsid w:val="00E22046"/>
    <w:rsid w:val="00E22B6D"/>
    <w:rsid w:val="00E22DF5"/>
    <w:rsid w:val="00E23122"/>
    <w:rsid w:val="00E23DE1"/>
    <w:rsid w:val="00E24B7E"/>
    <w:rsid w:val="00E259BF"/>
    <w:rsid w:val="00E26245"/>
    <w:rsid w:val="00E27490"/>
    <w:rsid w:val="00E278CA"/>
    <w:rsid w:val="00E27953"/>
    <w:rsid w:val="00E30329"/>
    <w:rsid w:val="00E3060B"/>
    <w:rsid w:val="00E30822"/>
    <w:rsid w:val="00E31461"/>
    <w:rsid w:val="00E31588"/>
    <w:rsid w:val="00E3368C"/>
    <w:rsid w:val="00E33A05"/>
    <w:rsid w:val="00E34485"/>
    <w:rsid w:val="00E34532"/>
    <w:rsid w:val="00E406CC"/>
    <w:rsid w:val="00E40D83"/>
    <w:rsid w:val="00E41EA8"/>
    <w:rsid w:val="00E46A4F"/>
    <w:rsid w:val="00E46AAD"/>
    <w:rsid w:val="00E46F5E"/>
    <w:rsid w:val="00E51B12"/>
    <w:rsid w:val="00E51B23"/>
    <w:rsid w:val="00E51ECC"/>
    <w:rsid w:val="00E520A8"/>
    <w:rsid w:val="00E53064"/>
    <w:rsid w:val="00E53585"/>
    <w:rsid w:val="00E54D84"/>
    <w:rsid w:val="00E55488"/>
    <w:rsid w:val="00E55585"/>
    <w:rsid w:val="00E556BD"/>
    <w:rsid w:val="00E558C9"/>
    <w:rsid w:val="00E56CD6"/>
    <w:rsid w:val="00E56D84"/>
    <w:rsid w:val="00E56FB3"/>
    <w:rsid w:val="00E5746B"/>
    <w:rsid w:val="00E576C2"/>
    <w:rsid w:val="00E579EF"/>
    <w:rsid w:val="00E57D0C"/>
    <w:rsid w:val="00E619BC"/>
    <w:rsid w:val="00E63470"/>
    <w:rsid w:val="00E63D17"/>
    <w:rsid w:val="00E63DD0"/>
    <w:rsid w:val="00E649E7"/>
    <w:rsid w:val="00E65DD1"/>
    <w:rsid w:val="00E6689E"/>
    <w:rsid w:val="00E670C3"/>
    <w:rsid w:val="00E67F2A"/>
    <w:rsid w:val="00E716BB"/>
    <w:rsid w:val="00E719DF"/>
    <w:rsid w:val="00E71A63"/>
    <w:rsid w:val="00E71EDB"/>
    <w:rsid w:val="00E72133"/>
    <w:rsid w:val="00E72393"/>
    <w:rsid w:val="00E7282B"/>
    <w:rsid w:val="00E73C64"/>
    <w:rsid w:val="00E740E7"/>
    <w:rsid w:val="00E7452B"/>
    <w:rsid w:val="00E75895"/>
    <w:rsid w:val="00E75FE8"/>
    <w:rsid w:val="00E7644A"/>
    <w:rsid w:val="00E7656E"/>
    <w:rsid w:val="00E7779C"/>
    <w:rsid w:val="00E807C0"/>
    <w:rsid w:val="00E81613"/>
    <w:rsid w:val="00E82EB0"/>
    <w:rsid w:val="00E835E6"/>
    <w:rsid w:val="00E83A8A"/>
    <w:rsid w:val="00E83E87"/>
    <w:rsid w:val="00E846AF"/>
    <w:rsid w:val="00E85D88"/>
    <w:rsid w:val="00E8651F"/>
    <w:rsid w:val="00E86615"/>
    <w:rsid w:val="00E8669F"/>
    <w:rsid w:val="00E87547"/>
    <w:rsid w:val="00E876E5"/>
    <w:rsid w:val="00E87BD4"/>
    <w:rsid w:val="00E87CF4"/>
    <w:rsid w:val="00E91083"/>
    <w:rsid w:val="00E91B17"/>
    <w:rsid w:val="00E91DB8"/>
    <w:rsid w:val="00E91E38"/>
    <w:rsid w:val="00E9200A"/>
    <w:rsid w:val="00E921E6"/>
    <w:rsid w:val="00E92429"/>
    <w:rsid w:val="00E92ED8"/>
    <w:rsid w:val="00E9419B"/>
    <w:rsid w:val="00E94597"/>
    <w:rsid w:val="00E94AAC"/>
    <w:rsid w:val="00E955AB"/>
    <w:rsid w:val="00E957EF"/>
    <w:rsid w:val="00E95A50"/>
    <w:rsid w:val="00E9665C"/>
    <w:rsid w:val="00E9677B"/>
    <w:rsid w:val="00EA03B8"/>
    <w:rsid w:val="00EA1064"/>
    <w:rsid w:val="00EA1490"/>
    <w:rsid w:val="00EA1668"/>
    <w:rsid w:val="00EA19B7"/>
    <w:rsid w:val="00EA1B1A"/>
    <w:rsid w:val="00EA227B"/>
    <w:rsid w:val="00EA3098"/>
    <w:rsid w:val="00EA3931"/>
    <w:rsid w:val="00EA46B4"/>
    <w:rsid w:val="00EA47AB"/>
    <w:rsid w:val="00EA5698"/>
    <w:rsid w:val="00EA5987"/>
    <w:rsid w:val="00EA7C13"/>
    <w:rsid w:val="00EB14E4"/>
    <w:rsid w:val="00EB3519"/>
    <w:rsid w:val="00EB3849"/>
    <w:rsid w:val="00EB4215"/>
    <w:rsid w:val="00EB4DDC"/>
    <w:rsid w:val="00EB5156"/>
    <w:rsid w:val="00EB5FE6"/>
    <w:rsid w:val="00EB6A4C"/>
    <w:rsid w:val="00EB757A"/>
    <w:rsid w:val="00EC03BD"/>
    <w:rsid w:val="00EC0589"/>
    <w:rsid w:val="00EC0CEC"/>
    <w:rsid w:val="00EC1C86"/>
    <w:rsid w:val="00EC209D"/>
    <w:rsid w:val="00EC437B"/>
    <w:rsid w:val="00EC4883"/>
    <w:rsid w:val="00EC4E33"/>
    <w:rsid w:val="00EC509D"/>
    <w:rsid w:val="00EC685F"/>
    <w:rsid w:val="00EC73A4"/>
    <w:rsid w:val="00ED0824"/>
    <w:rsid w:val="00ED097B"/>
    <w:rsid w:val="00ED271E"/>
    <w:rsid w:val="00ED44AD"/>
    <w:rsid w:val="00ED774C"/>
    <w:rsid w:val="00ED7DF5"/>
    <w:rsid w:val="00EE051E"/>
    <w:rsid w:val="00EE1D9E"/>
    <w:rsid w:val="00EE3108"/>
    <w:rsid w:val="00EE41CE"/>
    <w:rsid w:val="00EE4739"/>
    <w:rsid w:val="00EE55AF"/>
    <w:rsid w:val="00EE5969"/>
    <w:rsid w:val="00EE5A67"/>
    <w:rsid w:val="00EE5C15"/>
    <w:rsid w:val="00EE65C1"/>
    <w:rsid w:val="00EE6832"/>
    <w:rsid w:val="00EF0508"/>
    <w:rsid w:val="00EF08A9"/>
    <w:rsid w:val="00EF1543"/>
    <w:rsid w:val="00EF1AC1"/>
    <w:rsid w:val="00EF1C8C"/>
    <w:rsid w:val="00EF20EF"/>
    <w:rsid w:val="00EF21E9"/>
    <w:rsid w:val="00EF310A"/>
    <w:rsid w:val="00EF3FEC"/>
    <w:rsid w:val="00EF466A"/>
    <w:rsid w:val="00EF4F88"/>
    <w:rsid w:val="00EF5CD5"/>
    <w:rsid w:val="00EF5F3D"/>
    <w:rsid w:val="00EF6AD3"/>
    <w:rsid w:val="00F0058F"/>
    <w:rsid w:val="00F00B5C"/>
    <w:rsid w:val="00F00C5C"/>
    <w:rsid w:val="00F010F2"/>
    <w:rsid w:val="00F02075"/>
    <w:rsid w:val="00F027BE"/>
    <w:rsid w:val="00F047B4"/>
    <w:rsid w:val="00F048F5"/>
    <w:rsid w:val="00F04C99"/>
    <w:rsid w:val="00F04DC3"/>
    <w:rsid w:val="00F04E3D"/>
    <w:rsid w:val="00F04F34"/>
    <w:rsid w:val="00F060D9"/>
    <w:rsid w:val="00F06C1A"/>
    <w:rsid w:val="00F06E40"/>
    <w:rsid w:val="00F07EF2"/>
    <w:rsid w:val="00F103F1"/>
    <w:rsid w:val="00F108AA"/>
    <w:rsid w:val="00F112D1"/>
    <w:rsid w:val="00F114DE"/>
    <w:rsid w:val="00F1305D"/>
    <w:rsid w:val="00F13C84"/>
    <w:rsid w:val="00F15012"/>
    <w:rsid w:val="00F162B8"/>
    <w:rsid w:val="00F16DE8"/>
    <w:rsid w:val="00F20C31"/>
    <w:rsid w:val="00F20C75"/>
    <w:rsid w:val="00F21A56"/>
    <w:rsid w:val="00F21A77"/>
    <w:rsid w:val="00F22C29"/>
    <w:rsid w:val="00F23EA4"/>
    <w:rsid w:val="00F24ACC"/>
    <w:rsid w:val="00F26084"/>
    <w:rsid w:val="00F26636"/>
    <w:rsid w:val="00F27745"/>
    <w:rsid w:val="00F27C88"/>
    <w:rsid w:val="00F30ADA"/>
    <w:rsid w:val="00F31129"/>
    <w:rsid w:val="00F31C5F"/>
    <w:rsid w:val="00F32186"/>
    <w:rsid w:val="00F32C20"/>
    <w:rsid w:val="00F344C3"/>
    <w:rsid w:val="00F354B5"/>
    <w:rsid w:val="00F35953"/>
    <w:rsid w:val="00F37C1F"/>
    <w:rsid w:val="00F37E03"/>
    <w:rsid w:val="00F426E8"/>
    <w:rsid w:val="00F43B88"/>
    <w:rsid w:val="00F4454D"/>
    <w:rsid w:val="00F44B36"/>
    <w:rsid w:val="00F459BF"/>
    <w:rsid w:val="00F4620B"/>
    <w:rsid w:val="00F4628A"/>
    <w:rsid w:val="00F4665F"/>
    <w:rsid w:val="00F46D09"/>
    <w:rsid w:val="00F47C8B"/>
    <w:rsid w:val="00F50AE1"/>
    <w:rsid w:val="00F51215"/>
    <w:rsid w:val="00F5149B"/>
    <w:rsid w:val="00F51ADA"/>
    <w:rsid w:val="00F51CE7"/>
    <w:rsid w:val="00F52585"/>
    <w:rsid w:val="00F5288D"/>
    <w:rsid w:val="00F5315C"/>
    <w:rsid w:val="00F53498"/>
    <w:rsid w:val="00F54222"/>
    <w:rsid w:val="00F56405"/>
    <w:rsid w:val="00F56615"/>
    <w:rsid w:val="00F60024"/>
    <w:rsid w:val="00F60226"/>
    <w:rsid w:val="00F616C1"/>
    <w:rsid w:val="00F61E42"/>
    <w:rsid w:val="00F62D4F"/>
    <w:rsid w:val="00F6503C"/>
    <w:rsid w:val="00F6535C"/>
    <w:rsid w:val="00F6584D"/>
    <w:rsid w:val="00F66D3C"/>
    <w:rsid w:val="00F67AE1"/>
    <w:rsid w:val="00F702EC"/>
    <w:rsid w:val="00F717E0"/>
    <w:rsid w:val="00F741FA"/>
    <w:rsid w:val="00F752D7"/>
    <w:rsid w:val="00F75F9D"/>
    <w:rsid w:val="00F76711"/>
    <w:rsid w:val="00F77976"/>
    <w:rsid w:val="00F77B25"/>
    <w:rsid w:val="00F77BAC"/>
    <w:rsid w:val="00F80821"/>
    <w:rsid w:val="00F8141A"/>
    <w:rsid w:val="00F81DC6"/>
    <w:rsid w:val="00F8214B"/>
    <w:rsid w:val="00F82393"/>
    <w:rsid w:val="00F83300"/>
    <w:rsid w:val="00F83580"/>
    <w:rsid w:val="00F84536"/>
    <w:rsid w:val="00F912E2"/>
    <w:rsid w:val="00F9164C"/>
    <w:rsid w:val="00F94F07"/>
    <w:rsid w:val="00F961A4"/>
    <w:rsid w:val="00F973D1"/>
    <w:rsid w:val="00F97570"/>
    <w:rsid w:val="00F97CE5"/>
    <w:rsid w:val="00FA0BED"/>
    <w:rsid w:val="00FA0E37"/>
    <w:rsid w:val="00FA226F"/>
    <w:rsid w:val="00FA2BFE"/>
    <w:rsid w:val="00FA3279"/>
    <w:rsid w:val="00FA33FA"/>
    <w:rsid w:val="00FA3466"/>
    <w:rsid w:val="00FA3641"/>
    <w:rsid w:val="00FA3D15"/>
    <w:rsid w:val="00FA617F"/>
    <w:rsid w:val="00FA6AC8"/>
    <w:rsid w:val="00FA72F2"/>
    <w:rsid w:val="00FA7BA8"/>
    <w:rsid w:val="00FB02AE"/>
    <w:rsid w:val="00FB1A78"/>
    <w:rsid w:val="00FB25AA"/>
    <w:rsid w:val="00FB2DD8"/>
    <w:rsid w:val="00FB303B"/>
    <w:rsid w:val="00FB3238"/>
    <w:rsid w:val="00FB34B8"/>
    <w:rsid w:val="00FB3BC5"/>
    <w:rsid w:val="00FB3D4F"/>
    <w:rsid w:val="00FB4B93"/>
    <w:rsid w:val="00FB4F3C"/>
    <w:rsid w:val="00FB5E5A"/>
    <w:rsid w:val="00FB63A7"/>
    <w:rsid w:val="00FC138B"/>
    <w:rsid w:val="00FC5A6D"/>
    <w:rsid w:val="00FC60A0"/>
    <w:rsid w:val="00FC67AB"/>
    <w:rsid w:val="00FC795A"/>
    <w:rsid w:val="00FC7FE5"/>
    <w:rsid w:val="00FD054B"/>
    <w:rsid w:val="00FD0BA7"/>
    <w:rsid w:val="00FD0D23"/>
    <w:rsid w:val="00FD203E"/>
    <w:rsid w:val="00FD2949"/>
    <w:rsid w:val="00FD2BAF"/>
    <w:rsid w:val="00FD3480"/>
    <w:rsid w:val="00FD36B3"/>
    <w:rsid w:val="00FD3F81"/>
    <w:rsid w:val="00FD459E"/>
    <w:rsid w:val="00FD61E9"/>
    <w:rsid w:val="00FD655A"/>
    <w:rsid w:val="00FD70CD"/>
    <w:rsid w:val="00FD7736"/>
    <w:rsid w:val="00FE0798"/>
    <w:rsid w:val="00FE0C67"/>
    <w:rsid w:val="00FE0D29"/>
    <w:rsid w:val="00FE1124"/>
    <w:rsid w:val="00FE19A2"/>
    <w:rsid w:val="00FE2434"/>
    <w:rsid w:val="00FE267B"/>
    <w:rsid w:val="00FE2CD5"/>
    <w:rsid w:val="00FE3A51"/>
    <w:rsid w:val="00FE3EAE"/>
    <w:rsid w:val="00FE6354"/>
    <w:rsid w:val="00FE7447"/>
    <w:rsid w:val="00FF1BBD"/>
    <w:rsid w:val="00FF2AB3"/>
    <w:rsid w:val="00FF2ED1"/>
    <w:rsid w:val="00FF3CA8"/>
    <w:rsid w:val="00FF46FA"/>
    <w:rsid w:val="00FF4F71"/>
    <w:rsid w:val="00FF57CB"/>
    <w:rsid w:val="00FF5BBF"/>
    <w:rsid w:val="00FF5E8D"/>
    <w:rsid w:val="00FF5F34"/>
    <w:rsid w:val="00FF6989"/>
    <w:rsid w:val="041FEDC7"/>
    <w:rsid w:val="04EFF79B"/>
    <w:rsid w:val="076C2B5C"/>
    <w:rsid w:val="0A0F2FF6"/>
    <w:rsid w:val="0B74B21A"/>
    <w:rsid w:val="11182E61"/>
    <w:rsid w:val="12B09B9E"/>
    <w:rsid w:val="1BE8F588"/>
    <w:rsid w:val="1FCB076C"/>
    <w:rsid w:val="20C046F4"/>
    <w:rsid w:val="282CA531"/>
    <w:rsid w:val="29427B7C"/>
    <w:rsid w:val="31887417"/>
    <w:rsid w:val="31B9ECE0"/>
    <w:rsid w:val="33BF6FC1"/>
    <w:rsid w:val="365B9A61"/>
    <w:rsid w:val="38A805F0"/>
    <w:rsid w:val="3CD751CB"/>
    <w:rsid w:val="3D388F1A"/>
    <w:rsid w:val="3D505520"/>
    <w:rsid w:val="3EDEA387"/>
    <w:rsid w:val="3FC525ED"/>
    <w:rsid w:val="46FDD1A1"/>
    <w:rsid w:val="48CDA994"/>
    <w:rsid w:val="4952BABA"/>
    <w:rsid w:val="4E47EDD3"/>
    <w:rsid w:val="4FCD259B"/>
    <w:rsid w:val="50E27B15"/>
    <w:rsid w:val="51D09B95"/>
    <w:rsid w:val="523E6824"/>
    <w:rsid w:val="597A5F95"/>
    <w:rsid w:val="5C747BA2"/>
    <w:rsid w:val="5D072940"/>
    <w:rsid w:val="5D195B66"/>
    <w:rsid w:val="5F2C0291"/>
    <w:rsid w:val="6120DDDB"/>
    <w:rsid w:val="63565B6F"/>
    <w:rsid w:val="65C740AC"/>
    <w:rsid w:val="6602B56A"/>
    <w:rsid w:val="66B4A144"/>
    <w:rsid w:val="674894DB"/>
    <w:rsid w:val="682C5BD9"/>
    <w:rsid w:val="6E9985DB"/>
    <w:rsid w:val="7212CC78"/>
    <w:rsid w:val="72F54845"/>
    <w:rsid w:val="75411C0C"/>
    <w:rsid w:val="75C2F75C"/>
    <w:rsid w:val="773AFDC2"/>
    <w:rsid w:val="7A990881"/>
    <w:rsid w:val="7D882B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6EBF8"/>
  <w15:chartTrackingRefBased/>
  <w15:docId w15:val="{AF7370B2-956B-D44D-8EA6-940BC874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FEE"/>
  </w:style>
  <w:style w:type="paragraph" w:styleId="Heading1">
    <w:name w:val="heading 1"/>
    <w:basedOn w:val="Normal"/>
    <w:next w:val="Normal"/>
    <w:link w:val="Heading1Char"/>
    <w:uiPriority w:val="9"/>
    <w:qFormat/>
    <w:rsid w:val="003A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3E"/>
    <w:rPr>
      <w:rFonts w:eastAsiaTheme="majorEastAsia" w:cstheme="majorBidi"/>
      <w:color w:val="272727" w:themeColor="text1" w:themeTint="D8"/>
    </w:rPr>
  </w:style>
  <w:style w:type="paragraph" w:styleId="Title">
    <w:name w:val="Title"/>
    <w:basedOn w:val="Normal"/>
    <w:next w:val="Normal"/>
    <w:link w:val="TitleChar"/>
    <w:uiPriority w:val="10"/>
    <w:qFormat/>
    <w:rsid w:val="003A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3E"/>
    <w:pPr>
      <w:spacing w:before="160"/>
      <w:jc w:val="center"/>
    </w:pPr>
    <w:rPr>
      <w:i/>
      <w:iCs/>
      <w:color w:val="404040" w:themeColor="text1" w:themeTint="BF"/>
    </w:rPr>
  </w:style>
  <w:style w:type="character" w:customStyle="1" w:styleId="QuoteChar">
    <w:name w:val="Quote Char"/>
    <w:basedOn w:val="DefaultParagraphFont"/>
    <w:link w:val="Quote"/>
    <w:uiPriority w:val="29"/>
    <w:rsid w:val="003A113E"/>
    <w:rPr>
      <w:i/>
      <w:iCs/>
      <w:color w:val="404040" w:themeColor="text1" w:themeTint="BF"/>
    </w:rPr>
  </w:style>
  <w:style w:type="paragraph" w:styleId="ListParagraph">
    <w:name w:val="List Paragraph"/>
    <w:basedOn w:val="Normal"/>
    <w:uiPriority w:val="34"/>
    <w:qFormat/>
    <w:rsid w:val="003A113E"/>
    <w:pPr>
      <w:ind w:left="720"/>
      <w:contextualSpacing/>
    </w:pPr>
  </w:style>
  <w:style w:type="character" w:styleId="IntenseEmphasis">
    <w:name w:val="Intense Emphasis"/>
    <w:basedOn w:val="DefaultParagraphFont"/>
    <w:uiPriority w:val="21"/>
    <w:qFormat/>
    <w:rsid w:val="003A113E"/>
    <w:rPr>
      <w:i/>
      <w:iCs/>
      <w:color w:val="0F4761" w:themeColor="accent1" w:themeShade="BF"/>
    </w:rPr>
  </w:style>
  <w:style w:type="paragraph" w:styleId="IntenseQuote">
    <w:name w:val="Intense Quote"/>
    <w:basedOn w:val="Normal"/>
    <w:next w:val="Normal"/>
    <w:link w:val="IntenseQuoteChar"/>
    <w:uiPriority w:val="30"/>
    <w:qFormat/>
    <w:rsid w:val="003A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3E"/>
    <w:rPr>
      <w:i/>
      <w:iCs/>
      <w:color w:val="0F4761" w:themeColor="accent1" w:themeShade="BF"/>
    </w:rPr>
  </w:style>
  <w:style w:type="character" w:styleId="IntenseReference">
    <w:name w:val="Intense Reference"/>
    <w:basedOn w:val="DefaultParagraphFont"/>
    <w:uiPriority w:val="32"/>
    <w:qFormat/>
    <w:rsid w:val="003A113E"/>
    <w:rPr>
      <w:b/>
      <w:bCs/>
      <w:smallCaps/>
      <w:color w:val="0F4761" w:themeColor="accent1" w:themeShade="BF"/>
      <w:spacing w:val="5"/>
    </w:rPr>
  </w:style>
  <w:style w:type="table" w:styleId="TableGrid">
    <w:name w:val="Table Grid"/>
    <w:basedOn w:val="TableNormal"/>
    <w:uiPriority w:val="59"/>
    <w:rsid w:val="009B7902"/>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B7902"/>
    <w:pPr>
      <w:spacing w:after="0" w:line="240" w:lineRule="auto"/>
    </w:pPr>
    <w:rPr>
      <w:lang w:eastAsia="ko-K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3E53D0"/>
    <w:pPr>
      <w:spacing w:after="0" w:line="240" w:lineRule="auto"/>
    </w:pPr>
  </w:style>
  <w:style w:type="character" w:styleId="Hyperlink">
    <w:name w:val="Hyperlink"/>
    <w:basedOn w:val="DefaultParagraphFont"/>
    <w:uiPriority w:val="99"/>
    <w:unhideWhenUsed/>
    <w:rsid w:val="005C15A5"/>
    <w:rPr>
      <w:color w:val="467886" w:themeColor="hyperlink"/>
      <w:u w:val="single"/>
    </w:rPr>
  </w:style>
  <w:style w:type="paragraph" w:styleId="Header">
    <w:name w:val="header"/>
    <w:basedOn w:val="Normal"/>
    <w:link w:val="HeaderChar"/>
    <w:uiPriority w:val="99"/>
    <w:unhideWhenUsed/>
    <w:rsid w:val="002A71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2A716B"/>
  </w:style>
  <w:style w:type="paragraph" w:styleId="Footer">
    <w:name w:val="footer"/>
    <w:basedOn w:val="Normal"/>
    <w:link w:val="FooterChar"/>
    <w:uiPriority w:val="99"/>
    <w:unhideWhenUsed/>
    <w:rsid w:val="002A71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2A716B"/>
  </w:style>
  <w:style w:type="character" w:styleId="PlaceholderText">
    <w:name w:val="Placeholder Text"/>
    <w:basedOn w:val="DefaultParagraphFont"/>
    <w:uiPriority w:val="99"/>
    <w:semiHidden/>
    <w:rsid w:val="00800ED0"/>
    <w:rPr>
      <w:color w:val="666666"/>
    </w:rPr>
  </w:style>
  <w:style w:type="character" w:styleId="LineNumber">
    <w:name w:val="line number"/>
    <w:basedOn w:val="DefaultParagraphFont"/>
    <w:uiPriority w:val="99"/>
    <w:semiHidden/>
    <w:unhideWhenUsed/>
    <w:rsid w:val="00D97BED"/>
  </w:style>
  <w:style w:type="paragraph" w:styleId="NormalWeb">
    <w:name w:val="Normal (Web)"/>
    <w:basedOn w:val="Normal"/>
    <w:uiPriority w:val="99"/>
    <w:semiHidden/>
    <w:unhideWhenUsed/>
    <w:rsid w:val="00C30442"/>
    <w:rPr>
      <w:rFonts w:ascii="Times New Roman" w:hAnsi="Times New Roman" w:cs="Times New Roman"/>
    </w:rPr>
  </w:style>
  <w:style w:type="table" w:styleId="PlainTable2">
    <w:name w:val="Plain Table 2"/>
    <w:basedOn w:val="TableNormal"/>
    <w:uiPriority w:val="99"/>
    <w:rsid w:val="00E670C3"/>
    <w:pPr>
      <w:spacing w:after="0" w:line="240" w:lineRule="auto"/>
    </w:pPr>
    <w:rPr>
      <w:kern w:val="0"/>
      <w:lang w:val="en-US"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F31129"/>
    <w:rPr>
      <w:sz w:val="16"/>
      <w:szCs w:val="16"/>
    </w:rPr>
  </w:style>
  <w:style w:type="paragraph" w:styleId="CommentText">
    <w:name w:val="annotation text"/>
    <w:basedOn w:val="Normal"/>
    <w:link w:val="CommentTextChar"/>
    <w:uiPriority w:val="99"/>
    <w:unhideWhenUsed/>
    <w:rsid w:val="00F31129"/>
    <w:pPr>
      <w:spacing w:line="240" w:lineRule="auto"/>
    </w:pPr>
    <w:rPr>
      <w:sz w:val="20"/>
      <w:szCs w:val="20"/>
    </w:rPr>
  </w:style>
  <w:style w:type="character" w:customStyle="1" w:styleId="CommentTextChar">
    <w:name w:val="Comment Text Char"/>
    <w:basedOn w:val="DefaultParagraphFont"/>
    <w:link w:val="CommentText"/>
    <w:uiPriority w:val="99"/>
    <w:rsid w:val="00F31129"/>
    <w:rPr>
      <w:sz w:val="20"/>
      <w:szCs w:val="20"/>
    </w:rPr>
  </w:style>
  <w:style w:type="paragraph" w:styleId="CommentSubject">
    <w:name w:val="annotation subject"/>
    <w:basedOn w:val="CommentText"/>
    <w:next w:val="CommentText"/>
    <w:link w:val="CommentSubjectChar"/>
    <w:uiPriority w:val="99"/>
    <w:semiHidden/>
    <w:unhideWhenUsed/>
    <w:rsid w:val="00F31129"/>
    <w:rPr>
      <w:b/>
      <w:bCs/>
    </w:rPr>
  </w:style>
  <w:style w:type="character" w:customStyle="1" w:styleId="CommentSubjectChar">
    <w:name w:val="Comment Subject Char"/>
    <w:basedOn w:val="CommentTextChar"/>
    <w:link w:val="CommentSubject"/>
    <w:uiPriority w:val="99"/>
    <w:semiHidden/>
    <w:rsid w:val="00F31129"/>
    <w:rPr>
      <w:b/>
      <w:bCs/>
      <w:sz w:val="20"/>
      <w:szCs w:val="20"/>
    </w:rPr>
  </w:style>
  <w:style w:type="character" w:customStyle="1" w:styleId="csl-left-margin">
    <w:name w:val="csl-left-margin"/>
    <w:basedOn w:val="DefaultParagraphFont"/>
    <w:rsid w:val="00C04D0B"/>
  </w:style>
  <w:style w:type="character" w:customStyle="1" w:styleId="csl-right-inline">
    <w:name w:val="csl-right-inline"/>
    <w:basedOn w:val="DefaultParagraphFont"/>
    <w:rsid w:val="00C04D0B"/>
  </w:style>
  <w:style w:type="paragraph" w:styleId="Caption">
    <w:name w:val="caption"/>
    <w:basedOn w:val="Normal"/>
    <w:next w:val="Normal"/>
    <w:uiPriority w:val="35"/>
    <w:unhideWhenUsed/>
    <w:qFormat/>
    <w:rsid w:val="00E83E87"/>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46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538180&amp;pre=&amp;suf=&amp;sa=0&amp;dbf=0" TargetMode="External"/><Relationship Id="rId21" Type="http://schemas.openxmlformats.org/officeDocument/2006/relationships/hyperlink" Target="https://sciwheel.com/work/citation?ids=18551749&amp;pre=&amp;suf=&amp;sa=0&amp;dbf=0" TargetMode="External"/><Relationship Id="rId42" Type="http://schemas.openxmlformats.org/officeDocument/2006/relationships/hyperlink" Target="https://sciwheel.com/work/citation?ids=15372941&amp;pre=&amp;suf=&amp;sa=0&amp;dbf=0" TargetMode="External"/><Relationship Id="rId47" Type="http://schemas.openxmlformats.org/officeDocument/2006/relationships/hyperlink" Target="https://sciwheel.com/work/bibliography/16033691" TargetMode="External"/><Relationship Id="rId63" Type="http://schemas.openxmlformats.org/officeDocument/2006/relationships/hyperlink" Target="https://sciwheel.com/work/bibliography/17825734" TargetMode="External"/><Relationship Id="rId68" Type="http://schemas.openxmlformats.org/officeDocument/2006/relationships/hyperlink" Target="https://sciwheel.com/work/bibliography/5232647" TargetMode="External"/><Relationship Id="rId84" Type="http://schemas.openxmlformats.org/officeDocument/2006/relationships/image" Target="media/image10.png"/><Relationship Id="rId16" Type="http://schemas.openxmlformats.org/officeDocument/2006/relationships/hyperlink" Target="https://sciwheel.com/work/citation?ids=16487586,17731174&amp;pre=&amp;pre=&amp;suf=&amp;suf=&amp;sa=0,0&amp;dbf=0&amp;dbf=0" TargetMode="External"/><Relationship Id="rId11" Type="http://schemas.microsoft.com/office/2016/09/relationships/commentsIds" Target="commentsIds.xml"/><Relationship Id="rId32" Type="http://schemas.openxmlformats.org/officeDocument/2006/relationships/hyperlink" Target="https://sciwheel.com/work/citation?ids=5232647&amp;pre=&amp;suf=&amp;sa=0&amp;dbf=0" TargetMode="External"/><Relationship Id="rId37" Type="http://schemas.openxmlformats.org/officeDocument/2006/relationships/hyperlink" Target="https://sciwheel.com/work/citation?ids=15078716&amp;pre=&amp;suf=&amp;sa=0&amp;dbf=0" TargetMode="External"/><Relationship Id="rId53" Type="http://schemas.openxmlformats.org/officeDocument/2006/relationships/hyperlink" Target="https://sciwheel.com/work/bibliography/15078716" TargetMode="External"/><Relationship Id="rId58" Type="http://schemas.openxmlformats.org/officeDocument/2006/relationships/hyperlink" Target="https://sciwheel.com/work/bibliography/19137344" TargetMode="External"/><Relationship Id="rId74" Type="http://schemas.openxmlformats.org/officeDocument/2006/relationships/hyperlink" Target="https://sciwheel.com/work/bibliography/15372941" TargetMode="External"/><Relationship Id="rId79" Type="http://schemas.openxmlformats.org/officeDocument/2006/relationships/image" Target="media/image5.png"/><Relationship Id="rId5" Type="http://schemas.openxmlformats.org/officeDocument/2006/relationships/webSettings" Target="webSettings.xml"/><Relationship Id="rId19" Type="http://schemas.openxmlformats.org/officeDocument/2006/relationships/hyperlink" Target="https://sciwheel.com/work/citation?ids=18551749&amp;pre=&amp;suf=&amp;sa=0&amp;dbf=0" TargetMode="External"/><Relationship Id="rId14" Type="http://schemas.openxmlformats.org/officeDocument/2006/relationships/hyperlink" Target="https://sciwheel.com/work/citation?ids=9828217,12383358,16033691&amp;pre=&amp;pre=&amp;pre=&amp;suf=&amp;suf=&amp;suf=&amp;sa=0,0,0&amp;dbf=0&amp;dbf=0&amp;dbf=0" TargetMode="External"/><Relationship Id="rId22" Type="http://schemas.openxmlformats.org/officeDocument/2006/relationships/hyperlink" Target="https://sciwheel.com/work/citation?ids=17908017&amp;pre=&amp;suf=&amp;sa=0&amp;dbf=0" TargetMode="External"/><Relationship Id="rId27" Type="http://schemas.openxmlformats.org/officeDocument/2006/relationships/hyperlink" Target="https://sciwheel.com/work/citation?ids=17825734,18332060,18538180,17372528,18031543&amp;pre=&amp;pre=&amp;pre=&amp;pre=&amp;pre=&amp;suf=&amp;suf=&amp;suf=&amp;suf=&amp;suf=&amp;sa=0,0,0,0,0&amp;dbf=0&amp;dbf=0&amp;dbf=0&amp;dbf=0&amp;dbf=0" TargetMode="External"/><Relationship Id="rId30" Type="http://schemas.openxmlformats.org/officeDocument/2006/relationships/hyperlink" Target="https://sciwheel.com/work/citation?ids=18551749&amp;pre=&amp;suf=&amp;sa=0&amp;dbf=0" TargetMode="External"/><Relationship Id="rId35" Type="http://schemas.openxmlformats.org/officeDocument/2006/relationships/hyperlink" Target="https://sciwheel.com/work/citation?ids=18332060&amp;pre=&amp;suf=&amp;sa=0&amp;dbf=0" TargetMode="External"/><Relationship Id="rId43" Type="http://schemas.openxmlformats.org/officeDocument/2006/relationships/hyperlink" Target="https://github.com/hyolimkang/CHIK_benefit_risk" TargetMode="External"/><Relationship Id="rId48" Type="http://schemas.openxmlformats.org/officeDocument/2006/relationships/hyperlink" Target="https://sciwheel.com/work/bibliography/13012391" TargetMode="External"/><Relationship Id="rId56" Type="http://schemas.openxmlformats.org/officeDocument/2006/relationships/hyperlink" Target="https://sciwheel.com/work/bibliography/18780986" TargetMode="External"/><Relationship Id="rId64" Type="http://schemas.openxmlformats.org/officeDocument/2006/relationships/hyperlink" Target="https://sciwheel.com/work/bibliography/18332060" TargetMode="External"/><Relationship Id="rId69" Type="http://schemas.openxmlformats.org/officeDocument/2006/relationships/hyperlink" Target="https://sciwheel.com/work/bibliography/6089155" TargetMode="External"/><Relationship Id="rId77" Type="http://schemas.openxmlformats.org/officeDocument/2006/relationships/image" Target="media/image3.png"/><Relationship Id="rId8" Type="http://schemas.openxmlformats.org/officeDocument/2006/relationships/hyperlink" Target="mailto:hyolim.kang@nagasaki-u.ac.jp" TargetMode="External"/><Relationship Id="rId51" Type="http://schemas.openxmlformats.org/officeDocument/2006/relationships/hyperlink" Target="https://sciwheel.com/work/bibliography/7161600" TargetMode="External"/><Relationship Id="rId72" Type="http://schemas.openxmlformats.org/officeDocument/2006/relationships/hyperlink" Target="https://sciwheel.com/work/bibliography/13449189" TargetMode="External"/><Relationship Id="rId80" Type="http://schemas.openxmlformats.org/officeDocument/2006/relationships/image" Target="media/image6.png"/><Relationship Id="rId85" Type="http://schemas.openxmlformats.org/officeDocument/2006/relationships/image" Target="media/image1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sciwheel.com/work/citation?ids=7161600,16489973&amp;pre=&amp;pre=&amp;suf=&amp;suf=&amp;sa=0,0&amp;dbf=0&amp;dbf=0" TargetMode="External"/><Relationship Id="rId25" Type="http://schemas.openxmlformats.org/officeDocument/2006/relationships/hyperlink" Target="https://sciwheel.com/work/citation?ids=18223492&amp;pre=&amp;suf=&amp;sa=0&amp;dbf=0" TargetMode="External"/><Relationship Id="rId33" Type="http://schemas.openxmlformats.org/officeDocument/2006/relationships/hyperlink" Target="https://sciwheel.com/work/citation?ids=18538180&amp;pre=&amp;suf=&amp;sa=0&amp;dbf=0" TargetMode="External"/><Relationship Id="rId38" Type="http://schemas.openxmlformats.org/officeDocument/2006/relationships/hyperlink" Target="https://sciwheel.com/work/citation?ids=18551749&amp;pre=&amp;suf=&amp;sa=0&amp;dbf=0" TargetMode="External"/><Relationship Id="rId46" Type="http://schemas.openxmlformats.org/officeDocument/2006/relationships/hyperlink" Target="https://sciwheel.com/work/bibliography/12383358" TargetMode="External"/><Relationship Id="rId59" Type="http://schemas.openxmlformats.org/officeDocument/2006/relationships/hyperlink" Target="https://sciwheel.com/work/bibliography/18837338" TargetMode="External"/><Relationship Id="rId67" Type="http://schemas.openxmlformats.org/officeDocument/2006/relationships/hyperlink" Target="https://sciwheel.com/work/bibliography/18551964" TargetMode="External"/><Relationship Id="rId20" Type="http://schemas.openxmlformats.org/officeDocument/2006/relationships/hyperlink" Target="https://sciwheel.com/work/citation?ids=18780986&amp;pre=&amp;suf=&amp;sa=0&amp;dbf=0" TargetMode="External"/><Relationship Id="rId41" Type="http://schemas.openxmlformats.org/officeDocument/2006/relationships/hyperlink" Target="https://sciwheel.com/work/citation?ids=15507432,12383358&amp;pre=&amp;pre=&amp;suf=&amp;suf=&amp;sa=0,0&amp;dbf=0&amp;dbf=0" TargetMode="External"/><Relationship Id="rId54" Type="http://schemas.openxmlformats.org/officeDocument/2006/relationships/hyperlink" Target="https://sciwheel.com/work/bibliography/17919057" TargetMode="External"/><Relationship Id="rId62" Type="http://schemas.openxmlformats.org/officeDocument/2006/relationships/hyperlink" Target="https://sciwheel.com/work/bibliography/18538180" TargetMode="External"/><Relationship Id="rId70" Type="http://schemas.openxmlformats.org/officeDocument/2006/relationships/hyperlink" Target="https://sciwheel.com/work/bibliography/18670440" TargetMode="External"/><Relationship Id="rId75" Type="http://schemas.openxmlformats.org/officeDocument/2006/relationships/image" Target="media/image1.png"/><Relationship Id="rId83" Type="http://schemas.openxmlformats.org/officeDocument/2006/relationships/image" Target="media/image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3012391&amp;pre=&amp;suf=&amp;sa=0&amp;dbf=0" TargetMode="External"/><Relationship Id="rId23" Type="http://schemas.openxmlformats.org/officeDocument/2006/relationships/hyperlink" Target="https://sciwheel.com/work/citation?ids=19137344,18837338&amp;pre=&amp;pre=&amp;suf=&amp;suf=&amp;sa=0,0&amp;dbf=0&amp;dbf=0" TargetMode="External"/><Relationship Id="rId28" Type="http://schemas.openxmlformats.org/officeDocument/2006/relationships/hyperlink" Target="https://sciwheel.com/work/citation?ids=18551964&amp;pre=&amp;suf=&amp;sa=0&amp;dbf=0" TargetMode="External"/><Relationship Id="rId36" Type="http://schemas.openxmlformats.org/officeDocument/2006/relationships/hyperlink" Target="https://sciwheel.com/work/citation?ids=18332060&amp;pre=&amp;suf=&amp;sa=0&amp;dbf=0" TargetMode="External"/><Relationship Id="rId49" Type="http://schemas.openxmlformats.org/officeDocument/2006/relationships/hyperlink" Target="https://sciwheel.com/work/bibliography/16487586" TargetMode="External"/><Relationship Id="rId57" Type="http://schemas.openxmlformats.org/officeDocument/2006/relationships/hyperlink" Target="https://sciwheel.com/work/bibliography/17908017" TargetMode="External"/><Relationship Id="rId10" Type="http://schemas.microsoft.com/office/2011/relationships/commentsExtended" Target="commentsExtended.xml"/><Relationship Id="rId31" Type="http://schemas.openxmlformats.org/officeDocument/2006/relationships/hyperlink" Target="https://sciwheel.com/work/citation?ids=18780986&amp;pre=&amp;suf=&amp;sa=0&amp;dbf=0" TargetMode="External"/><Relationship Id="rId44" Type="http://schemas.openxmlformats.org/officeDocument/2006/relationships/hyperlink" Target="https://sciwheel.com/work/bibliography/14646502" TargetMode="External"/><Relationship Id="rId52" Type="http://schemas.openxmlformats.org/officeDocument/2006/relationships/hyperlink" Target="https://sciwheel.com/work/bibliography/16489973" TargetMode="External"/><Relationship Id="rId60" Type="http://schemas.openxmlformats.org/officeDocument/2006/relationships/hyperlink" Target="https://sciwheel.com/work/bibliography/18701459" TargetMode="External"/><Relationship Id="rId65" Type="http://schemas.openxmlformats.org/officeDocument/2006/relationships/hyperlink" Target="https://sciwheel.com/work/bibliography/17372528" TargetMode="External"/><Relationship Id="rId73" Type="http://schemas.openxmlformats.org/officeDocument/2006/relationships/hyperlink" Target="https://sciwheel.com/work/bibliography/15507432" TargetMode="External"/><Relationship Id="rId78" Type="http://schemas.openxmlformats.org/officeDocument/2006/relationships/image" Target="media/image4.png"/><Relationship Id="rId81" Type="http://schemas.openxmlformats.org/officeDocument/2006/relationships/image" Target="media/image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yperlink" Target="https://sciwheel.com/work/citation?ids=14646502&amp;pre=&amp;suf=&amp;sa=0&amp;dbf=0" TargetMode="External"/><Relationship Id="rId18" Type="http://schemas.openxmlformats.org/officeDocument/2006/relationships/hyperlink" Target="https://sciwheel.com/work/citation?ids=15078716,17919057&amp;pre=&amp;pre=&amp;suf=&amp;suf=&amp;sa=0,0&amp;dbf=0&amp;dbf=0" TargetMode="External"/><Relationship Id="rId39" Type="http://schemas.openxmlformats.org/officeDocument/2006/relationships/hyperlink" Target="https://sciwheel.com/work/citation?ids=18670440,16987000&amp;pre=&amp;pre=&amp;suf=&amp;suf=&amp;sa=0,0&amp;dbf=0&amp;dbf=0" TargetMode="External"/><Relationship Id="rId34" Type="http://schemas.openxmlformats.org/officeDocument/2006/relationships/hyperlink" Target="https://sciwheel.com/work/citation?ids=6089155&amp;pre=&amp;suf=&amp;sa=0&amp;dbf=0" TargetMode="External"/><Relationship Id="rId50" Type="http://schemas.openxmlformats.org/officeDocument/2006/relationships/hyperlink" Target="https://sciwheel.com/work/bibliography/17731174" TargetMode="External"/><Relationship Id="rId55" Type="http://schemas.openxmlformats.org/officeDocument/2006/relationships/hyperlink" Target="https://sciwheel.com/work/bibliography/18551749" TargetMode="External"/><Relationship Id="rId76" Type="http://schemas.openxmlformats.org/officeDocument/2006/relationships/image" Target="media/image2.png"/><Relationship Id="rId7" Type="http://schemas.openxmlformats.org/officeDocument/2006/relationships/endnotes" Target="endnotes.xml"/><Relationship Id="rId71" Type="http://schemas.openxmlformats.org/officeDocument/2006/relationships/hyperlink" Target="https://sciwheel.com/work/bibliography/16987000" TargetMode="External"/><Relationship Id="rId2" Type="http://schemas.openxmlformats.org/officeDocument/2006/relationships/numbering" Target="numbering.xml"/><Relationship Id="rId29" Type="http://schemas.openxmlformats.org/officeDocument/2006/relationships/hyperlink" Target="https://sciwheel.com/work/citation?ids=16489973,15078716&amp;pre=&amp;pre=&amp;suf=&amp;suf=&amp;sa=0,0&amp;dbf=0&amp;dbf=0" TargetMode="External"/><Relationship Id="rId24" Type="http://schemas.openxmlformats.org/officeDocument/2006/relationships/hyperlink" Target="https://sciwheel.com/work/citation?ids=18701459&amp;pre=&amp;suf=&amp;sa=0&amp;dbf=0" TargetMode="External"/><Relationship Id="rId40" Type="http://schemas.openxmlformats.org/officeDocument/2006/relationships/hyperlink" Target="https://sciwheel.com/work/citation?ids=13449189&amp;pre=&amp;suf=&amp;sa=0&amp;dbf=0" TargetMode="External"/><Relationship Id="rId45" Type="http://schemas.openxmlformats.org/officeDocument/2006/relationships/hyperlink" Target="https://sciwheel.com/work/bibliography/9828217" TargetMode="External"/><Relationship Id="rId66" Type="http://schemas.openxmlformats.org/officeDocument/2006/relationships/hyperlink" Target="https://sciwheel.com/work/bibliography/18031543" TargetMode="External"/><Relationship Id="rId87" Type="http://schemas.microsoft.com/office/2011/relationships/people" Target="people.xml"/><Relationship Id="rId61" Type="http://schemas.openxmlformats.org/officeDocument/2006/relationships/hyperlink" Target="https://sciwheel.com/work/bibliography/18223492" TargetMode="External"/><Relationship Id="rId82"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6B212-CB7B-409E-9BE7-417C9AA59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8445</Words>
  <Characters>48140</Characters>
  <Application>Microsoft Office Word</Application>
  <DocSecurity>0</DocSecurity>
  <Lines>401</Lines>
  <Paragraphs>112</Paragraphs>
  <ScaleCrop>false</ScaleCrop>
  <Company/>
  <LinksUpToDate>false</LinksUpToDate>
  <CharactersWithSpaces>56473</CharactersWithSpaces>
  <SharedDoc>false</SharedDoc>
  <HLinks>
    <vt:vector size="378" baseType="variant">
      <vt:variant>
        <vt:i4>3997742</vt:i4>
      </vt:variant>
      <vt:variant>
        <vt:i4>186</vt:i4>
      </vt:variant>
      <vt:variant>
        <vt:i4>0</vt:i4>
      </vt:variant>
      <vt:variant>
        <vt:i4>5</vt:i4>
      </vt:variant>
      <vt:variant>
        <vt:lpwstr>https://sciwheel.com/work/bibliography/15372941</vt:lpwstr>
      </vt:variant>
      <vt:variant>
        <vt:lpwstr/>
      </vt:variant>
      <vt:variant>
        <vt:i4>3735588</vt:i4>
      </vt:variant>
      <vt:variant>
        <vt:i4>183</vt:i4>
      </vt:variant>
      <vt:variant>
        <vt:i4>0</vt:i4>
      </vt:variant>
      <vt:variant>
        <vt:i4>5</vt:i4>
      </vt:variant>
      <vt:variant>
        <vt:lpwstr>https://sciwheel.com/work/bibliography/15507432</vt:lpwstr>
      </vt:variant>
      <vt:variant>
        <vt:lpwstr/>
      </vt:variant>
      <vt:variant>
        <vt:i4>3997731</vt:i4>
      </vt:variant>
      <vt:variant>
        <vt:i4>180</vt:i4>
      </vt:variant>
      <vt:variant>
        <vt:i4>0</vt:i4>
      </vt:variant>
      <vt:variant>
        <vt:i4>5</vt:i4>
      </vt:variant>
      <vt:variant>
        <vt:lpwstr>https://sciwheel.com/work/bibliography/13449189</vt:lpwstr>
      </vt:variant>
      <vt:variant>
        <vt:lpwstr/>
      </vt:variant>
      <vt:variant>
        <vt:i4>3538987</vt:i4>
      </vt:variant>
      <vt:variant>
        <vt:i4>177</vt:i4>
      </vt:variant>
      <vt:variant>
        <vt:i4>0</vt:i4>
      </vt:variant>
      <vt:variant>
        <vt:i4>5</vt:i4>
      </vt:variant>
      <vt:variant>
        <vt:lpwstr>https://sciwheel.com/work/bibliography/16987000</vt:lpwstr>
      </vt:variant>
      <vt:variant>
        <vt:lpwstr/>
      </vt:variant>
      <vt:variant>
        <vt:i4>3801134</vt:i4>
      </vt:variant>
      <vt:variant>
        <vt:i4>174</vt:i4>
      </vt:variant>
      <vt:variant>
        <vt:i4>0</vt:i4>
      </vt:variant>
      <vt:variant>
        <vt:i4>5</vt:i4>
      </vt:variant>
      <vt:variant>
        <vt:lpwstr>https://sciwheel.com/work/bibliography/18670440</vt:lpwstr>
      </vt:variant>
      <vt:variant>
        <vt:lpwstr/>
      </vt:variant>
      <vt:variant>
        <vt:i4>3342377</vt:i4>
      </vt:variant>
      <vt:variant>
        <vt:i4>171</vt:i4>
      </vt:variant>
      <vt:variant>
        <vt:i4>0</vt:i4>
      </vt:variant>
      <vt:variant>
        <vt:i4>5</vt:i4>
      </vt:variant>
      <vt:variant>
        <vt:lpwstr>https://sciwheel.com/work/bibliography/6089155</vt:lpwstr>
      </vt:variant>
      <vt:variant>
        <vt:lpwstr/>
      </vt:variant>
      <vt:variant>
        <vt:i4>4063265</vt:i4>
      </vt:variant>
      <vt:variant>
        <vt:i4>168</vt:i4>
      </vt:variant>
      <vt:variant>
        <vt:i4>0</vt:i4>
      </vt:variant>
      <vt:variant>
        <vt:i4>5</vt:i4>
      </vt:variant>
      <vt:variant>
        <vt:lpwstr>https://sciwheel.com/work/bibliography/5232647</vt:lpwstr>
      </vt:variant>
      <vt:variant>
        <vt:lpwstr/>
      </vt:variant>
      <vt:variant>
        <vt:i4>3801121</vt:i4>
      </vt:variant>
      <vt:variant>
        <vt:i4>165</vt:i4>
      </vt:variant>
      <vt:variant>
        <vt:i4>0</vt:i4>
      </vt:variant>
      <vt:variant>
        <vt:i4>5</vt:i4>
      </vt:variant>
      <vt:variant>
        <vt:lpwstr>https://sciwheel.com/work/bibliography/18551964</vt:lpwstr>
      </vt:variant>
      <vt:variant>
        <vt:lpwstr/>
      </vt:variant>
      <vt:variant>
        <vt:i4>3997739</vt:i4>
      </vt:variant>
      <vt:variant>
        <vt:i4>162</vt:i4>
      </vt:variant>
      <vt:variant>
        <vt:i4>0</vt:i4>
      </vt:variant>
      <vt:variant>
        <vt:i4>5</vt:i4>
      </vt:variant>
      <vt:variant>
        <vt:lpwstr>https://sciwheel.com/work/bibliography/18031543</vt:lpwstr>
      </vt:variant>
      <vt:variant>
        <vt:lpwstr/>
      </vt:variant>
      <vt:variant>
        <vt:i4>3866656</vt:i4>
      </vt:variant>
      <vt:variant>
        <vt:i4>159</vt:i4>
      </vt:variant>
      <vt:variant>
        <vt:i4>0</vt:i4>
      </vt:variant>
      <vt:variant>
        <vt:i4>5</vt:i4>
      </vt:variant>
      <vt:variant>
        <vt:lpwstr>https://sciwheel.com/work/bibliography/17372528</vt:lpwstr>
      </vt:variant>
      <vt:variant>
        <vt:lpwstr/>
      </vt:variant>
      <vt:variant>
        <vt:i4>4128814</vt:i4>
      </vt:variant>
      <vt:variant>
        <vt:i4>156</vt:i4>
      </vt:variant>
      <vt:variant>
        <vt:i4>0</vt:i4>
      </vt:variant>
      <vt:variant>
        <vt:i4>5</vt:i4>
      </vt:variant>
      <vt:variant>
        <vt:lpwstr>https://sciwheel.com/work/bibliography/18332060</vt:lpwstr>
      </vt:variant>
      <vt:variant>
        <vt:lpwstr/>
      </vt:variant>
      <vt:variant>
        <vt:i4>3538983</vt:i4>
      </vt:variant>
      <vt:variant>
        <vt:i4>153</vt:i4>
      </vt:variant>
      <vt:variant>
        <vt:i4>0</vt:i4>
      </vt:variant>
      <vt:variant>
        <vt:i4>5</vt:i4>
      </vt:variant>
      <vt:variant>
        <vt:lpwstr>https://sciwheel.com/work/bibliography/17825734</vt:lpwstr>
      </vt:variant>
      <vt:variant>
        <vt:lpwstr/>
      </vt:variant>
      <vt:variant>
        <vt:i4>3997743</vt:i4>
      </vt:variant>
      <vt:variant>
        <vt:i4>150</vt:i4>
      </vt:variant>
      <vt:variant>
        <vt:i4>0</vt:i4>
      </vt:variant>
      <vt:variant>
        <vt:i4>5</vt:i4>
      </vt:variant>
      <vt:variant>
        <vt:lpwstr>https://sciwheel.com/work/bibliography/18538180</vt:lpwstr>
      </vt:variant>
      <vt:variant>
        <vt:lpwstr/>
      </vt:variant>
      <vt:variant>
        <vt:i4>3145771</vt:i4>
      </vt:variant>
      <vt:variant>
        <vt:i4>147</vt:i4>
      </vt:variant>
      <vt:variant>
        <vt:i4>0</vt:i4>
      </vt:variant>
      <vt:variant>
        <vt:i4>5</vt:i4>
      </vt:variant>
      <vt:variant>
        <vt:lpwstr>https://sciwheel.com/work/bibliography/18223492</vt:lpwstr>
      </vt:variant>
      <vt:variant>
        <vt:lpwstr/>
      </vt:variant>
      <vt:variant>
        <vt:i4>3866665</vt:i4>
      </vt:variant>
      <vt:variant>
        <vt:i4>144</vt:i4>
      </vt:variant>
      <vt:variant>
        <vt:i4>0</vt:i4>
      </vt:variant>
      <vt:variant>
        <vt:i4>5</vt:i4>
      </vt:variant>
      <vt:variant>
        <vt:lpwstr>https://sciwheel.com/work/bibliography/18701459</vt:lpwstr>
      </vt:variant>
      <vt:variant>
        <vt:lpwstr/>
      </vt:variant>
      <vt:variant>
        <vt:i4>3407917</vt:i4>
      </vt:variant>
      <vt:variant>
        <vt:i4>141</vt:i4>
      </vt:variant>
      <vt:variant>
        <vt:i4>0</vt:i4>
      </vt:variant>
      <vt:variant>
        <vt:i4>5</vt:i4>
      </vt:variant>
      <vt:variant>
        <vt:lpwstr>https://sciwheel.com/work/bibliography/18837338</vt:lpwstr>
      </vt:variant>
      <vt:variant>
        <vt:lpwstr/>
      </vt:variant>
      <vt:variant>
        <vt:i4>3801132</vt:i4>
      </vt:variant>
      <vt:variant>
        <vt:i4>138</vt:i4>
      </vt:variant>
      <vt:variant>
        <vt:i4>0</vt:i4>
      </vt:variant>
      <vt:variant>
        <vt:i4>5</vt:i4>
      </vt:variant>
      <vt:variant>
        <vt:lpwstr>https://sciwheel.com/work/bibliography/19137344</vt:lpwstr>
      </vt:variant>
      <vt:variant>
        <vt:lpwstr/>
      </vt:variant>
      <vt:variant>
        <vt:i4>3670050</vt:i4>
      </vt:variant>
      <vt:variant>
        <vt:i4>135</vt:i4>
      </vt:variant>
      <vt:variant>
        <vt:i4>0</vt:i4>
      </vt:variant>
      <vt:variant>
        <vt:i4>5</vt:i4>
      </vt:variant>
      <vt:variant>
        <vt:lpwstr>https://sciwheel.com/work/bibliography/17908017</vt:lpwstr>
      </vt:variant>
      <vt:variant>
        <vt:lpwstr/>
      </vt:variant>
      <vt:variant>
        <vt:i4>3604524</vt:i4>
      </vt:variant>
      <vt:variant>
        <vt:i4>132</vt:i4>
      </vt:variant>
      <vt:variant>
        <vt:i4>0</vt:i4>
      </vt:variant>
      <vt:variant>
        <vt:i4>5</vt:i4>
      </vt:variant>
      <vt:variant>
        <vt:lpwstr>https://sciwheel.com/work/bibliography/18780986</vt:lpwstr>
      </vt:variant>
      <vt:variant>
        <vt:lpwstr/>
      </vt:variant>
      <vt:variant>
        <vt:i4>3670063</vt:i4>
      </vt:variant>
      <vt:variant>
        <vt:i4>129</vt:i4>
      </vt:variant>
      <vt:variant>
        <vt:i4>0</vt:i4>
      </vt:variant>
      <vt:variant>
        <vt:i4>5</vt:i4>
      </vt:variant>
      <vt:variant>
        <vt:lpwstr>https://sciwheel.com/work/bibliography/18551749</vt:lpwstr>
      </vt:variant>
      <vt:variant>
        <vt:lpwstr/>
      </vt:variant>
      <vt:variant>
        <vt:i4>3997731</vt:i4>
      </vt:variant>
      <vt:variant>
        <vt:i4>126</vt:i4>
      </vt:variant>
      <vt:variant>
        <vt:i4>0</vt:i4>
      </vt:variant>
      <vt:variant>
        <vt:i4>5</vt:i4>
      </vt:variant>
      <vt:variant>
        <vt:lpwstr>https://sciwheel.com/work/bibliography/17919057</vt:lpwstr>
      </vt:variant>
      <vt:variant>
        <vt:lpwstr/>
      </vt:variant>
      <vt:variant>
        <vt:i4>3211296</vt:i4>
      </vt:variant>
      <vt:variant>
        <vt:i4>123</vt:i4>
      </vt:variant>
      <vt:variant>
        <vt:i4>0</vt:i4>
      </vt:variant>
      <vt:variant>
        <vt:i4>5</vt:i4>
      </vt:variant>
      <vt:variant>
        <vt:lpwstr>https://sciwheel.com/work/bibliography/15078716</vt:lpwstr>
      </vt:variant>
      <vt:variant>
        <vt:lpwstr/>
      </vt:variant>
      <vt:variant>
        <vt:i4>3276834</vt:i4>
      </vt:variant>
      <vt:variant>
        <vt:i4>120</vt:i4>
      </vt:variant>
      <vt:variant>
        <vt:i4>0</vt:i4>
      </vt:variant>
      <vt:variant>
        <vt:i4>5</vt:i4>
      </vt:variant>
      <vt:variant>
        <vt:lpwstr>https://sciwheel.com/work/bibliography/16489973</vt:lpwstr>
      </vt:variant>
      <vt:variant>
        <vt:lpwstr/>
      </vt:variant>
      <vt:variant>
        <vt:i4>4063269</vt:i4>
      </vt:variant>
      <vt:variant>
        <vt:i4>117</vt:i4>
      </vt:variant>
      <vt:variant>
        <vt:i4>0</vt:i4>
      </vt:variant>
      <vt:variant>
        <vt:i4>5</vt:i4>
      </vt:variant>
      <vt:variant>
        <vt:lpwstr>https://sciwheel.com/work/bibliography/7161600</vt:lpwstr>
      </vt:variant>
      <vt:variant>
        <vt:lpwstr/>
      </vt:variant>
      <vt:variant>
        <vt:i4>3735584</vt:i4>
      </vt:variant>
      <vt:variant>
        <vt:i4>114</vt:i4>
      </vt:variant>
      <vt:variant>
        <vt:i4>0</vt:i4>
      </vt:variant>
      <vt:variant>
        <vt:i4>5</vt:i4>
      </vt:variant>
      <vt:variant>
        <vt:lpwstr>https://sciwheel.com/work/bibliography/17731174</vt:lpwstr>
      </vt:variant>
      <vt:variant>
        <vt:lpwstr/>
      </vt:variant>
      <vt:variant>
        <vt:i4>3342382</vt:i4>
      </vt:variant>
      <vt:variant>
        <vt:i4>111</vt:i4>
      </vt:variant>
      <vt:variant>
        <vt:i4>0</vt:i4>
      </vt:variant>
      <vt:variant>
        <vt:i4>5</vt:i4>
      </vt:variant>
      <vt:variant>
        <vt:lpwstr>https://sciwheel.com/work/bibliography/16487586</vt:lpwstr>
      </vt:variant>
      <vt:variant>
        <vt:lpwstr/>
      </vt:variant>
      <vt:variant>
        <vt:i4>3342372</vt:i4>
      </vt:variant>
      <vt:variant>
        <vt:i4>108</vt:i4>
      </vt:variant>
      <vt:variant>
        <vt:i4>0</vt:i4>
      </vt:variant>
      <vt:variant>
        <vt:i4>5</vt:i4>
      </vt:variant>
      <vt:variant>
        <vt:lpwstr>https://sciwheel.com/work/bibliography/13012391</vt:lpwstr>
      </vt:variant>
      <vt:variant>
        <vt:lpwstr/>
      </vt:variant>
      <vt:variant>
        <vt:i4>3276838</vt:i4>
      </vt:variant>
      <vt:variant>
        <vt:i4>105</vt:i4>
      </vt:variant>
      <vt:variant>
        <vt:i4>0</vt:i4>
      </vt:variant>
      <vt:variant>
        <vt:i4>5</vt:i4>
      </vt:variant>
      <vt:variant>
        <vt:lpwstr>https://sciwheel.com/work/bibliography/16033691</vt:lpwstr>
      </vt:variant>
      <vt:variant>
        <vt:lpwstr/>
      </vt:variant>
      <vt:variant>
        <vt:i4>3997740</vt:i4>
      </vt:variant>
      <vt:variant>
        <vt:i4>102</vt:i4>
      </vt:variant>
      <vt:variant>
        <vt:i4>0</vt:i4>
      </vt:variant>
      <vt:variant>
        <vt:i4>5</vt:i4>
      </vt:variant>
      <vt:variant>
        <vt:lpwstr>https://sciwheel.com/work/bibliography/12383358</vt:lpwstr>
      </vt:variant>
      <vt:variant>
        <vt:lpwstr/>
      </vt:variant>
      <vt:variant>
        <vt:i4>3604516</vt:i4>
      </vt:variant>
      <vt:variant>
        <vt:i4>99</vt:i4>
      </vt:variant>
      <vt:variant>
        <vt:i4>0</vt:i4>
      </vt:variant>
      <vt:variant>
        <vt:i4>5</vt:i4>
      </vt:variant>
      <vt:variant>
        <vt:lpwstr>https://sciwheel.com/work/bibliography/9828217</vt:lpwstr>
      </vt:variant>
      <vt:variant>
        <vt:lpwstr/>
      </vt:variant>
      <vt:variant>
        <vt:i4>3670048</vt:i4>
      </vt:variant>
      <vt:variant>
        <vt:i4>96</vt:i4>
      </vt:variant>
      <vt:variant>
        <vt:i4>0</vt:i4>
      </vt:variant>
      <vt:variant>
        <vt:i4>5</vt:i4>
      </vt:variant>
      <vt:variant>
        <vt:lpwstr>https://sciwheel.com/work/bibliography/14646502</vt:lpwstr>
      </vt:variant>
      <vt:variant>
        <vt:lpwstr/>
      </vt:variant>
      <vt:variant>
        <vt:i4>2359356</vt:i4>
      </vt:variant>
      <vt:variant>
        <vt:i4>93</vt:i4>
      </vt:variant>
      <vt:variant>
        <vt:i4>0</vt:i4>
      </vt:variant>
      <vt:variant>
        <vt:i4>5</vt:i4>
      </vt:variant>
      <vt:variant>
        <vt:lpwstr>https://github.com/hyolimkang/CHIK_benefit_risk</vt:lpwstr>
      </vt:variant>
      <vt:variant>
        <vt:lpwstr/>
      </vt:variant>
      <vt:variant>
        <vt:i4>17</vt:i4>
      </vt:variant>
      <vt:variant>
        <vt:i4>90</vt:i4>
      </vt:variant>
      <vt:variant>
        <vt:i4>0</vt:i4>
      </vt:variant>
      <vt:variant>
        <vt:i4>5</vt:i4>
      </vt:variant>
      <vt:variant>
        <vt:lpwstr>https://sciwheel.com/work/citation?ids=15372941&amp;pre=&amp;suf=&amp;sa=0&amp;dbf=0</vt:lpwstr>
      </vt:variant>
      <vt:variant>
        <vt:lpwstr/>
      </vt:variant>
      <vt:variant>
        <vt:i4>7667744</vt:i4>
      </vt:variant>
      <vt:variant>
        <vt:i4>87</vt:i4>
      </vt:variant>
      <vt:variant>
        <vt:i4>0</vt:i4>
      </vt:variant>
      <vt:variant>
        <vt:i4>5</vt:i4>
      </vt:variant>
      <vt:variant>
        <vt:lpwstr>https://sciwheel.com/work/citation?ids=15507432,12383358&amp;pre=&amp;pre=&amp;suf=&amp;suf=&amp;sa=0,0&amp;dbf=0&amp;dbf=0</vt:lpwstr>
      </vt:variant>
      <vt:variant>
        <vt:lpwstr/>
      </vt:variant>
      <vt:variant>
        <vt:i4>20</vt:i4>
      </vt:variant>
      <vt:variant>
        <vt:i4>84</vt:i4>
      </vt:variant>
      <vt:variant>
        <vt:i4>0</vt:i4>
      </vt:variant>
      <vt:variant>
        <vt:i4>5</vt:i4>
      </vt:variant>
      <vt:variant>
        <vt:lpwstr>https://sciwheel.com/work/citation?ids=13449189&amp;pre=&amp;suf=&amp;sa=0&amp;dbf=0</vt:lpwstr>
      </vt:variant>
      <vt:variant>
        <vt:lpwstr/>
      </vt:variant>
      <vt:variant>
        <vt:i4>7929891</vt:i4>
      </vt:variant>
      <vt:variant>
        <vt:i4>81</vt:i4>
      </vt:variant>
      <vt:variant>
        <vt:i4>0</vt:i4>
      </vt:variant>
      <vt:variant>
        <vt:i4>5</vt:i4>
      </vt:variant>
      <vt:variant>
        <vt:lpwstr>https://sciwheel.com/work/citation?ids=18670440,16987000&amp;pre=&amp;pre=&amp;suf=&amp;suf=&amp;sa=0,0&amp;dbf=0&amp;dbf=0</vt:lpwstr>
      </vt:variant>
      <vt:variant>
        <vt:lpwstr/>
      </vt:variant>
      <vt:variant>
        <vt:i4>327704</vt:i4>
      </vt:variant>
      <vt:variant>
        <vt:i4>78</vt:i4>
      </vt:variant>
      <vt:variant>
        <vt:i4>0</vt:i4>
      </vt:variant>
      <vt:variant>
        <vt:i4>5</vt:i4>
      </vt:variant>
      <vt:variant>
        <vt:lpwstr>https://sciwheel.com/work/citation?ids=18551749&amp;pre=&amp;suf=&amp;sa=0&amp;dbf=0</vt:lpwstr>
      </vt:variant>
      <vt:variant>
        <vt:lpwstr/>
      </vt:variant>
      <vt:variant>
        <vt:i4>786456</vt:i4>
      </vt:variant>
      <vt:variant>
        <vt:i4>75</vt:i4>
      </vt:variant>
      <vt:variant>
        <vt:i4>0</vt:i4>
      </vt:variant>
      <vt:variant>
        <vt:i4>5</vt:i4>
      </vt:variant>
      <vt:variant>
        <vt:lpwstr>https://sciwheel.com/work/citation?ids=15078716&amp;pre=&amp;suf=&amp;sa=0&amp;dbf=0</vt:lpwstr>
      </vt:variant>
      <vt:variant>
        <vt:lpwstr/>
      </vt:variant>
      <vt:variant>
        <vt:i4>131088</vt:i4>
      </vt:variant>
      <vt:variant>
        <vt:i4>72</vt:i4>
      </vt:variant>
      <vt:variant>
        <vt:i4>0</vt:i4>
      </vt:variant>
      <vt:variant>
        <vt:i4>5</vt:i4>
      </vt:variant>
      <vt:variant>
        <vt:lpwstr>https://sciwheel.com/work/citation?ids=18332060&amp;pre=&amp;suf=&amp;sa=0&amp;dbf=0</vt:lpwstr>
      </vt:variant>
      <vt:variant>
        <vt:lpwstr/>
      </vt:variant>
      <vt:variant>
        <vt:i4>131088</vt:i4>
      </vt:variant>
      <vt:variant>
        <vt:i4>69</vt:i4>
      </vt:variant>
      <vt:variant>
        <vt:i4>0</vt:i4>
      </vt:variant>
      <vt:variant>
        <vt:i4>5</vt:i4>
      </vt:variant>
      <vt:variant>
        <vt:lpwstr>https://sciwheel.com/work/citation?ids=18332060&amp;pre=&amp;suf=&amp;sa=0&amp;dbf=0</vt:lpwstr>
      </vt:variant>
      <vt:variant>
        <vt:lpwstr/>
      </vt:variant>
      <vt:variant>
        <vt:i4>8061026</vt:i4>
      </vt:variant>
      <vt:variant>
        <vt:i4>66</vt:i4>
      </vt:variant>
      <vt:variant>
        <vt:i4>0</vt:i4>
      </vt:variant>
      <vt:variant>
        <vt:i4>5</vt:i4>
      </vt:variant>
      <vt:variant>
        <vt:lpwstr>https://sciwheel.com/work/citation?ids=6089155&amp;pre=&amp;suf=&amp;sa=0&amp;dbf=0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7733354</vt:i4>
      </vt:variant>
      <vt:variant>
        <vt:i4>60</vt:i4>
      </vt:variant>
      <vt:variant>
        <vt:i4>0</vt:i4>
      </vt:variant>
      <vt:variant>
        <vt:i4>5</vt:i4>
      </vt:variant>
      <vt:variant>
        <vt:lpwstr>https://sciwheel.com/work/citation?ids=5232647&amp;pre=&amp;suf=&amp;sa=0&amp;dbf=0</vt:lpwstr>
      </vt:variant>
      <vt:variant>
        <vt:lpwstr/>
      </vt:variant>
      <vt:variant>
        <vt:i4>655380</vt:i4>
      </vt:variant>
      <vt:variant>
        <vt:i4>57</vt:i4>
      </vt:variant>
      <vt:variant>
        <vt:i4>0</vt:i4>
      </vt:variant>
      <vt:variant>
        <vt:i4>5</vt:i4>
      </vt:variant>
      <vt:variant>
        <vt:lpwstr>https://sciwheel.com/work/citation?ids=18780986&amp;pre=&amp;suf=&amp;sa=0&amp;dbf=0</vt:lpwstr>
      </vt:variant>
      <vt:variant>
        <vt:lpwstr/>
      </vt:variant>
      <vt:variant>
        <vt:i4>327704</vt:i4>
      </vt:variant>
      <vt:variant>
        <vt:i4>54</vt:i4>
      </vt:variant>
      <vt:variant>
        <vt:i4>0</vt:i4>
      </vt:variant>
      <vt:variant>
        <vt:i4>5</vt:i4>
      </vt:variant>
      <vt:variant>
        <vt:lpwstr>https://sciwheel.com/work/citation?ids=18551749&amp;pre=&amp;suf=&amp;sa=0&amp;dbf=0</vt:lpwstr>
      </vt:variant>
      <vt:variant>
        <vt:lpwstr/>
      </vt:variant>
      <vt:variant>
        <vt:i4>8126507</vt:i4>
      </vt:variant>
      <vt:variant>
        <vt:i4>51</vt:i4>
      </vt:variant>
      <vt:variant>
        <vt:i4>0</vt:i4>
      </vt:variant>
      <vt:variant>
        <vt:i4>5</vt:i4>
      </vt:variant>
      <vt:variant>
        <vt:lpwstr>https://sciwheel.com/work/citation?ids=16489973,15078716&amp;pre=&amp;pre=&amp;suf=&amp;suf=&amp;sa=0,0&amp;dbf=0&amp;dbf=0</vt:lpwstr>
      </vt:variant>
      <vt:variant>
        <vt:lpwstr/>
      </vt:variant>
      <vt:variant>
        <vt:i4>458779</vt:i4>
      </vt:variant>
      <vt:variant>
        <vt:i4>48</vt:i4>
      </vt:variant>
      <vt:variant>
        <vt:i4>0</vt:i4>
      </vt:variant>
      <vt:variant>
        <vt:i4>5</vt:i4>
      </vt:variant>
      <vt:variant>
        <vt:lpwstr>https://sciwheel.com/work/citation?ids=18551964&amp;pre=&amp;suf=&amp;sa=0&amp;dbf=0</vt:lpwstr>
      </vt:variant>
      <vt:variant>
        <vt:lpwstr/>
      </vt:variant>
      <vt:variant>
        <vt:i4>851998</vt:i4>
      </vt:variant>
      <vt:variant>
        <vt:i4>45</vt:i4>
      </vt:variant>
      <vt:variant>
        <vt:i4>0</vt:i4>
      </vt:variant>
      <vt:variant>
        <vt:i4>5</vt:i4>
      </vt:variant>
      <vt:variant>
        <vt:lpwstr>https://sciwheel.com/work/citation?ids=17825734,18332060,18538180,17372528,18031543&amp;pre=&amp;pre=&amp;pre=&amp;pre=&amp;pre=&amp;suf=&amp;suf=&amp;suf=&amp;suf=&amp;suf=&amp;sa=0,0,0,0,0&amp;dbf=0&amp;dbf=0&amp;dbf=0&amp;dbf=0&amp;dbf=0</vt:lpwstr>
      </vt:variant>
      <vt:variant>
        <vt:lpwstr/>
      </vt:variant>
      <vt:variant>
        <vt:i4>17</vt:i4>
      </vt:variant>
      <vt:variant>
        <vt:i4>42</vt:i4>
      </vt:variant>
      <vt:variant>
        <vt:i4>0</vt:i4>
      </vt:variant>
      <vt:variant>
        <vt:i4>5</vt:i4>
      </vt:variant>
      <vt:variant>
        <vt:lpwstr>https://sciwheel.com/work/citation?ids=18538180&amp;pre=&amp;suf=&amp;sa=0&amp;dbf=0</vt:lpwstr>
      </vt:variant>
      <vt:variant>
        <vt:lpwstr/>
      </vt:variant>
      <vt:variant>
        <vt:i4>851991</vt:i4>
      </vt:variant>
      <vt:variant>
        <vt:i4>39</vt:i4>
      </vt:variant>
      <vt:variant>
        <vt:i4>0</vt:i4>
      </vt:variant>
      <vt:variant>
        <vt:i4>5</vt:i4>
      </vt:variant>
      <vt:variant>
        <vt:lpwstr>https://sciwheel.com/work/citation?ids=18223492&amp;pre=&amp;suf=&amp;sa=0&amp;dbf=0</vt:lpwstr>
      </vt:variant>
      <vt:variant>
        <vt:lpwstr/>
      </vt:variant>
      <vt:variant>
        <vt:i4>393246</vt:i4>
      </vt:variant>
      <vt:variant>
        <vt:i4>36</vt:i4>
      </vt:variant>
      <vt:variant>
        <vt:i4>0</vt:i4>
      </vt:variant>
      <vt:variant>
        <vt:i4>5</vt:i4>
      </vt:variant>
      <vt:variant>
        <vt:lpwstr>https://sciwheel.com/work/citation?ids=18701459&amp;pre=&amp;suf=&amp;sa=0&amp;dbf=0</vt:lpwstr>
      </vt:variant>
      <vt:variant>
        <vt:lpwstr/>
      </vt:variant>
      <vt:variant>
        <vt:i4>7798823</vt:i4>
      </vt:variant>
      <vt:variant>
        <vt:i4>33</vt:i4>
      </vt:variant>
      <vt:variant>
        <vt:i4>0</vt:i4>
      </vt:variant>
      <vt:variant>
        <vt:i4>5</vt:i4>
      </vt:variant>
      <vt:variant>
        <vt:lpwstr>https://sciwheel.com/work/citation?ids=19137344,18837338&amp;pre=&amp;pre=&amp;suf=&amp;suf=&amp;sa=0,0&amp;dbf=0&amp;dbf=0</vt:lpwstr>
      </vt:variant>
      <vt:variant>
        <vt:lpwstr/>
      </vt:variant>
      <vt:variant>
        <vt:i4>327707</vt:i4>
      </vt:variant>
      <vt:variant>
        <vt:i4>30</vt:i4>
      </vt:variant>
      <vt:variant>
        <vt:i4>0</vt:i4>
      </vt:variant>
      <vt:variant>
        <vt:i4>5</vt:i4>
      </vt:variant>
      <vt:variant>
        <vt:lpwstr>https://sciwheel.com/work/citation?ids=17908017&amp;pre=&amp;suf=&amp;sa=0&amp;dbf=0</vt:lpwstr>
      </vt:variant>
      <vt:variant>
        <vt:lpwstr/>
      </vt:variant>
      <vt:variant>
        <vt:i4>327704</vt:i4>
      </vt:variant>
      <vt:variant>
        <vt:i4>27</vt:i4>
      </vt:variant>
      <vt:variant>
        <vt:i4>0</vt:i4>
      </vt:variant>
      <vt:variant>
        <vt:i4>5</vt:i4>
      </vt:variant>
      <vt:variant>
        <vt:lpwstr>https://sciwheel.com/work/citation?ids=18551749&amp;pre=&amp;suf=&amp;sa=0&amp;dbf=0</vt:lpwstr>
      </vt:variant>
      <vt:variant>
        <vt:lpwstr/>
      </vt:variant>
      <vt:variant>
        <vt:i4>655380</vt:i4>
      </vt:variant>
      <vt:variant>
        <vt:i4>24</vt:i4>
      </vt:variant>
      <vt:variant>
        <vt:i4>0</vt:i4>
      </vt:variant>
      <vt:variant>
        <vt:i4>5</vt:i4>
      </vt:variant>
      <vt:variant>
        <vt:lpwstr>https://sciwheel.com/work/citation?ids=18780986&amp;pre=&amp;suf=&amp;sa=0&amp;dbf=0</vt:lpwstr>
      </vt:variant>
      <vt:variant>
        <vt:lpwstr/>
      </vt:variant>
      <vt:variant>
        <vt:i4>327704</vt:i4>
      </vt:variant>
      <vt:variant>
        <vt:i4>21</vt:i4>
      </vt:variant>
      <vt:variant>
        <vt:i4>0</vt:i4>
      </vt:variant>
      <vt:variant>
        <vt:i4>5</vt:i4>
      </vt:variant>
      <vt:variant>
        <vt:lpwstr>https://sciwheel.com/work/citation?ids=18551749&amp;pre=&amp;suf=&amp;sa=0&amp;dbf=0</vt:lpwstr>
      </vt:variant>
      <vt:variant>
        <vt:lpwstr/>
      </vt:variant>
      <vt:variant>
        <vt:i4>8192032</vt:i4>
      </vt:variant>
      <vt:variant>
        <vt:i4>18</vt:i4>
      </vt:variant>
      <vt:variant>
        <vt:i4>0</vt:i4>
      </vt:variant>
      <vt:variant>
        <vt:i4>5</vt:i4>
      </vt:variant>
      <vt:variant>
        <vt:lpwstr>https://sciwheel.com/work/citation?ids=15078716,17919057&amp;pre=&amp;pre=&amp;suf=&amp;suf=&amp;sa=0,0&amp;dbf=0&amp;dbf=0</vt:lpwstr>
      </vt:variant>
      <vt:variant>
        <vt:lpwstr/>
      </vt:variant>
      <vt:variant>
        <vt:i4>7405610</vt:i4>
      </vt:variant>
      <vt:variant>
        <vt:i4>15</vt:i4>
      </vt:variant>
      <vt:variant>
        <vt:i4>0</vt:i4>
      </vt:variant>
      <vt:variant>
        <vt:i4>5</vt:i4>
      </vt:variant>
      <vt:variant>
        <vt:lpwstr>https://sciwheel.com/work/citation?ids=7161600,16489973&amp;pre=&amp;pre=&amp;suf=&amp;suf=&amp;sa=0,0&amp;dbf=0&amp;dbf=0</vt:lpwstr>
      </vt:variant>
      <vt:variant>
        <vt:lpwstr/>
      </vt:variant>
      <vt:variant>
        <vt:i4>8323114</vt:i4>
      </vt:variant>
      <vt:variant>
        <vt:i4>12</vt:i4>
      </vt:variant>
      <vt:variant>
        <vt:i4>0</vt:i4>
      </vt:variant>
      <vt:variant>
        <vt:i4>5</vt:i4>
      </vt:variant>
      <vt:variant>
        <vt:lpwstr>https://sciwheel.com/work/citation?ids=16487586,17731174&amp;pre=&amp;pre=&amp;suf=&amp;suf=&amp;sa=0,0&amp;dbf=0&amp;dbf=0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5374030</vt:i4>
      </vt:variant>
      <vt:variant>
        <vt:i4>6</vt:i4>
      </vt:variant>
      <vt:variant>
        <vt:i4>0</vt:i4>
      </vt:variant>
      <vt:variant>
        <vt:i4>5</vt:i4>
      </vt:variant>
      <vt:variant>
        <vt:lpwstr>https://sciwheel.com/work/citation?ids=9828217,12383358,16033691&amp;pre=&amp;pre=&amp;pre=&amp;suf=&amp;suf=&amp;suf=&amp;sa=0,0,0&amp;dbf=0&amp;dbf=0&amp;dbf=0</vt:lpwstr>
      </vt:variant>
      <vt:variant>
        <vt:lpwstr/>
      </vt:variant>
      <vt:variant>
        <vt:i4>327708</vt:i4>
      </vt:variant>
      <vt:variant>
        <vt:i4>3</vt:i4>
      </vt:variant>
      <vt:variant>
        <vt:i4>0</vt:i4>
      </vt:variant>
      <vt:variant>
        <vt:i4>5</vt:i4>
      </vt:variant>
      <vt:variant>
        <vt:lpwstr>https://sciwheel.com/work/citation?ids=14646502&amp;pre=&amp;suf=&amp;sa=0&amp;dbf=0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Thiago Cerqueira Silva</cp:lastModifiedBy>
  <cp:revision>2</cp:revision>
  <cp:lastPrinted>2026-09-04T23:45:00Z</cp:lastPrinted>
  <dcterms:created xsi:type="dcterms:W3CDTF">2026-09-30T09:25:00Z</dcterms:created>
  <dcterms:modified xsi:type="dcterms:W3CDTF">2026-09-30T09:25:00Z</dcterms:modified>
</cp:coreProperties>
</file>