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A8DBE" w14:textId="77777777" w:rsidR="00DE7658" w:rsidRPr="005722A5" w:rsidRDefault="00DE7658" w:rsidP="00DE7658">
      <w:pPr>
        <w:spacing w:line="360" w:lineRule="auto"/>
        <w:rPr>
          <w:rStyle w:val="a7"/>
          <w:rFonts w:ascii="Calibri" w:eastAsia="Malgun Gothic" w:hAnsi="Calibri" w:cs="Calibri"/>
          <w:i w:val="0"/>
          <w:sz w:val="28"/>
          <w:szCs w:val="28"/>
        </w:rPr>
      </w:pPr>
      <w:r w:rsidRPr="005722A5">
        <w:rPr>
          <w:rStyle w:val="a7"/>
          <w:rFonts w:ascii="Calibri" w:hAnsi="Calibri" w:cs="Calibri"/>
          <w:i w:val="0"/>
          <w:sz w:val="28"/>
          <w:szCs w:val="28"/>
        </w:rPr>
        <w:t>Results</w:t>
      </w:r>
    </w:p>
    <w:p w14:paraId="76ECB9A4" w14:textId="77777777" w:rsidR="00DE7658" w:rsidRPr="001A440D" w:rsidRDefault="00DE7658" w:rsidP="00DE7658">
      <w:pPr>
        <w:spacing w:line="360" w:lineRule="auto"/>
        <w:rPr>
          <w:rFonts w:ascii="Calibri" w:eastAsia="Malgun Gothic" w:hAnsi="Calibri" w:cs="Calibri"/>
          <w:b/>
          <w:bCs/>
          <w:sz w:val="22"/>
          <w:szCs w:val="22"/>
          <w:highlight w:val="yellow"/>
        </w:rPr>
      </w:pPr>
      <w:r w:rsidRPr="001A440D">
        <w:rPr>
          <w:rStyle w:val="a7"/>
          <w:rFonts w:ascii="Calibri" w:eastAsia="Malgun Gothic" w:hAnsi="Calibri" w:cs="Calibri"/>
          <w:i w:val="0"/>
          <w:sz w:val="22"/>
          <w:szCs w:val="22"/>
          <w:highlight w:val="yellow"/>
        </w:rPr>
        <w:t xml:space="preserve">Travel vaccination </w:t>
      </w:r>
      <w:r w:rsidRPr="001A440D">
        <w:rPr>
          <w:rFonts w:ascii="Calibri" w:eastAsia="Malgun Gothic" w:hAnsi="Calibri" w:cs="Calibri"/>
          <w:b/>
          <w:bCs/>
          <w:sz w:val="22"/>
          <w:szCs w:val="22"/>
          <w:highlight w:val="yellow"/>
        </w:rPr>
        <w:t xml:space="preserve"> </w:t>
      </w:r>
    </w:p>
    <w:p w14:paraId="729AC016" w14:textId="77777777" w:rsidR="00DE7658" w:rsidRPr="001A440D" w:rsidRDefault="00DE7658" w:rsidP="00DE7658">
      <w:pPr>
        <w:spacing w:line="360" w:lineRule="auto"/>
        <w:rPr>
          <w:rFonts w:ascii="Calibri" w:eastAsia="Malgun Gothic" w:hAnsi="Calibri" w:cs="Calibri"/>
          <w:sz w:val="22"/>
          <w:szCs w:val="22"/>
          <w:highlight w:val="yellow"/>
          <w:lang w:val="en-US"/>
        </w:rPr>
      </w:pPr>
      <w:r w:rsidRPr="001A440D">
        <w:rPr>
          <w:rFonts w:ascii="Calibri" w:eastAsia="Malgun Gothic" w:hAnsi="Calibri" w:cs="Calibri"/>
          <w:sz w:val="22"/>
          <w:szCs w:val="22"/>
          <w:highlight w:val="yellow"/>
          <w:lang w:val="en-US"/>
        </w:rPr>
        <w:t>For travel vaccination, benefits outweighed risks for DALYs among adults aged 18</w:t>
      </w:r>
      <w:r w:rsidRPr="001A440D">
        <w:rPr>
          <w:rFonts w:ascii="Calibri" w:eastAsia="Malgun Gothic" w:hAnsi="Calibri" w:cs="Calibri" w:hint="eastAsia"/>
          <w:sz w:val="22"/>
          <w:szCs w:val="22"/>
          <w:highlight w:val="yellow"/>
          <w:lang w:val="en-US"/>
        </w:rPr>
        <w:t>–</w:t>
      </w:r>
      <w:r w:rsidRPr="001A440D">
        <w:rPr>
          <w:rFonts w:ascii="Calibri" w:eastAsia="Malgun Gothic" w:hAnsi="Calibri" w:cs="Calibri"/>
          <w:sz w:val="22"/>
          <w:szCs w:val="22"/>
          <w:highlight w:val="yellow"/>
          <w:lang w:val="en-US"/>
        </w:rPr>
        <w:t xml:space="preserve">64 years travelling for </w:t>
      </w:r>
      <w:r w:rsidRPr="001A440D">
        <w:rPr>
          <w:rFonts w:ascii="Symbol" w:eastAsia="Symbol" w:hAnsi="Symbol" w:cs="Symbol"/>
          <w:sz w:val="22"/>
          <w:szCs w:val="22"/>
          <w:highlight w:val="yellow"/>
          <w:lang w:val="en-US"/>
        </w:rPr>
        <w:t>³</w:t>
      </w:r>
      <w:r>
        <w:rPr>
          <w:rFonts w:ascii="Calibri" w:eastAsia="Malgun Gothic" w:hAnsi="Calibri" w:cs="Calibri"/>
          <w:sz w:val="22"/>
          <w:szCs w:val="22"/>
          <w:highlight w:val="yellow"/>
          <w:lang w:val="en-US"/>
        </w:rPr>
        <w:t xml:space="preserve"> </w:t>
      </w:r>
      <w:r w:rsidRPr="001A440D">
        <w:rPr>
          <w:rFonts w:ascii="Calibri" w:eastAsia="Malgun Gothic" w:hAnsi="Calibri" w:cs="Calibri"/>
          <w:sz w:val="22"/>
          <w:szCs w:val="22"/>
          <w:highlight w:val="yellow"/>
          <w:lang w:val="en-US"/>
        </w:rPr>
        <w:t>30 days to high or moderate transmission settings. For deaths and SAEs, risks outweighed benefits across age groups and scenarios. The probability that benefits outweighed risks increased with travel duration and total attack rates</w:t>
      </w:r>
      <w:r>
        <w:rPr>
          <w:rFonts w:ascii="Calibri" w:eastAsia="Malgun Gothic" w:hAnsi="Calibri" w:cs="Calibri" w:hint="eastAsia"/>
          <w:sz w:val="22"/>
          <w:szCs w:val="22"/>
          <w:highlight w:val="yellow"/>
          <w:lang w:val="en-US"/>
        </w:rPr>
        <w:t xml:space="preserve"> (</w:t>
      </w:r>
      <w:r>
        <w:rPr>
          <w:rFonts w:ascii="Calibri" w:eastAsia="Malgun Gothic" w:hAnsi="Calibri" w:cs="Calibri"/>
          <w:sz w:val="22"/>
          <w:szCs w:val="22"/>
          <w:highlight w:val="yellow"/>
          <w:lang w:val="en-US"/>
        </w:rPr>
        <w:t xml:space="preserve">Table 1; Figure </w:t>
      </w:r>
      <w:r>
        <w:rPr>
          <w:rFonts w:ascii="Calibri" w:eastAsia="Malgun Gothic" w:hAnsi="Calibri" w:cs="Calibri" w:hint="eastAsia"/>
          <w:sz w:val="22"/>
          <w:szCs w:val="22"/>
          <w:highlight w:val="yellow"/>
          <w:lang w:val="en-US"/>
        </w:rPr>
        <w:t>1</w:t>
      </w:r>
      <w:r>
        <w:rPr>
          <w:rFonts w:ascii="Calibri" w:eastAsia="Malgun Gothic" w:hAnsi="Calibri" w:cs="Calibri"/>
          <w:sz w:val="22"/>
          <w:szCs w:val="22"/>
          <w:highlight w:val="yellow"/>
          <w:lang w:val="en-US"/>
        </w:rPr>
        <w:t>A)</w:t>
      </w:r>
      <w:r w:rsidRPr="001A440D">
        <w:rPr>
          <w:rFonts w:ascii="Calibri" w:eastAsia="Malgun Gothic" w:hAnsi="Calibri" w:cs="Calibri"/>
          <w:sz w:val="22"/>
          <w:szCs w:val="22"/>
          <w:highlight w:val="yellow"/>
          <w:lang w:val="en-US"/>
        </w:rPr>
        <w:t xml:space="preserve">. </w:t>
      </w:r>
    </w:p>
    <w:p w14:paraId="35C80168" w14:textId="77777777" w:rsidR="00DE7658" w:rsidRPr="001A440D" w:rsidRDefault="00DE7658" w:rsidP="00DE7658">
      <w:pPr>
        <w:spacing w:line="360" w:lineRule="auto"/>
        <w:rPr>
          <w:rFonts w:ascii="Calibri" w:eastAsia="Malgun Gothic" w:hAnsi="Calibri" w:cs="Calibri"/>
          <w:sz w:val="22"/>
          <w:szCs w:val="22"/>
          <w:highlight w:val="yellow"/>
          <w:lang w:val="en-US"/>
        </w:rPr>
      </w:pPr>
    </w:p>
    <w:p w14:paraId="54EABE88" w14:textId="77777777" w:rsidR="00DE7658" w:rsidRPr="00286B7A" w:rsidRDefault="00DE7658" w:rsidP="00DE7658">
      <w:pPr>
        <w:spacing w:line="360" w:lineRule="auto"/>
        <w:rPr>
          <w:rFonts w:ascii="Calibri" w:eastAsia="Malgun Gothic" w:hAnsi="Calibri" w:cs="Calibri"/>
          <w:sz w:val="22"/>
          <w:szCs w:val="22"/>
          <w:highlight w:val="yellow"/>
          <w:lang w:val="en-US"/>
        </w:rPr>
      </w:pPr>
      <w:r w:rsidRPr="001A440D">
        <w:rPr>
          <w:rStyle w:val="4Char"/>
          <w:i w:val="0"/>
          <w:iCs w:val="0"/>
          <w:color w:val="000000" w:themeColor="text1"/>
          <w:highlight w:val="yellow"/>
        </w:rPr>
        <w:t>In high transmission settings</w:t>
      </w:r>
      <w:r w:rsidRPr="001A440D">
        <w:rPr>
          <w:rFonts w:ascii="Calibri" w:eastAsia="Malgun Gothic" w:hAnsi="Calibri" w:cs="Calibri"/>
          <w:color w:val="000000" w:themeColor="text1"/>
          <w:sz w:val="22"/>
          <w:szCs w:val="22"/>
          <w:highlight w:val="yellow"/>
          <w:lang w:val="en-US"/>
        </w:rPr>
        <w:t xml:space="preserve">, DALY benefits outweighed risks for adults aged </w:t>
      </w:r>
      <w:r w:rsidRPr="001A440D">
        <w:rPr>
          <w:rFonts w:ascii="Calibri" w:eastAsia="Malgun Gothic" w:hAnsi="Calibri" w:cs="Calibri"/>
          <w:sz w:val="22"/>
          <w:szCs w:val="22"/>
          <w:highlight w:val="yellow"/>
          <w:lang w:val="en-US"/>
        </w:rPr>
        <w:t xml:space="preserve">18–64 years </w:t>
      </w:r>
      <w:r w:rsidRPr="6757D93D">
        <w:rPr>
          <w:rFonts w:ascii="Calibri" w:eastAsia="Malgun Gothic" w:hAnsi="Calibri" w:cs="Calibri"/>
          <w:sz w:val="22"/>
          <w:szCs w:val="22"/>
          <w:highlight w:val="yellow"/>
          <w:lang w:val="en-US"/>
        </w:rPr>
        <w:t>only from</w:t>
      </w:r>
      <w:r w:rsidRPr="001A440D">
        <w:rPr>
          <w:rFonts w:ascii="Calibri" w:eastAsia="Malgun Gothic" w:hAnsi="Calibri" w:cs="Calibri"/>
          <w:sz w:val="22"/>
          <w:szCs w:val="22"/>
          <w:highlight w:val="yellow"/>
          <w:lang w:val="en-US"/>
        </w:rPr>
        <w:t xml:space="preserve"> 30-day travel onwards, reaching 75.24 (6.73–760.21) DALYs prevented per DALY caused under 90-day travel. For older adults aged </w:t>
      </w:r>
      <w:r w:rsidRPr="001A440D">
        <w:rPr>
          <w:rFonts w:ascii="Symbol" w:eastAsia="Symbol" w:hAnsi="Symbol" w:cs="Symbol"/>
          <w:sz w:val="22"/>
          <w:szCs w:val="22"/>
          <w:highlight w:val="yellow"/>
          <w:lang w:val="en-US"/>
        </w:rPr>
        <w:t>³</w:t>
      </w:r>
      <w:r w:rsidRPr="001A440D">
        <w:rPr>
          <w:rFonts w:ascii="Calibri" w:eastAsia="Malgun Gothic" w:hAnsi="Calibri" w:cs="Calibri"/>
          <w:sz w:val="22"/>
          <w:szCs w:val="22"/>
          <w:highlight w:val="yellow"/>
          <w:lang w:val="en-US"/>
        </w:rPr>
        <w:t xml:space="preserve"> 65 years, risks outweighed benefits</w:t>
      </w:r>
      <w:r>
        <w:rPr>
          <w:rFonts w:ascii="Calibri" w:eastAsia="Malgun Gothic" w:hAnsi="Calibri" w:cs="Calibri" w:hint="eastAsia"/>
          <w:sz w:val="22"/>
          <w:szCs w:val="22"/>
          <w:highlight w:val="yellow"/>
          <w:lang w:val="en-US"/>
        </w:rPr>
        <w:t xml:space="preserve"> </w:t>
      </w:r>
      <w:r>
        <w:rPr>
          <w:rFonts w:ascii="Calibri" w:eastAsia="Malgun Gothic" w:hAnsi="Calibri" w:cs="Calibri"/>
          <w:sz w:val="22"/>
          <w:szCs w:val="22"/>
          <w:highlight w:val="yellow"/>
          <w:lang w:val="en-US"/>
        </w:rPr>
        <w:t>for DALYs</w:t>
      </w:r>
      <w:r w:rsidRPr="001A440D">
        <w:rPr>
          <w:rFonts w:ascii="Calibri" w:eastAsia="Malgun Gothic" w:hAnsi="Calibri" w:cs="Calibri"/>
          <w:sz w:val="22"/>
          <w:szCs w:val="22"/>
          <w:highlight w:val="yellow"/>
          <w:lang w:val="en-US"/>
        </w:rPr>
        <w:t xml:space="preserve"> across all travel durations except for 90-day travel where benefits and risks </w:t>
      </w:r>
      <w:r>
        <w:rPr>
          <w:rFonts w:ascii="Calibri" w:eastAsia="Malgun Gothic" w:hAnsi="Calibri" w:cs="Calibri"/>
          <w:sz w:val="22"/>
          <w:szCs w:val="22"/>
          <w:highlight w:val="yellow"/>
          <w:lang w:val="en-US"/>
        </w:rPr>
        <w:t>were</w:t>
      </w:r>
      <w:r w:rsidRPr="001A440D">
        <w:rPr>
          <w:rFonts w:ascii="Calibri" w:eastAsia="Malgun Gothic" w:hAnsi="Calibri" w:cs="Calibri"/>
          <w:sz w:val="22"/>
          <w:szCs w:val="22"/>
          <w:highlight w:val="yellow"/>
          <w:lang w:val="en-US"/>
        </w:rPr>
        <w:t xml:space="preserve"> comparable (3.01 [0.22–37.34]; 79.8% probability of benefits outweighing risks</w:t>
      </w:r>
      <w:r w:rsidRPr="0002767A">
        <w:rPr>
          <w:rFonts w:ascii="Calibri" w:eastAsia="Malgun Gothic" w:hAnsi="Calibri" w:cs="Calibri"/>
          <w:sz w:val="22"/>
          <w:szCs w:val="22"/>
          <w:highlight w:val="yellow"/>
          <w:lang w:val="en-US"/>
        </w:rPr>
        <w:t xml:space="preserve">) (Table 1; Figure </w:t>
      </w:r>
      <w:r>
        <w:rPr>
          <w:rFonts w:ascii="Calibri" w:eastAsia="Malgun Gothic" w:hAnsi="Calibri" w:cs="Calibri" w:hint="eastAsia"/>
          <w:sz w:val="22"/>
          <w:szCs w:val="22"/>
          <w:highlight w:val="yellow"/>
          <w:lang w:val="en-US"/>
        </w:rPr>
        <w:t>1</w:t>
      </w:r>
      <w:r w:rsidRPr="0002767A">
        <w:rPr>
          <w:rFonts w:ascii="Calibri" w:eastAsia="Malgun Gothic" w:hAnsi="Calibri" w:cs="Calibri"/>
          <w:sz w:val="22"/>
          <w:szCs w:val="22"/>
          <w:highlight w:val="yellow"/>
          <w:lang w:val="en-US"/>
        </w:rPr>
        <w:t xml:space="preserve">b). </w:t>
      </w:r>
      <w:r w:rsidRPr="00286B7A">
        <w:rPr>
          <w:rFonts w:ascii="Calibri" w:eastAsia="Malgun Gothic" w:hAnsi="Calibri" w:cs="Calibri"/>
          <w:sz w:val="22"/>
          <w:szCs w:val="22"/>
          <w:highlight w:val="yellow"/>
          <w:lang w:val="en-US"/>
        </w:rPr>
        <w:t xml:space="preserve">SAE and death risks outweighed benefits across all travel durations for both age groups, except under 90-day travel in adults aged 18–64 years where SAE benefits and risks were comparable (BRR 1.05 [0.09–10.54]; 51.7% probability) (Table 1; Figure 1b–d). </w:t>
      </w:r>
    </w:p>
    <w:p w14:paraId="4C9C59BF" w14:textId="77777777" w:rsidR="00DE7658" w:rsidRDefault="00DE7658" w:rsidP="00DE7658">
      <w:pPr>
        <w:spacing w:line="360" w:lineRule="auto"/>
        <w:rPr>
          <w:rFonts w:ascii="Calibri" w:eastAsia="Malgun Gothic" w:hAnsi="Calibri" w:cs="Calibri"/>
          <w:sz w:val="22"/>
          <w:szCs w:val="22"/>
          <w:highlight w:val="yellow"/>
          <w:lang w:val="en-US"/>
        </w:rPr>
      </w:pPr>
    </w:p>
    <w:p w14:paraId="252BD545" w14:textId="77777777" w:rsidR="00DE7658" w:rsidRDefault="00DE7658" w:rsidP="00DE7658">
      <w:pPr>
        <w:spacing w:line="360" w:lineRule="auto"/>
        <w:rPr>
          <w:rFonts w:ascii="Calibri" w:eastAsia="Malgun Gothic" w:hAnsi="Calibri" w:cs="Calibri"/>
          <w:sz w:val="22"/>
          <w:szCs w:val="22"/>
          <w:lang w:val="en-US"/>
        </w:rPr>
      </w:pPr>
      <w:r w:rsidRPr="001A440D">
        <w:rPr>
          <w:rFonts w:ascii="Calibri" w:eastAsia="Malgun Gothic" w:hAnsi="Calibri" w:cs="Calibri"/>
          <w:sz w:val="22"/>
          <w:szCs w:val="22"/>
          <w:highlight w:val="yellow"/>
          <w:lang w:val="en-US"/>
        </w:rPr>
        <w:t xml:space="preserve">In moderate transmission settings, </w:t>
      </w:r>
      <w:r w:rsidRPr="001A440D">
        <w:rPr>
          <w:rFonts w:ascii="Calibri" w:eastAsia="Malgun Gothic" w:hAnsi="Calibri" w:cs="Calibri"/>
          <w:color w:val="000000" w:themeColor="text1"/>
          <w:sz w:val="22"/>
          <w:szCs w:val="22"/>
          <w:highlight w:val="yellow"/>
          <w:lang w:val="en-US"/>
        </w:rPr>
        <w:t xml:space="preserve">DALY benefits outweighed risks for adults aged </w:t>
      </w:r>
      <w:r w:rsidRPr="001A440D">
        <w:rPr>
          <w:rFonts w:ascii="Calibri" w:eastAsia="Malgun Gothic" w:hAnsi="Calibri" w:cs="Calibri"/>
          <w:sz w:val="22"/>
          <w:szCs w:val="22"/>
          <w:highlight w:val="yellow"/>
          <w:lang w:val="en-US"/>
        </w:rPr>
        <w:t xml:space="preserve">18–64 years from 30-day travel onwards, reaching 27.08 (4.01–172.12) DALYs prevented per DALY caused under 90-day travel. For older adults aged </w:t>
      </w:r>
      <w:r w:rsidRPr="001A440D">
        <w:rPr>
          <w:rFonts w:ascii="Symbol" w:eastAsia="Symbol" w:hAnsi="Symbol" w:cs="Symbol"/>
          <w:sz w:val="22"/>
          <w:szCs w:val="22"/>
          <w:highlight w:val="yellow"/>
          <w:lang w:val="en-US"/>
        </w:rPr>
        <w:t>³</w:t>
      </w:r>
      <w:r w:rsidRPr="001A440D">
        <w:rPr>
          <w:rFonts w:ascii="Calibri" w:eastAsia="Malgun Gothic" w:hAnsi="Calibri" w:cs="Calibri"/>
          <w:sz w:val="22"/>
          <w:szCs w:val="22"/>
          <w:highlight w:val="yellow"/>
          <w:lang w:val="en-US"/>
        </w:rPr>
        <w:t xml:space="preserve"> 65 years, risks outweighed benefits </w:t>
      </w:r>
      <w:r>
        <w:rPr>
          <w:rFonts w:ascii="Calibri" w:eastAsia="Malgun Gothic" w:hAnsi="Calibri" w:cs="Calibri"/>
          <w:sz w:val="22"/>
          <w:szCs w:val="22"/>
          <w:highlight w:val="yellow"/>
          <w:lang w:val="en-US"/>
        </w:rPr>
        <w:t xml:space="preserve">for DALY </w:t>
      </w:r>
      <w:r w:rsidRPr="001A440D">
        <w:rPr>
          <w:rFonts w:ascii="Calibri" w:eastAsia="Malgun Gothic" w:hAnsi="Calibri" w:cs="Calibri"/>
          <w:sz w:val="22"/>
          <w:szCs w:val="22"/>
          <w:highlight w:val="yellow"/>
          <w:lang w:val="en-US"/>
        </w:rPr>
        <w:t>across all durations except for 90-day travel where benefits and risks were similar (1.07 [0.12–9.66]; 52.5% probability of benefits outweighing risks</w:t>
      </w:r>
      <w:r w:rsidRPr="00EF06DC">
        <w:rPr>
          <w:rFonts w:ascii="Calibri" w:eastAsia="Malgun Gothic" w:hAnsi="Calibri" w:cs="Calibri"/>
          <w:sz w:val="22"/>
          <w:szCs w:val="22"/>
          <w:highlight w:val="yellow"/>
          <w:lang w:val="en-US"/>
        </w:rPr>
        <w:t>)</w:t>
      </w:r>
      <w:r>
        <w:rPr>
          <w:rFonts w:ascii="Calibri" w:eastAsia="Malgun Gothic" w:hAnsi="Calibri" w:cs="Calibri"/>
          <w:sz w:val="22"/>
          <w:szCs w:val="22"/>
          <w:highlight w:val="yellow"/>
          <w:lang w:val="en-US"/>
        </w:rPr>
        <w:t xml:space="preserve">. </w:t>
      </w:r>
      <w:r w:rsidRPr="00151A1D">
        <w:rPr>
          <w:rFonts w:ascii="Calibri" w:eastAsia="Malgun Gothic" w:hAnsi="Calibri" w:cs="Calibri"/>
          <w:sz w:val="22"/>
          <w:szCs w:val="22"/>
          <w:highlight w:val="yellow"/>
          <w:lang w:val="en-US"/>
        </w:rPr>
        <w:t>SAE and death risks outweighed benefits across all durations and age groups (Table 1; Figure 1b–d).</w:t>
      </w:r>
    </w:p>
    <w:p w14:paraId="1DA18C97" w14:textId="77777777" w:rsidR="00DE7658" w:rsidRPr="001A440D" w:rsidRDefault="00DE7658" w:rsidP="00DE7658">
      <w:pPr>
        <w:spacing w:line="360" w:lineRule="auto"/>
        <w:rPr>
          <w:rFonts w:ascii="Calibri" w:eastAsia="Malgun Gothic" w:hAnsi="Calibri" w:cs="Calibri"/>
          <w:sz w:val="22"/>
          <w:szCs w:val="22"/>
          <w:highlight w:val="yellow"/>
          <w:lang w:val="en-US"/>
        </w:rPr>
      </w:pPr>
    </w:p>
    <w:p w14:paraId="599B2C22" w14:textId="77777777" w:rsidR="00DE7658" w:rsidRDefault="00DE7658" w:rsidP="00DE7658">
      <w:pPr>
        <w:spacing w:line="360" w:lineRule="auto"/>
        <w:rPr>
          <w:rFonts w:ascii="Calibri" w:eastAsia="Malgun Gothic" w:hAnsi="Calibri" w:cs="Calibri"/>
          <w:sz w:val="22"/>
          <w:szCs w:val="22"/>
          <w:lang w:val="en-US"/>
        </w:rPr>
      </w:pPr>
      <w:r w:rsidRPr="001A440D">
        <w:rPr>
          <w:rFonts w:ascii="Calibri" w:eastAsia="Malgun Gothic" w:hAnsi="Calibri" w:cs="Calibri"/>
          <w:sz w:val="22"/>
          <w:szCs w:val="22"/>
          <w:highlight w:val="yellow"/>
          <w:lang w:val="en-US"/>
        </w:rPr>
        <w:lastRenderedPageBreak/>
        <w:t xml:space="preserve">In low transmission settings, risks outweighed benefits across all travel durations, age groups, and outcomes except for 90-day travel among adults aged 18-64 </w:t>
      </w:r>
      <w:r w:rsidRPr="00F22514">
        <w:rPr>
          <w:rFonts w:ascii="Calibri" w:eastAsia="Malgun Gothic" w:hAnsi="Calibri" w:cs="Calibri"/>
          <w:sz w:val="22"/>
          <w:szCs w:val="22"/>
          <w:highlight w:val="yellow"/>
          <w:lang w:val="en-US"/>
        </w:rPr>
        <w:t>years (3.29 [0.62–56.64] DALYs prevented per DALY caused; 91.5% probability of benefits outweighing risks</w:t>
      </w:r>
      <w:r w:rsidRPr="00A107FA">
        <w:rPr>
          <w:rFonts w:ascii="Calibri" w:eastAsia="Malgun Gothic" w:hAnsi="Calibri" w:cs="Calibri"/>
          <w:sz w:val="22"/>
          <w:szCs w:val="22"/>
          <w:highlight w:val="yellow"/>
          <w:lang w:val="en-US"/>
        </w:rPr>
        <w:t>). SAE and death risks outweighed benefits across all durations and age groups, with BRRs remaining below 1 even under 90-day travel (Table 1; Figure 1b–d).</w:t>
      </w:r>
    </w:p>
    <w:p w14:paraId="30F905CB" w14:textId="77777777" w:rsidR="00DE7658" w:rsidRPr="001A440D" w:rsidRDefault="00DE7658" w:rsidP="00DE7658">
      <w:pPr>
        <w:spacing w:line="360" w:lineRule="auto"/>
        <w:rPr>
          <w:rFonts w:ascii="Calibri" w:eastAsia="Malgun Gothic" w:hAnsi="Calibri" w:cs="Calibri"/>
          <w:sz w:val="22"/>
          <w:szCs w:val="22"/>
          <w:highlight w:val="yellow"/>
          <w:lang w:val="en-US"/>
        </w:rPr>
      </w:pPr>
    </w:p>
    <w:p w14:paraId="5C6016BC" w14:textId="77777777" w:rsidR="00DE7658" w:rsidRPr="001A440D" w:rsidRDefault="00DE7658" w:rsidP="00DE7658">
      <w:pPr>
        <w:spacing w:line="360" w:lineRule="auto"/>
        <w:rPr>
          <w:rFonts w:ascii="Calibri" w:eastAsia="Malgun Gothic" w:hAnsi="Calibri" w:cs="Calibri"/>
          <w:b/>
          <w:sz w:val="22"/>
          <w:szCs w:val="22"/>
          <w:highlight w:val="yellow"/>
        </w:rPr>
      </w:pPr>
      <w:r w:rsidRPr="001A440D">
        <w:rPr>
          <w:rStyle w:val="a7"/>
          <w:rFonts w:ascii="Calibri" w:eastAsia="Malgun Gothic" w:hAnsi="Calibri" w:cs="Calibri"/>
          <w:i w:val="0"/>
          <w:sz w:val="22"/>
          <w:szCs w:val="22"/>
          <w:highlight w:val="yellow"/>
        </w:rPr>
        <w:t>Outbreak response immunisation</w:t>
      </w:r>
      <w:r w:rsidRPr="001A440D">
        <w:rPr>
          <w:rStyle w:val="a7"/>
          <w:rFonts w:ascii="Calibri" w:eastAsia="Malgun Gothic" w:hAnsi="Calibri" w:cs="Calibri"/>
          <w:i w:val="0"/>
          <w:iCs w:val="0"/>
          <w:sz w:val="22"/>
          <w:szCs w:val="22"/>
          <w:highlight w:val="yellow"/>
        </w:rPr>
        <w:t xml:space="preserve"> </w:t>
      </w:r>
    </w:p>
    <w:p w14:paraId="6D5509E7" w14:textId="77777777" w:rsidR="00DE7658" w:rsidRPr="001A440D" w:rsidRDefault="00DE7658" w:rsidP="00DE7658">
      <w:pPr>
        <w:spacing w:line="360" w:lineRule="auto"/>
        <w:rPr>
          <w:rFonts w:ascii="Calibri" w:eastAsia="Malgun Gothic" w:hAnsi="Calibri" w:cs="Calibri"/>
          <w:sz w:val="22"/>
          <w:szCs w:val="22"/>
          <w:highlight w:val="yellow"/>
          <w:lang w:val="en-US"/>
        </w:rPr>
      </w:pPr>
      <w:r w:rsidRPr="69030A31">
        <w:rPr>
          <w:rFonts w:ascii="Calibri" w:eastAsia="Malgun Gothic" w:hAnsi="Calibri" w:cs="Calibri"/>
          <w:sz w:val="22"/>
          <w:szCs w:val="22"/>
          <w:highlight w:val="yellow"/>
          <w:lang w:val="en-US"/>
        </w:rPr>
        <w:t xml:space="preserve">For outbreak response immunization, DALY benefits outweighed risks across all transmission settings and vaccination scenarios for adults aged 18-64 years. For older adults aged ≥65 years, the BRR depended on vaccine protection mechanism, transmission setting, and serostatus based risk assumptions (Table 2; Figure 2a).  </w:t>
      </w:r>
    </w:p>
    <w:p w14:paraId="7269DA6D" w14:textId="77777777" w:rsidR="00DE7658" w:rsidRPr="001A440D" w:rsidRDefault="00DE7658" w:rsidP="00DE7658">
      <w:pPr>
        <w:spacing w:line="360" w:lineRule="auto"/>
        <w:rPr>
          <w:rFonts w:ascii="Calibri" w:eastAsia="Malgun Gothic" w:hAnsi="Calibri" w:cs="Calibri"/>
          <w:sz w:val="22"/>
          <w:szCs w:val="22"/>
          <w:highlight w:val="yellow"/>
          <w:lang w:val="en-US"/>
        </w:rPr>
      </w:pPr>
    </w:p>
    <w:p w14:paraId="61ED7D02" w14:textId="77777777" w:rsidR="00DE7658" w:rsidRPr="00AD5B34" w:rsidRDefault="00DE7658" w:rsidP="00DE7658">
      <w:pPr>
        <w:spacing w:line="360" w:lineRule="auto"/>
        <w:rPr>
          <w:rFonts w:ascii="Calibri" w:eastAsia="Malgun Gothic" w:hAnsi="Calibri" w:cs="Calibri"/>
          <w:sz w:val="22"/>
          <w:szCs w:val="22"/>
          <w:highlight w:val="yellow"/>
          <w:lang w:val="en-US"/>
        </w:rPr>
      </w:pPr>
      <w:r w:rsidRPr="00AD5B34">
        <w:rPr>
          <w:rFonts w:ascii="Calibri" w:eastAsia="Malgun Gothic" w:hAnsi="Calibri" w:cs="Calibri"/>
          <w:sz w:val="22"/>
          <w:szCs w:val="22"/>
          <w:highlight w:val="yellow"/>
          <w:lang w:val="en-US"/>
        </w:rPr>
        <w:t xml:space="preserve">In high transmission settings, DALY benefits outweighed risks for adults aged 18–64 years across all scenarios, with up to 671.32 (68.58–5382.27) DALYs prevented per DALY caused when the vaccine protected against both infection and disease and seropositive individuals were protected from vaccine risks. SAE benefits also outweighed risks for this age group when the vaccine protected against both infection and disease. For older adults aged ≥65 years, DALY benefits outweighed risks when the vaccine protected against both infection and disease, reaching 34.25 (2.79–368.90) DALYs prevented per DALY caused when seropositive individuals were protected from vaccine risks. SAE benefits outweighed risks only when seropositive individuals were protected from vaccine risks (5.95 [0.64–37.97]; 95% probability of benefits outweighing risks). Death risks outweighed benefits across all scenarios in older adults, although the probability that benefits outweighed death risks reached 77% when the </w:t>
      </w:r>
      <w:r w:rsidRPr="00AD5B34">
        <w:rPr>
          <w:rFonts w:ascii="Calibri" w:eastAsia="Malgun Gothic" w:hAnsi="Calibri" w:cs="Calibri"/>
          <w:sz w:val="22"/>
          <w:szCs w:val="22"/>
          <w:highlight w:val="yellow"/>
          <w:lang w:val="en-US"/>
        </w:rPr>
        <w:lastRenderedPageBreak/>
        <w:t>vaccine protected against both infection and disease and seropositive individuals were protected from vaccine risks (Table 2; Figure 2b–d).</w:t>
      </w:r>
    </w:p>
    <w:p w14:paraId="6EE1A7D7" w14:textId="77777777" w:rsidR="00DE7658" w:rsidRDefault="00DE7658" w:rsidP="00DE7658">
      <w:pPr>
        <w:spacing w:line="360" w:lineRule="auto"/>
        <w:rPr>
          <w:rFonts w:ascii="Calibri" w:eastAsia="Malgun Gothic" w:hAnsi="Calibri" w:cs="Calibri"/>
          <w:sz w:val="22"/>
          <w:szCs w:val="22"/>
          <w:highlight w:val="yellow"/>
          <w:lang w:val="en-US"/>
        </w:rPr>
      </w:pPr>
      <w:r w:rsidRPr="001A440D">
        <w:rPr>
          <w:rFonts w:ascii="Calibri" w:eastAsia="Malgun Gothic" w:hAnsi="Calibri" w:cs="Calibri"/>
          <w:sz w:val="22"/>
          <w:szCs w:val="22"/>
          <w:highlight w:val="yellow"/>
          <w:lang w:val="en-US"/>
        </w:rPr>
        <w:t xml:space="preserve">In moderate transmission settings, DALY benefits outweighed risks for adults aged 18-64 years across </w:t>
      </w:r>
      <w:r>
        <w:rPr>
          <w:rFonts w:ascii="Calibri" w:eastAsia="Malgun Gothic" w:hAnsi="Calibri" w:cs="Calibri"/>
          <w:sz w:val="22"/>
          <w:szCs w:val="22"/>
          <w:highlight w:val="yellow"/>
          <w:lang w:val="en-US"/>
        </w:rPr>
        <w:t xml:space="preserve">all scenarios, reaching </w:t>
      </w:r>
      <w:r w:rsidRPr="001A440D">
        <w:rPr>
          <w:rFonts w:ascii="Calibri" w:eastAsia="Malgun Gothic" w:hAnsi="Calibri" w:cs="Calibri"/>
          <w:sz w:val="22"/>
          <w:szCs w:val="22"/>
          <w:highlight w:val="yellow"/>
          <w:lang w:val="en-US"/>
        </w:rPr>
        <w:t>197.30 (24.38–1334.91) DALYs</w:t>
      </w:r>
      <w:r w:rsidRPr="00AD5B34">
        <w:rPr>
          <w:rFonts w:ascii="Calibri" w:eastAsia="Malgun Gothic" w:hAnsi="Calibri" w:cs="Calibri"/>
          <w:sz w:val="22"/>
          <w:szCs w:val="22"/>
          <w:highlight w:val="yellow"/>
          <w:lang w:val="en-US"/>
        </w:rPr>
        <w:t xml:space="preserve"> </w:t>
      </w:r>
      <w:r w:rsidRPr="001A440D">
        <w:rPr>
          <w:rFonts w:ascii="Calibri" w:eastAsia="Malgun Gothic" w:hAnsi="Calibri" w:cs="Calibri"/>
          <w:sz w:val="22"/>
          <w:szCs w:val="22"/>
          <w:highlight w:val="yellow"/>
          <w:lang w:val="en-US"/>
        </w:rPr>
        <w:t>prevented per DALY caused</w:t>
      </w:r>
      <w:r>
        <w:rPr>
          <w:rFonts w:ascii="Calibri" w:eastAsia="Malgun Gothic" w:hAnsi="Calibri" w:cs="Calibri"/>
          <w:sz w:val="22"/>
          <w:szCs w:val="22"/>
          <w:highlight w:val="yellow"/>
          <w:lang w:val="en-US"/>
        </w:rPr>
        <w:t xml:space="preserve"> when the </w:t>
      </w:r>
      <w:r w:rsidRPr="001A440D">
        <w:rPr>
          <w:rFonts w:ascii="Calibri" w:eastAsia="Malgun Gothic" w:hAnsi="Calibri" w:cs="Calibri"/>
          <w:sz w:val="22"/>
          <w:szCs w:val="22"/>
          <w:highlight w:val="yellow"/>
          <w:lang w:val="en-US"/>
        </w:rPr>
        <w:t>vaccine protect</w:t>
      </w:r>
      <w:r>
        <w:rPr>
          <w:rFonts w:ascii="Calibri" w:eastAsia="Malgun Gothic" w:hAnsi="Calibri" w:cs="Calibri"/>
          <w:sz w:val="22"/>
          <w:szCs w:val="22"/>
          <w:highlight w:val="yellow"/>
          <w:lang w:val="en-US"/>
        </w:rPr>
        <w:t>ed</w:t>
      </w:r>
      <w:r w:rsidRPr="001A440D">
        <w:rPr>
          <w:rFonts w:ascii="Calibri" w:eastAsia="Malgun Gothic" w:hAnsi="Calibri" w:cs="Calibri"/>
          <w:sz w:val="22"/>
          <w:szCs w:val="22"/>
          <w:highlight w:val="yellow"/>
          <w:lang w:val="en-US"/>
        </w:rPr>
        <w:t xml:space="preserve"> against both infection and disease and seropositive individuals </w:t>
      </w:r>
      <w:r>
        <w:rPr>
          <w:rFonts w:ascii="Calibri" w:eastAsia="Malgun Gothic" w:hAnsi="Calibri" w:cs="Calibri"/>
          <w:sz w:val="22"/>
          <w:szCs w:val="22"/>
          <w:highlight w:val="yellow"/>
          <w:lang w:val="en-US"/>
        </w:rPr>
        <w:t>were</w:t>
      </w:r>
      <w:r w:rsidRPr="001A440D">
        <w:rPr>
          <w:rFonts w:ascii="Calibri" w:eastAsia="Malgun Gothic" w:hAnsi="Calibri" w:cs="Calibri"/>
          <w:sz w:val="22"/>
          <w:szCs w:val="22"/>
          <w:highlight w:val="yellow"/>
          <w:lang w:val="en-US"/>
        </w:rPr>
        <w:t xml:space="preserve"> protected from vaccine risks</w:t>
      </w:r>
      <w:r w:rsidRPr="007F73DA">
        <w:rPr>
          <w:rFonts w:ascii="Calibri" w:eastAsia="Malgun Gothic" w:hAnsi="Calibri" w:cs="Calibri"/>
          <w:sz w:val="22"/>
          <w:szCs w:val="22"/>
          <w:highlight w:val="yellow"/>
          <w:lang w:val="en-US"/>
        </w:rPr>
        <w:t>. SAE benefits outweighed risks only under the same scenario (5.91 [0.82–33.74]; 96% probability of benefits outweighing risks). For ol</w:t>
      </w:r>
      <w:r w:rsidRPr="001A440D">
        <w:rPr>
          <w:rFonts w:ascii="Calibri" w:eastAsia="Malgun Gothic" w:hAnsi="Calibri" w:cs="Calibri"/>
          <w:sz w:val="22"/>
          <w:szCs w:val="22"/>
          <w:highlight w:val="yellow"/>
          <w:lang w:val="en-US"/>
        </w:rPr>
        <w:t xml:space="preserve">der adults aged </w:t>
      </w:r>
      <w:r w:rsidRPr="001A440D">
        <w:rPr>
          <w:rFonts w:ascii="Calibri" w:eastAsia="Malgun Gothic" w:hAnsi="Calibri" w:cs="Calibri" w:hint="eastAsia"/>
          <w:sz w:val="22"/>
          <w:szCs w:val="22"/>
          <w:highlight w:val="yellow"/>
          <w:lang w:val="en-US"/>
        </w:rPr>
        <w:t>≥</w:t>
      </w:r>
      <w:r w:rsidRPr="001A440D">
        <w:rPr>
          <w:rFonts w:ascii="Calibri" w:eastAsia="Malgun Gothic" w:hAnsi="Calibri" w:cs="Calibri"/>
          <w:sz w:val="22"/>
          <w:szCs w:val="22"/>
          <w:highlight w:val="yellow"/>
          <w:lang w:val="en-US"/>
        </w:rPr>
        <w:t>65 years, DALY benefits outweighed risks only when the vaccine protects against both infection and disease and seropositive individuals are protected from vaccine risks (10.45 [1.06–94.70] DALYs prevented per DALY caused; 98% probability of benefits outweighing risks)</w:t>
      </w:r>
      <w:r>
        <w:rPr>
          <w:rFonts w:ascii="Calibri" w:eastAsia="Malgun Gothic" w:hAnsi="Calibri" w:cs="Calibri"/>
          <w:sz w:val="22"/>
          <w:szCs w:val="22"/>
          <w:highlight w:val="yellow"/>
          <w:lang w:val="en-US"/>
        </w:rPr>
        <w:t>, while SAE and death risks outweighed benefits across all scenarios (Table 2; Figure 2b-d).</w:t>
      </w:r>
    </w:p>
    <w:p w14:paraId="61F0D572" w14:textId="77777777" w:rsidR="00DE7658" w:rsidRPr="001A440D" w:rsidRDefault="00DE7658" w:rsidP="00DE7658">
      <w:pPr>
        <w:spacing w:line="360" w:lineRule="auto"/>
        <w:rPr>
          <w:rFonts w:ascii="Calibri" w:eastAsia="Malgun Gothic" w:hAnsi="Calibri" w:cs="Calibri"/>
          <w:sz w:val="22"/>
          <w:szCs w:val="22"/>
          <w:highlight w:val="yellow"/>
          <w:lang w:val="en-US"/>
        </w:rPr>
      </w:pPr>
    </w:p>
    <w:p w14:paraId="6F395772" w14:textId="77777777" w:rsidR="00DE7658" w:rsidRDefault="00DE7658" w:rsidP="00DE7658">
      <w:pPr>
        <w:spacing w:line="360" w:lineRule="auto"/>
        <w:rPr>
          <w:rFonts w:ascii="Calibri" w:eastAsia="Malgun Gothic" w:hAnsi="Calibri" w:cs="Calibri"/>
          <w:sz w:val="22"/>
          <w:szCs w:val="22"/>
          <w:highlight w:val="yellow"/>
          <w:lang w:val="en-US"/>
        </w:rPr>
      </w:pPr>
      <w:r w:rsidRPr="001A440D">
        <w:rPr>
          <w:rFonts w:ascii="Calibri" w:eastAsia="Malgun Gothic" w:hAnsi="Calibri" w:cs="Calibri"/>
          <w:sz w:val="22"/>
          <w:szCs w:val="22"/>
          <w:highlight w:val="yellow"/>
          <w:lang w:val="en-US"/>
        </w:rPr>
        <w:t xml:space="preserve">In low transmission settings, DALY benefits outweighed risks for adults aged 18-64 years across </w:t>
      </w:r>
      <w:r>
        <w:rPr>
          <w:rFonts w:ascii="Calibri" w:eastAsia="Malgun Gothic" w:hAnsi="Calibri" w:cs="Calibri"/>
          <w:sz w:val="22"/>
          <w:szCs w:val="22"/>
          <w:highlight w:val="yellow"/>
          <w:lang w:val="en-US"/>
        </w:rPr>
        <w:t xml:space="preserve">all scenarios, reaching </w:t>
      </w:r>
      <w:r w:rsidRPr="001A440D">
        <w:rPr>
          <w:rFonts w:ascii="Calibri" w:eastAsia="Malgun Gothic" w:hAnsi="Calibri" w:cs="Calibri"/>
          <w:sz w:val="22"/>
          <w:szCs w:val="22"/>
          <w:highlight w:val="yellow"/>
          <w:lang w:val="en-US"/>
        </w:rPr>
        <w:t>32.56 (4.85–1308.57) DALYs were prevented per DALY caused</w:t>
      </w:r>
      <w:r>
        <w:rPr>
          <w:rFonts w:ascii="Calibri" w:eastAsia="Malgun Gothic" w:hAnsi="Calibri" w:cs="Calibri"/>
          <w:sz w:val="22"/>
          <w:szCs w:val="22"/>
          <w:highlight w:val="yellow"/>
          <w:lang w:val="en-US"/>
        </w:rPr>
        <w:t xml:space="preserve"> when the </w:t>
      </w:r>
      <w:r w:rsidRPr="001A440D">
        <w:rPr>
          <w:rFonts w:ascii="Calibri" w:eastAsia="Malgun Gothic" w:hAnsi="Calibri" w:cs="Calibri"/>
          <w:sz w:val="22"/>
          <w:szCs w:val="22"/>
          <w:highlight w:val="yellow"/>
          <w:lang w:val="en-US"/>
        </w:rPr>
        <w:t>vaccine protect</w:t>
      </w:r>
      <w:r>
        <w:rPr>
          <w:rFonts w:ascii="Calibri" w:eastAsia="Malgun Gothic" w:hAnsi="Calibri" w:cs="Calibri"/>
          <w:sz w:val="22"/>
          <w:szCs w:val="22"/>
          <w:highlight w:val="yellow"/>
          <w:lang w:val="en-US"/>
        </w:rPr>
        <w:t>ed</w:t>
      </w:r>
      <w:r w:rsidRPr="001A440D">
        <w:rPr>
          <w:rFonts w:ascii="Calibri" w:eastAsia="Malgun Gothic" w:hAnsi="Calibri" w:cs="Calibri"/>
          <w:sz w:val="22"/>
          <w:szCs w:val="22"/>
          <w:highlight w:val="yellow"/>
          <w:lang w:val="en-US"/>
        </w:rPr>
        <w:t xml:space="preserve"> against both infection and disease and seropositive individuals </w:t>
      </w:r>
      <w:r>
        <w:rPr>
          <w:rFonts w:ascii="Calibri" w:eastAsia="Malgun Gothic" w:hAnsi="Calibri" w:cs="Calibri"/>
          <w:sz w:val="22"/>
          <w:szCs w:val="22"/>
          <w:highlight w:val="yellow"/>
          <w:lang w:val="en-US"/>
        </w:rPr>
        <w:t>were</w:t>
      </w:r>
      <w:r w:rsidRPr="001A440D">
        <w:rPr>
          <w:rFonts w:ascii="Calibri" w:eastAsia="Malgun Gothic" w:hAnsi="Calibri" w:cs="Calibri"/>
          <w:sz w:val="22"/>
          <w:szCs w:val="22"/>
          <w:highlight w:val="yellow"/>
          <w:lang w:val="en-US"/>
        </w:rPr>
        <w:t xml:space="preserve"> protected from vaccine risks</w:t>
      </w:r>
      <w:r w:rsidRPr="007F73DA">
        <w:rPr>
          <w:rFonts w:ascii="Calibri" w:eastAsia="Malgun Gothic" w:hAnsi="Calibri" w:cs="Calibri"/>
          <w:sz w:val="22"/>
          <w:szCs w:val="22"/>
          <w:highlight w:val="yellow"/>
          <w:lang w:val="en-US"/>
        </w:rPr>
        <w:t>.</w:t>
      </w:r>
      <w:r>
        <w:rPr>
          <w:rFonts w:ascii="Calibri" w:eastAsia="Malgun Gothic" w:hAnsi="Calibri" w:cs="Calibri"/>
          <w:sz w:val="22"/>
          <w:szCs w:val="22"/>
          <w:highlight w:val="yellow"/>
          <w:lang w:val="en-US"/>
        </w:rPr>
        <w:t xml:space="preserve"> </w:t>
      </w:r>
      <w:r w:rsidRPr="009B6046">
        <w:rPr>
          <w:rFonts w:ascii="Calibri" w:eastAsia="Malgun Gothic" w:hAnsi="Calibri" w:cs="Calibri"/>
          <w:sz w:val="22"/>
          <w:szCs w:val="22"/>
          <w:highlight w:val="yellow"/>
          <w:lang w:val="en-US"/>
        </w:rPr>
        <w:t>SAE risks outweighed benefits across both age groups and all scenarios.</w:t>
      </w:r>
      <w:r w:rsidRPr="009B6046">
        <w:rPr>
          <w:rFonts w:ascii="Calibri" w:eastAsia="Malgun Gothic" w:hAnsi="Calibri" w:cs="Calibri" w:hint="eastAsia"/>
          <w:sz w:val="22"/>
          <w:szCs w:val="22"/>
          <w:highlight w:val="yellow"/>
          <w:lang w:val="en-US"/>
        </w:rPr>
        <w:t xml:space="preserve"> </w:t>
      </w:r>
      <w:r w:rsidRPr="009B6046">
        <w:rPr>
          <w:rFonts w:ascii="Calibri" w:eastAsia="Malgun Gothic" w:hAnsi="Calibri" w:cs="Calibri"/>
          <w:sz w:val="22"/>
          <w:szCs w:val="22"/>
          <w:highlight w:val="yellow"/>
          <w:lang w:val="en-US"/>
        </w:rPr>
        <w:t xml:space="preserve">For deaths in older adults aged </w:t>
      </w:r>
      <w:r w:rsidRPr="009B6046">
        <w:rPr>
          <w:rFonts w:ascii="Calibri" w:eastAsia="Malgun Gothic" w:hAnsi="Calibri" w:cs="Calibri" w:hint="eastAsia"/>
          <w:sz w:val="22"/>
          <w:szCs w:val="22"/>
          <w:highlight w:val="yellow"/>
          <w:lang w:val="en-US"/>
        </w:rPr>
        <w:t>≥</w:t>
      </w:r>
      <w:r w:rsidRPr="009B6046">
        <w:rPr>
          <w:rFonts w:ascii="Calibri" w:eastAsia="Malgun Gothic" w:hAnsi="Calibri" w:cs="Calibri"/>
          <w:sz w:val="22"/>
          <w:szCs w:val="22"/>
          <w:highlight w:val="yellow"/>
          <w:lang w:val="en-US"/>
        </w:rPr>
        <w:t>65 years,</w:t>
      </w:r>
      <w:r w:rsidRPr="009B6046">
        <w:rPr>
          <w:rFonts w:ascii="Calibri" w:eastAsia="Malgun Gothic" w:hAnsi="Calibri" w:cs="Calibri" w:hint="eastAsia"/>
          <w:sz w:val="22"/>
          <w:szCs w:val="22"/>
          <w:highlight w:val="yellow"/>
          <w:lang w:val="en-US"/>
        </w:rPr>
        <w:t xml:space="preserve"> DALY and death risks also outweighed benefits across all scenarios, with the </w:t>
      </w:r>
      <w:r w:rsidRPr="009B6046">
        <w:rPr>
          <w:rFonts w:ascii="Calibri" w:eastAsia="Malgun Gothic" w:hAnsi="Calibri" w:cs="Calibri"/>
          <w:sz w:val="22"/>
          <w:szCs w:val="22"/>
          <w:highlight w:val="yellow"/>
          <w:lang w:val="en-US"/>
        </w:rPr>
        <w:t>probability of benefits outweighing death risks reaching only 14% under the same scenario (Table 2; Figure 2b–d).</w:t>
      </w:r>
    </w:p>
    <w:p w14:paraId="19C7DAC7" w14:textId="77777777" w:rsidR="000F5A85" w:rsidRPr="00DE7658" w:rsidRDefault="000F5A85">
      <w:pPr>
        <w:rPr>
          <w:lang w:val="en-US"/>
        </w:rPr>
      </w:pPr>
    </w:p>
    <w:sectPr w:rsidR="000F5A85" w:rsidRPr="00DE765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658"/>
    <w:rsid w:val="000410BF"/>
    <w:rsid w:val="000E13BB"/>
    <w:rsid w:val="000F5A85"/>
    <w:rsid w:val="002929BC"/>
    <w:rsid w:val="002E62C6"/>
    <w:rsid w:val="00472591"/>
    <w:rsid w:val="004C1520"/>
    <w:rsid w:val="004E0D5B"/>
    <w:rsid w:val="00611454"/>
    <w:rsid w:val="0064601E"/>
    <w:rsid w:val="006C6954"/>
    <w:rsid w:val="00733526"/>
    <w:rsid w:val="00853EC9"/>
    <w:rsid w:val="00A06A19"/>
    <w:rsid w:val="00C137E6"/>
    <w:rsid w:val="00DE7658"/>
    <w:rsid w:val="00E035D6"/>
    <w:rsid w:val="00E47019"/>
    <w:rsid w:val="00F26D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6DEF7"/>
  <w15:chartTrackingRefBased/>
  <w15:docId w15:val="{B0272873-8A5B-4B3B-93B8-39843C84D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algun Gothic" w:hAnsi="Calibri" w:cstheme="minorBidi"/>
        <w:kern w:val="2"/>
        <w:sz w:val="2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7658"/>
    <w:rPr>
      <w:rFonts w:ascii="Times New Roman" w:eastAsia="Times New Roman" w:hAnsi="Times New Roman" w:cs="Times New Roman"/>
      <w:kern w:val="0"/>
      <w:sz w:val="24"/>
      <w:szCs w:val="24"/>
      <w:lang w:val="en-GB" w:eastAsia="ko-KR"/>
      <w14:ligatures w14:val="none"/>
    </w:rPr>
  </w:style>
  <w:style w:type="paragraph" w:styleId="1">
    <w:name w:val="heading 1"/>
    <w:basedOn w:val="a"/>
    <w:next w:val="a"/>
    <w:link w:val="1Char"/>
    <w:uiPriority w:val="9"/>
    <w:qFormat/>
    <w:rsid w:val="00DE7658"/>
    <w:pPr>
      <w:keepNext/>
      <w:keepLines/>
      <w:widowControl w:val="0"/>
      <w:spacing w:before="360" w:after="80"/>
      <w:jc w:val="both"/>
      <w:outlineLvl w:val="0"/>
    </w:pPr>
    <w:rPr>
      <w:rFonts w:asciiTheme="majorHAnsi" w:eastAsiaTheme="majorEastAsia" w:hAnsiTheme="majorHAnsi" w:cstheme="majorBidi"/>
      <w:color w:val="2F5496" w:themeColor="accent1" w:themeShade="BF"/>
      <w:kern w:val="2"/>
      <w:sz w:val="40"/>
      <w:szCs w:val="40"/>
      <w:lang w:val="en-US" w:eastAsia="ja-JP"/>
      <w14:ligatures w14:val="standardContextual"/>
    </w:rPr>
  </w:style>
  <w:style w:type="paragraph" w:styleId="2">
    <w:name w:val="heading 2"/>
    <w:basedOn w:val="a"/>
    <w:next w:val="a"/>
    <w:link w:val="2Char"/>
    <w:uiPriority w:val="9"/>
    <w:semiHidden/>
    <w:unhideWhenUsed/>
    <w:qFormat/>
    <w:rsid w:val="00DE7658"/>
    <w:pPr>
      <w:keepNext/>
      <w:keepLines/>
      <w:widowControl w:val="0"/>
      <w:spacing w:before="160" w:after="80"/>
      <w:jc w:val="both"/>
      <w:outlineLvl w:val="1"/>
    </w:pPr>
    <w:rPr>
      <w:rFonts w:asciiTheme="majorHAnsi" w:eastAsiaTheme="majorEastAsia" w:hAnsiTheme="majorHAnsi" w:cstheme="majorBidi"/>
      <w:color w:val="2F5496" w:themeColor="accent1" w:themeShade="BF"/>
      <w:kern w:val="2"/>
      <w:sz w:val="32"/>
      <w:szCs w:val="32"/>
      <w:lang w:val="en-US" w:eastAsia="ja-JP"/>
      <w14:ligatures w14:val="standardContextual"/>
    </w:rPr>
  </w:style>
  <w:style w:type="paragraph" w:styleId="3">
    <w:name w:val="heading 3"/>
    <w:basedOn w:val="a"/>
    <w:next w:val="a"/>
    <w:link w:val="3Char"/>
    <w:uiPriority w:val="9"/>
    <w:semiHidden/>
    <w:unhideWhenUsed/>
    <w:qFormat/>
    <w:rsid w:val="00DE7658"/>
    <w:pPr>
      <w:keepNext/>
      <w:keepLines/>
      <w:widowControl w:val="0"/>
      <w:spacing w:before="160" w:after="80"/>
      <w:jc w:val="both"/>
      <w:outlineLvl w:val="2"/>
    </w:pPr>
    <w:rPr>
      <w:rFonts w:asciiTheme="minorHAnsi" w:eastAsiaTheme="majorEastAsia" w:hAnsiTheme="minorHAnsi" w:cstheme="majorBidi"/>
      <w:color w:val="2F5496" w:themeColor="accent1" w:themeShade="BF"/>
      <w:kern w:val="2"/>
      <w:sz w:val="28"/>
      <w:szCs w:val="28"/>
      <w:lang w:val="en-US" w:eastAsia="ja-JP"/>
      <w14:ligatures w14:val="standardContextual"/>
    </w:rPr>
  </w:style>
  <w:style w:type="paragraph" w:styleId="4">
    <w:name w:val="heading 4"/>
    <w:basedOn w:val="a"/>
    <w:next w:val="a"/>
    <w:link w:val="4Char"/>
    <w:uiPriority w:val="9"/>
    <w:unhideWhenUsed/>
    <w:qFormat/>
    <w:rsid w:val="00DE7658"/>
    <w:pPr>
      <w:keepNext/>
      <w:keepLines/>
      <w:widowControl w:val="0"/>
      <w:spacing w:before="80" w:after="40"/>
      <w:jc w:val="both"/>
      <w:outlineLvl w:val="3"/>
    </w:pPr>
    <w:rPr>
      <w:rFonts w:asciiTheme="minorHAnsi" w:eastAsiaTheme="majorEastAsia" w:hAnsiTheme="minorHAnsi" w:cstheme="majorBidi"/>
      <w:i/>
      <w:iCs/>
      <w:color w:val="2F5496" w:themeColor="accent1" w:themeShade="BF"/>
      <w:kern w:val="2"/>
      <w:sz w:val="22"/>
      <w:szCs w:val="22"/>
      <w:lang w:val="en-US" w:eastAsia="ja-JP"/>
      <w14:ligatures w14:val="standardContextual"/>
    </w:rPr>
  </w:style>
  <w:style w:type="paragraph" w:styleId="5">
    <w:name w:val="heading 5"/>
    <w:basedOn w:val="a"/>
    <w:next w:val="a"/>
    <w:link w:val="5Char"/>
    <w:uiPriority w:val="9"/>
    <w:semiHidden/>
    <w:unhideWhenUsed/>
    <w:qFormat/>
    <w:rsid w:val="00DE7658"/>
    <w:pPr>
      <w:keepNext/>
      <w:keepLines/>
      <w:widowControl w:val="0"/>
      <w:spacing w:before="80" w:after="40"/>
      <w:jc w:val="both"/>
      <w:outlineLvl w:val="4"/>
    </w:pPr>
    <w:rPr>
      <w:rFonts w:asciiTheme="minorHAnsi" w:eastAsiaTheme="majorEastAsia" w:hAnsiTheme="minorHAnsi" w:cstheme="majorBidi"/>
      <w:color w:val="2F5496" w:themeColor="accent1" w:themeShade="BF"/>
      <w:kern w:val="2"/>
      <w:sz w:val="22"/>
      <w:szCs w:val="22"/>
      <w:lang w:val="en-US" w:eastAsia="ja-JP"/>
      <w14:ligatures w14:val="standardContextual"/>
    </w:rPr>
  </w:style>
  <w:style w:type="paragraph" w:styleId="6">
    <w:name w:val="heading 6"/>
    <w:basedOn w:val="a"/>
    <w:next w:val="a"/>
    <w:link w:val="6Char"/>
    <w:uiPriority w:val="9"/>
    <w:semiHidden/>
    <w:unhideWhenUsed/>
    <w:qFormat/>
    <w:rsid w:val="00DE7658"/>
    <w:pPr>
      <w:keepNext/>
      <w:keepLines/>
      <w:widowControl w:val="0"/>
      <w:spacing w:before="40"/>
      <w:jc w:val="both"/>
      <w:outlineLvl w:val="5"/>
    </w:pPr>
    <w:rPr>
      <w:rFonts w:asciiTheme="minorHAnsi" w:eastAsiaTheme="majorEastAsia" w:hAnsiTheme="minorHAnsi" w:cstheme="majorBidi"/>
      <w:i/>
      <w:iCs/>
      <w:color w:val="595959" w:themeColor="text1" w:themeTint="A6"/>
      <w:kern w:val="2"/>
      <w:sz w:val="22"/>
      <w:szCs w:val="22"/>
      <w:lang w:val="en-US" w:eastAsia="ja-JP"/>
      <w14:ligatures w14:val="standardContextual"/>
    </w:rPr>
  </w:style>
  <w:style w:type="paragraph" w:styleId="7">
    <w:name w:val="heading 7"/>
    <w:basedOn w:val="a"/>
    <w:next w:val="a"/>
    <w:link w:val="7Char"/>
    <w:uiPriority w:val="9"/>
    <w:semiHidden/>
    <w:unhideWhenUsed/>
    <w:qFormat/>
    <w:rsid w:val="00DE7658"/>
    <w:pPr>
      <w:keepNext/>
      <w:keepLines/>
      <w:widowControl w:val="0"/>
      <w:spacing w:before="40"/>
      <w:jc w:val="both"/>
      <w:outlineLvl w:val="6"/>
    </w:pPr>
    <w:rPr>
      <w:rFonts w:asciiTheme="minorHAnsi" w:eastAsiaTheme="majorEastAsia" w:hAnsiTheme="minorHAnsi" w:cstheme="majorBidi"/>
      <w:color w:val="595959" w:themeColor="text1" w:themeTint="A6"/>
      <w:kern w:val="2"/>
      <w:sz w:val="22"/>
      <w:szCs w:val="22"/>
      <w:lang w:val="en-US" w:eastAsia="ja-JP"/>
      <w14:ligatures w14:val="standardContextual"/>
    </w:rPr>
  </w:style>
  <w:style w:type="paragraph" w:styleId="8">
    <w:name w:val="heading 8"/>
    <w:basedOn w:val="a"/>
    <w:next w:val="a"/>
    <w:link w:val="8Char"/>
    <w:uiPriority w:val="9"/>
    <w:semiHidden/>
    <w:unhideWhenUsed/>
    <w:qFormat/>
    <w:rsid w:val="00DE7658"/>
    <w:pPr>
      <w:keepNext/>
      <w:keepLines/>
      <w:widowControl w:val="0"/>
      <w:jc w:val="both"/>
      <w:outlineLvl w:val="7"/>
    </w:pPr>
    <w:rPr>
      <w:rFonts w:asciiTheme="minorHAnsi" w:eastAsiaTheme="majorEastAsia" w:hAnsiTheme="minorHAnsi" w:cstheme="majorBidi"/>
      <w:i/>
      <w:iCs/>
      <w:color w:val="272727" w:themeColor="text1" w:themeTint="D8"/>
      <w:kern w:val="2"/>
      <w:sz w:val="22"/>
      <w:szCs w:val="22"/>
      <w:lang w:val="en-US" w:eastAsia="ja-JP"/>
      <w14:ligatures w14:val="standardContextual"/>
    </w:rPr>
  </w:style>
  <w:style w:type="paragraph" w:styleId="9">
    <w:name w:val="heading 9"/>
    <w:basedOn w:val="a"/>
    <w:next w:val="a"/>
    <w:link w:val="9Char"/>
    <w:uiPriority w:val="9"/>
    <w:semiHidden/>
    <w:unhideWhenUsed/>
    <w:qFormat/>
    <w:rsid w:val="00DE7658"/>
    <w:pPr>
      <w:keepNext/>
      <w:keepLines/>
      <w:widowControl w:val="0"/>
      <w:jc w:val="both"/>
      <w:outlineLvl w:val="8"/>
    </w:pPr>
    <w:rPr>
      <w:rFonts w:asciiTheme="minorHAnsi" w:eastAsiaTheme="majorEastAsia" w:hAnsiTheme="minorHAnsi" w:cstheme="majorBidi"/>
      <w:color w:val="272727" w:themeColor="text1" w:themeTint="D8"/>
      <w:kern w:val="2"/>
      <w:sz w:val="22"/>
      <w:szCs w:val="22"/>
      <w:lang w:val="en-US" w:eastAsia="ja-JP"/>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E7658"/>
    <w:rPr>
      <w:rFonts w:asciiTheme="majorHAnsi" w:eastAsiaTheme="majorEastAsia" w:hAnsiTheme="majorHAnsi" w:cstheme="majorBidi"/>
      <w:color w:val="2F5496" w:themeColor="accent1" w:themeShade="BF"/>
      <w:sz w:val="40"/>
      <w:szCs w:val="40"/>
    </w:rPr>
  </w:style>
  <w:style w:type="character" w:customStyle="1" w:styleId="2Char">
    <w:name w:val="제목 2 Char"/>
    <w:basedOn w:val="a0"/>
    <w:link w:val="2"/>
    <w:uiPriority w:val="9"/>
    <w:semiHidden/>
    <w:rsid w:val="00DE7658"/>
    <w:rPr>
      <w:rFonts w:asciiTheme="majorHAnsi" w:eastAsiaTheme="majorEastAsia" w:hAnsiTheme="majorHAnsi" w:cstheme="majorBidi"/>
      <w:color w:val="2F5496" w:themeColor="accent1" w:themeShade="BF"/>
      <w:sz w:val="32"/>
      <w:szCs w:val="32"/>
    </w:rPr>
  </w:style>
  <w:style w:type="character" w:customStyle="1" w:styleId="3Char">
    <w:name w:val="제목 3 Char"/>
    <w:basedOn w:val="a0"/>
    <w:link w:val="3"/>
    <w:uiPriority w:val="9"/>
    <w:semiHidden/>
    <w:rsid w:val="00DE7658"/>
    <w:rPr>
      <w:rFonts w:asciiTheme="minorHAnsi" w:eastAsiaTheme="majorEastAsia" w:hAnsiTheme="minorHAnsi" w:cstheme="majorBidi"/>
      <w:color w:val="2F5496" w:themeColor="accent1" w:themeShade="BF"/>
      <w:sz w:val="28"/>
      <w:szCs w:val="28"/>
    </w:rPr>
  </w:style>
  <w:style w:type="character" w:customStyle="1" w:styleId="4Char">
    <w:name w:val="제목 4 Char"/>
    <w:basedOn w:val="a0"/>
    <w:link w:val="4"/>
    <w:uiPriority w:val="9"/>
    <w:rsid w:val="00DE7658"/>
    <w:rPr>
      <w:rFonts w:asciiTheme="minorHAnsi" w:eastAsiaTheme="majorEastAsia" w:hAnsiTheme="minorHAnsi" w:cstheme="majorBidi"/>
      <w:i/>
      <w:iCs/>
      <w:color w:val="2F5496" w:themeColor="accent1" w:themeShade="BF"/>
    </w:rPr>
  </w:style>
  <w:style w:type="character" w:customStyle="1" w:styleId="5Char">
    <w:name w:val="제목 5 Char"/>
    <w:basedOn w:val="a0"/>
    <w:link w:val="5"/>
    <w:uiPriority w:val="9"/>
    <w:semiHidden/>
    <w:rsid w:val="00DE7658"/>
    <w:rPr>
      <w:rFonts w:asciiTheme="minorHAnsi" w:eastAsiaTheme="majorEastAsia" w:hAnsiTheme="minorHAnsi" w:cstheme="majorBidi"/>
      <w:color w:val="2F5496" w:themeColor="accent1" w:themeShade="BF"/>
    </w:rPr>
  </w:style>
  <w:style w:type="character" w:customStyle="1" w:styleId="6Char">
    <w:name w:val="제목 6 Char"/>
    <w:basedOn w:val="a0"/>
    <w:link w:val="6"/>
    <w:uiPriority w:val="9"/>
    <w:semiHidden/>
    <w:rsid w:val="00DE7658"/>
    <w:rPr>
      <w:rFonts w:asciiTheme="minorHAnsi" w:eastAsiaTheme="majorEastAsia" w:hAnsiTheme="minorHAnsi" w:cstheme="majorBidi"/>
      <w:i/>
      <w:iCs/>
      <w:color w:val="595959" w:themeColor="text1" w:themeTint="A6"/>
    </w:rPr>
  </w:style>
  <w:style w:type="character" w:customStyle="1" w:styleId="7Char">
    <w:name w:val="제목 7 Char"/>
    <w:basedOn w:val="a0"/>
    <w:link w:val="7"/>
    <w:uiPriority w:val="9"/>
    <w:semiHidden/>
    <w:rsid w:val="00DE7658"/>
    <w:rPr>
      <w:rFonts w:asciiTheme="minorHAnsi" w:eastAsiaTheme="majorEastAsia" w:hAnsiTheme="minorHAnsi" w:cstheme="majorBidi"/>
      <w:color w:val="595959" w:themeColor="text1" w:themeTint="A6"/>
    </w:rPr>
  </w:style>
  <w:style w:type="character" w:customStyle="1" w:styleId="8Char">
    <w:name w:val="제목 8 Char"/>
    <w:basedOn w:val="a0"/>
    <w:link w:val="8"/>
    <w:uiPriority w:val="9"/>
    <w:semiHidden/>
    <w:rsid w:val="00DE7658"/>
    <w:rPr>
      <w:rFonts w:asciiTheme="minorHAnsi" w:eastAsiaTheme="majorEastAsia" w:hAnsiTheme="minorHAnsi" w:cstheme="majorBidi"/>
      <w:i/>
      <w:iCs/>
      <w:color w:val="272727" w:themeColor="text1" w:themeTint="D8"/>
    </w:rPr>
  </w:style>
  <w:style w:type="character" w:customStyle="1" w:styleId="9Char">
    <w:name w:val="제목 9 Char"/>
    <w:basedOn w:val="a0"/>
    <w:link w:val="9"/>
    <w:uiPriority w:val="9"/>
    <w:semiHidden/>
    <w:rsid w:val="00DE7658"/>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DE7658"/>
    <w:pPr>
      <w:widowControl w:val="0"/>
      <w:spacing w:after="80"/>
      <w:contextualSpacing/>
      <w:jc w:val="both"/>
    </w:pPr>
    <w:rPr>
      <w:rFonts w:asciiTheme="majorHAnsi" w:eastAsiaTheme="majorEastAsia" w:hAnsiTheme="majorHAnsi" w:cstheme="majorBidi"/>
      <w:spacing w:val="-10"/>
      <w:kern w:val="28"/>
      <w:sz w:val="56"/>
      <w:szCs w:val="56"/>
      <w:lang w:val="en-US" w:eastAsia="ja-JP"/>
      <w14:ligatures w14:val="standardContextual"/>
    </w:rPr>
  </w:style>
  <w:style w:type="character" w:customStyle="1" w:styleId="Char">
    <w:name w:val="제목 Char"/>
    <w:basedOn w:val="a0"/>
    <w:link w:val="a3"/>
    <w:uiPriority w:val="10"/>
    <w:rsid w:val="00DE765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E7658"/>
    <w:pPr>
      <w:widowControl w:val="0"/>
      <w:numPr>
        <w:ilvl w:val="1"/>
      </w:numPr>
      <w:spacing w:after="160"/>
      <w:jc w:val="both"/>
    </w:pPr>
    <w:rPr>
      <w:rFonts w:asciiTheme="minorHAnsi" w:eastAsiaTheme="majorEastAsia" w:hAnsiTheme="minorHAnsi" w:cstheme="majorBidi"/>
      <w:color w:val="595959" w:themeColor="text1" w:themeTint="A6"/>
      <w:spacing w:val="15"/>
      <w:kern w:val="2"/>
      <w:sz w:val="28"/>
      <w:szCs w:val="28"/>
      <w:lang w:val="en-US" w:eastAsia="ja-JP"/>
      <w14:ligatures w14:val="standardContextual"/>
    </w:rPr>
  </w:style>
  <w:style w:type="character" w:customStyle="1" w:styleId="Char0">
    <w:name w:val="부제 Char"/>
    <w:basedOn w:val="a0"/>
    <w:link w:val="a4"/>
    <w:uiPriority w:val="11"/>
    <w:rsid w:val="00DE7658"/>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DE7658"/>
    <w:pPr>
      <w:widowControl w:val="0"/>
      <w:spacing w:before="160" w:after="160"/>
      <w:jc w:val="center"/>
    </w:pPr>
    <w:rPr>
      <w:rFonts w:ascii="Calibri" w:eastAsia="Malgun Gothic" w:hAnsi="Calibri" w:cstheme="minorBidi"/>
      <w:i/>
      <w:iCs/>
      <w:color w:val="404040" w:themeColor="text1" w:themeTint="BF"/>
      <w:kern w:val="2"/>
      <w:sz w:val="22"/>
      <w:szCs w:val="22"/>
      <w:lang w:val="en-US" w:eastAsia="ja-JP"/>
      <w14:ligatures w14:val="standardContextual"/>
    </w:rPr>
  </w:style>
  <w:style w:type="character" w:customStyle="1" w:styleId="Char1">
    <w:name w:val="인용 Char"/>
    <w:basedOn w:val="a0"/>
    <w:link w:val="a5"/>
    <w:uiPriority w:val="29"/>
    <w:rsid w:val="00DE7658"/>
    <w:rPr>
      <w:i/>
      <w:iCs/>
      <w:color w:val="404040" w:themeColor="text1" w:themeTint="BF"/>
    </w:rPr>
  </w:style>
  <w:style w:type="paragraph" w:styleId="a6">
    <w:name w:val="List Paragraph"/>
    <w:basedOn w:val="a"/>
    <w:uiPriority w:val="34"/>
    <w:qFormat/>
    <w:rsid w:val="00DE7658"/>
    <w:pPr>
      <w:widowControl w:val="0"/>
      <w:ind w:left="720"/>
      <w:contextualSpacing/>
      <w:jc w:val="both"/>
    </w:pPr>
    <w:rPr>
      <w:rFonts w:ascii="Calibri" w:eastAsia="Malgun Gothic" w:hAnsi="Calibri" w:cstheme="minorBidi"/>
      <w:kern w:val="2"/>
      <w:sz w:val="22"/>
      <w:szCs w:val="22"/>
      <w:lang w:val="en-US" w:eastAsia="ja-JP"/>
      <w14:ligatures w14:val="standardContextual"/>
    </w:rPr>
  </w:style>
  <w:style w:type="character" w:styleId="a7">
    <w:name w:val="Intense Emphasis"/>
    <w:basedOn w:val="a0"/>
    <w:uiPriority w:val="21"/>
    <w:qFormat/>
    <w:rsid w:val="00DE7658"/>
    <w:rPr>
      <w:i/>
      <w:iCs/>
      <w:color w:val="2F5496" w:themeColor="accent1" w:themeShade="BF"/>
    </w:rPr>
  </w:style>
  <w:style w:type="paragraph" w:styleId="a8">
    <w:name w:val="Intense Quote"/>
    <w:basedOn w:val="a"/>
    <w:next w:val="a"/>
    <w:link w:val="Char2"/>
    <w:uiPriority w:val="30"/>
    <w:qFormat/>
    <w:rsid w:val="00DE7658"/>
    <w:pPr>
      <w:widowControl w:val="0"/>
      <w:pBdr>
        <w:top w:val="single" w:sz="4" w:space="10" w:color="2F5496" w:themeColor="accent1" w:themeShade="BF"/>
        <w:bottom w:val="single" w:sz="4" w:space="10" w:color="2F5496" w:themeColor="accent1" w:themeShade="BF"/>
      </w:pBdr>
      <w:spacing w:before="360" w:after="360"/>
      <w:ind w:left="864" w:right="864"/>
      <w:jc w:val="center"/>
    </w:pPr>
    <w:rPr>
      <w:rFonts w:ascii="Calibri" w:eastAsia="Malgun Gothic" w:hAnsi="Calibri" w:cstheme="minorBidi"/>
      <w:i/>
      <w:iCs/>
      <w:color w:val="2F5496" w:themeColor="accent1" w:themeShade="BF"/>
      <w:kern w:val="2"/>
      <w:sz w:val="22"/>
      <w:szCs w:val="22"/>
      <w:lang w:val="en-US" w:eastAsia="ja-JP"/>
      <w14:ligatures w14:val="standardContextual"/>
    </w:rPr>
  </w:style>
  <w:style w:type="character" w:customStyle="1" w:styleId="Char2">
    <w:name w:val="강한 인용 Char"/>
    <w:basedOn w:val="a0"/>
    <w:link w:val="a8"/>
    <w:uiPriority w:val="30"/>
    <w:rsid w:val="00DE7658"/>
    <w:rPr>
      <w:i/>
      <w:iCs/>
      <w:color w:val="2F5496" w:themeColor="accent1" w:themeShade="BF"/>
    </w:rPr>
  </w:style>
  <w:style w:type="character" w:styleId="a9">
    <w:name w:val="Intense Reference"/>
    <w:basedOn w:val="a0"/>
    <w:uiPriority w:val="32"/>
    <w:qFormat/>
    <w:rsid w:val="00DE76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742</Words>
  <Characters>4234</Characters>
  <Application>Microsoft Office Word</Application>
  <DocSecurity>0</DocSecurity>
  <Lines>35</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효림 강</dc:creator>
  <cp:keywords/>
  <dc:description/>
  <cp:lastModifiedBy>효림 강</cp:lastModifiedBy>
  <cp:revision>1</cp:revision>
  <dcterms:created xsi:type="dcterms:W3CDTF">2026-05-21T04:19:00Z</dcterms:created>
  <dcterms:modified xsi:type="dcterms:W3CDTF">2026-05-21T07:11:00Z</dcterms:modified>
</cp:coreProperties>
</file>