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444C1" w14:textId="77777777" w:rsidR="00E72304" w:rsidRDefault="00E72304" w:rsidP="00E72304">
      <w:r w:rsidRPr="00E72304">
        <w:t>Reviewer #1: Strength of the paper</w:t>
      </w:r>
    </w:p>
    <w:p w14:paraId="5187C111" w14:textId="77777777" w:rsidR="00E72304" w:rsidRDefault="00E72304" w:rsidP="00E72304">
      <w:r w:rsidRPr="00E72304">
        <w:br/>
        <w:t>This study is a highly relevant and topical public health question about the benefit-risk profile of the live-attenuated chikungunya vaccine (</w:t>
      </w:r>
      <w:proofErr w:type="spellStart"/>
      <w:r w:rsidRPr="00E72304">
        <w:t>Ixchiq</w:t>
      </w:r>
      <w:proofErr w:type="spellEnd"/>
      <w:r w:rsidRPr="00E72304">
        <w:t xml:space="preserve">) </w:t>
      </w:r>
      <w:proofErr w:type="gramStart"/>
      <w:r w:rsidRPr="00E72304">
        <w:t>in light of</w:t>
      </w:r>
      <w:proofErr w:type="gramEnd"/>
      <w:r w:rsidRPr="00E72304">
        <w:t xml:space="preserve"> recent safety concerns and regulatory limits. The study assesses vaccination regimens using an age-structured transmission </w:t>
      </w:r>
      <w:proofErr w:type="spellStart"/>
      <w:r w:rsidRPr="00E72304">
        <w:t>modeling</w:t>
      </w:r>
      <w:proofErr w:type="spellEnd"/>
      <w:r w:rsidRPr="00E72304">
        <w:t xml:space="preserve"> framework that includes post-licensure safety data, Brazilian surveillance data, and disability-adjusted life years (DALYs). The assessment of diverse transmission scenarios, travel durations, age groups, and alternative assumptions about vaccination protection and serostatus-dependent hazards is a significant strength. The findings have policy implications and may assist influence vaccination recommendations for travellers and outbreak response operations.</w:t>
      </w:r>
      <w:r w:rsidRPr="00E72304">
        <w:br/>
      </w:r>
      <w:r w:rsidRPr="00E72304">
        <w:br/>
        <w:t>Major comments</w:t>
      </w:r>
    </w:p>
    <w:p w14:paraId="77CE203D" w14:textId="77777777" w:rsidR="00E72304" w:rsidRDefault="00E72304" w:rsidP="00E72304">
      <w:r w:rsidRPr="00E72304">
        <w:br/>
        <w:t xml:space="preserve">1. The study employs phase 3 </w:t>
      </w:r>
      <w:proofErr w:type="spellStart"/>
      <w:r w:rsidRPr="00E72304">
        <w:t>seroresponse</w:t>
      </w:r>
      <w:proofErr w:type="spellEnd"/>
      <w:r w:rsidRPr="00E72304">
        <w:t xml:space="preserve"> rates (98.9%) to measure vaccination efficacy against illness and infection. Please provide a stronger reason for this assumption and clarify how it affects the results.</w:t>
      </w:r>
    </w:p>
    <w:p w14:paraId="590EFFE0" w14:textId="77777777" w:rsidR="00E72304" w:rsidRDefault="00E72304" w:rsidP="00E72304">
      <w:r w:rsidRPr="00E72304">
        <w:br/>
        <w:t xml:space="preserve">2. The vaccine-attributable risk estimates are based on VAERS, a passive surveillance system with potential for underreporting and bias. Please </w:t>
      </w:r>
      <w:proofErr w:type="spellStart"/>
      <w:r w:rsidRPr="00E72304">
        <w:t>analyze</w:t>
      </w:r>
      <w:proofErr w:type="spellEnd"/>
      <w:r w:rsidRPr="00E72304">
        <w:t xml:space="preserve"> how underreporting may affect benefit-risk assessments.</w:t>
      </w:r>
    </w:p>
    <w:p w14:paraId="23411317" w14:textId="77777777" w:rsidR="00E72304" w:rsidRDefault="00E72304" w:rsidP="00E72304">
      <w:r w:rsidRPr="00E72304">
        <w:br/>
        <w:t>3. The approach assumes equal vaccine efficacy against sickness and infection in certain scenarios. What data supports this idea, and how sensitive are the findings to decreased efficacy against infection?</w:t>
      </w:r>
    </w:p>
    <w:p w14:paraId="3B92F9F5" w14:textId="77777777" w:rsidR="00E72304" w:rsidRDefault="00E72304" w:rsidP="00E72304">
      <w:r w:rsidRPr="00E72304">
        <w:br/>
        <w:t>4. The paper assumes there is no vaccine-related danger for seropositive persons. This is a bold assumption that requires further biological rationale and sensitivity testing.</w:t>
      </w:r>
    </w:p>
    <w:p w14:paraId="654AB257" w14:textId="77777777" w:rsidR="00E72304" w:rsidRDefault="00E72304" w:rsidP="00E72304">
      <w:r w:rsidRPr="00E72304">
        <w:br/>
        <w:t>5. Provide sensitivity analysis to demonstrate how vaccine efficacy and safety assumptions affect benefit-risk ratios.</w:t>
      </w:r>
    </w:p>
    <w:p w14:paraId="47DC6DDA" w14:textId="77777777" w:rsidR="00E72304" w:rsidRDefault="00E72304" w:rsidP="00E72304">
      <w:r w:rsidRPr="00E72304">
        <w:br/>
        <w:t xml:space="preserve">6. Travel vaccination assumes </w:t>
      </w:r>
      <w:proofErr w:type="spellStart"/>
      <w:r w:rsidRPr="00E72304">
        <w:t>travelers</w:t>
      </w:r>
      <w:proofErr w:type="spellEnd"/>
      <w:r w:rsidRPr="00E72304">
        <w:t xml:space="preserve"> have the same level of infection as </w:t>
      </w:r>
      <w:proofErr w:type="gramStart"/>
      <w:r w:rsidRPr="00E72304">
        <w:t>local residents</w:t>
      </w:r>
      <w:proofErr w:type="gramEnd"/>
      <w:r w:rsidRPr="00E72304">
        <w:t>. This may exaggerate the infection risk. Please defend this assumption and compare different exposure scenarios.</w:t>
      </w:r>
    </w:p>
    <w:p w14:paraId="36FA1B4A" w14:textId="77777777" w:rsidR="00E72304" w:rsidRDefault="00E72304" w:rsidP="00E72304">
      <w:r w:rsidRPr="00E72304">
        <w:br/>
        <w:t xml:space="preserve">7. The attack-rate classification (low, moderate, and high) seems random. Please justify the </w:t>
      </w:r>
      <w:r w:rsidRPr="00E72304">
        <w:lastRenderedPageBreak/>
        <w:t>chosen thresholds and determine whether the conclusions are unchanged under other classifications.</w:t>
      </w:r>
    </w:p>
    <w:p w14:paraId="33F5AFD7" w14:textId="77777777" w:rsidR="00E72304" w:rsidRDefault="00E72304" w:rsidP="00E72304">
      <w:pPr>
        <w:sectPr w:rsidR="00E72304">
          <w:pgSz w:w="11906" w:h="16838"/>
          <w:pgMar w:top="1985" w:right="1701" w:bottom="1701" w:left="1701" w:header="851" w:footer="992" w:gutter="0"/>
          <w:cols w:space="425"/>
          <w:docGrid w:type="lines" w:linePitch="360"/>
        </w:sectPr>
      </w:pPr>
      <w:r w:rsidRPr="00E72304">
        <w:br/>
        <w:t>8. The model assumes vaccination starts two weeks after the outbreak begins and reaches 50% coverage. Please explain why these assumptions were made and compare different implementation scenarios.</w:t>
      </w:r>
      <w:r w:rsidRPr="00E72304">
        <w:br/>
      </w:r>
      <w:r w:rsidRPr="00E72304">
        <w:br/>
        <w:t>Minor comments</w:t>
      </w:r>
      <w:r w:rsidRPr="00E72304">
        <w:br/>
        <w:t>1. Please explain why participants were divided into only two age groups (18-64 and ≥65 years).</w:t>
      </w:r>
      <w:r w:rsidRPr="00E72304">
        <w:br/>
        <w:t>2. The manuscript should clearly indicate the overall number of vaccine-related adverse events in each model scenario.</w:t>
      </w:r>
      <w:r w:rsidRPr="00E72304">
        <w:br/>
        <w:t>3. Clarify in the Methods section if uncertainty in attack-rate estimates persisted throughout the analysis.</w:t>
      </w:r>
      <w:r w:rsidRPr="00E72304">
        <w:br/>
        <w:t>4. Table 1 shows numerous benefit-risk ratios with wide uncertainty areas. Please provide feedback on the practical use of these estimations.</w:t>
      </w:r>
      <w:r w:rsidRPr="00E72304">
        <w:br/>
        <w:t>5. In Table 1, why do some scenarios exhibit probabilities &gt;90% that benefits outweigh hazards, despite huge uncertainty intervals near one?</w:t>
      </w:r>
      <w:r w:rsidRPr="00E72304">
        <w:br/>
      </w:r>
      <w:r w:rsidRPr="00E72304">
        <w:br/>
      </w:r>
      <w:r w:rsidRPr="00E72304">
        <w:br/>
      </w:r>
      <w:r w:rsidRPr="00E72304">
        <w:br/>
      </w:r>
    </w:p>
    <w:p w14:paraId="2AE98879" w14:textId="77777777" w:rsidR="00E72304" w:rsidRDefault="00E72304" w:rsidP="00E72304">
      <w:r w:rsidRPr="00E72304">
        <w:lastRenderedPageBreak/>
        <w:t>Reviewer #2: We reviewed this paper originally. While the authors have addressed some of the minor points, the key fundamental problems remain, which results in incorrect conclusions of how vaccines should be used in epidemic settings.</w:t>
      </w:r>
      <w:r w:rsidRPr="00E72304">
        <w:br/>
      </w:r>
      <w:r w:rsidRPr="00E72304">
        <w:br/>
        <w:t>Major comments</w:t>
      </w:r>
      <w:r w:rsidRPr="00E72304">
        <w:br/>
        <w:t>The key issue is that the authors assume endemic equilibrium. This implies very long-term transmission of CHIKV (such that seroprevalence increases with age). However, CHIKV has been circulating in Brazil for only about a decade (supported by serological and epidemiological evidence), meaning that individuals in the 18-64-year group have the same cumulative lifetime exposure risk as those aged &gt;65 years. Although we appreciate that the authors calculated average annual FOIs from serosurvey data, there is no consideration of the duration of circulation. This assumption leads to a substantial underestimation of the infection burden in older individuals as compared to younger individuals and, as such, the benefit-to-risk ratio. This is reflected in the similar expected numbers of hospitalisations averted for both age groups (3.73 and 3.58 in the high-transmission setting for 18-64 and &gt;65, respectively), despite a 2-fold higher probability of hospitalisation given symptomatic disease in older adults. The authors acknowledge this in the limitations; however, it remains a major flaw in the modelling approach, which explicitly is setting out to understand how risks and benefits differ by age. We note that this flaw is present in their original publication and we would urge the authors to revisit this work - as the conclusions in this work (that it is optimal to vaccinate younger individuals) is completely driven by this incorrect assumption of endemic equilibrium.</w:t>
      </w:r>
      <w:r w:rsidRPr="00E72304">
        <w:br/>
      </w:r>
      <w:r w:rsidRPr="00E72304">
        <w:br/>
        <w:t>Relatedly, the authors define their FOI as "long-term average annual FOIs", which is at odds with their suggestion that estimating benefits beyond 1 year would require too many assumptions around the frequency and intensity of future outbreak cycles. The data they calibrated the model to shows consistent cases in some Brazilian states over the last 5-10 years, which could be used to inform longer-term endemic estimates. The authors themselves acknowledge in the methods that this is an "endemic context". Therefore, their response to our previous comment not to consider programmatic use of the vaccine in endemic settings remains insufficient. Vaccine-induced seropositivity was &gt;95% at 4 years, and programmatic use is an important use case, given that it is logistically more feasible than reactive vaccination.</w:t>
      </w:r>
      <w:r w:rsidRPr="00E72304">
        <w:br/>
      </w:r>
      <w:r w:rsidRPr="00E72304">
        <w:br/>
        <w:t xml:space="preserve">A strength of this approach, compared to previous work modelling the risks and benefits of IXCHIQ, is the use of a transmission model, which allows insight into how vaccine implementation interacts with transmission dynamics. Therefore, it would be helpful to understand how the logistics of programmatic vaccination versus reactive vaccination differ. For </w:t>
      </w:r>
      <w:r w:rsidRPr="00E72304">
        <w:lastRenderedPageBreak/>
        <w:t>instance, an important consideration in using a reactive vaccine is the ability to respond quickly. This could be better explored through sensitivity analyses around the delay from outbreak detection to vaccination deployment and the rate of vaccine scale-up, in addition to vaccine coverage. Additionally, it is not clear what the authors currently define as "outbreak onset" - is it the detection of a certain number of cases? Also, the current sensitivity analyses on coverage (Sup Tables 2 and 3) are not currently mentioned in the results.</w:t>
      </w:r>
      <w:r w:rsidRPr="00E72304">
        <w:br/>
      </w:r>
      <w:r w:rsidRPr="00E72304">
        <w:br/>
      </w:r>
      <w:r w:rsidRPr="00E72304">
        <w:br/>
        <w:t>Given concerns about reliance on post-licensure safety data noted in the previous review, the authors could include a sensitivity analysis using the rates of SAE and AESI observed in the phase III clinical trial.</w:t>
      </w:r>
      <w:r w:rsidRPr="00E72304">
        <w:br/>
      </w:r>
      <w:r w:rsidRPr="00E72304">
        <w:br/>
      </w:r>
      <w:r w:rsidRPr="00E72304">
        <w:br/>
        <w:t>Minor comments</w:t>
      </w:r>
      <w:r w:rsidRPr="00E72304">
        <w:br/>
        <w:t>Methods</w:t>
      </w:r>
    </w:p>
    <w:p w14:paraId="1F674C4D" w14:textId="77777777" w:rsidR="00E72304" w:rsidRDefault="00E72304" w:rsidP="00E72304">
      <w:pPr>
        <w:pStyle w:val="a6"/>
        <w:numPr>
          <w:ilvl w:val="0"/>
          <w:numId w:val="1"/>
        </w:numPr>
      </w:pPr>
      <w:r w:rsidRPr="00E72304">
        <w:t>As clinical outcomes for infection/vaccination are the same in the traveller and outbreak scenarios, many of the methods and supplementary equations could be made clearer and more streamlined by presenting the equations that calculate infection outcomes, vaccine outcomes, DALYs, risk-benefit ratios, etc., just once.</w:t>
      </w:r>
    </w:p>
    <w:p w14:paraId="2312AA83" w14:textId="77777777" w:rsidR="00E72304" w:rsidRDefault="00E72304" w:rsidP="00E72304">
      <w:pPr>
        <w:pStyle w:val="a6"/>
        <w:numPr>
          <w:ilvl w:val="0"/>
          <w:numId w:val="1"/>
        </w:numPr>
      </w:pPr>
      <w:r w:rsidRPr="00E72304">
        <w:t>Unclear whether the traveller scenario uses the dynamical transmission model or is calculated statistically from the attack rate.</w:t>
      </w:r>
    </w:p>
    <w:p w14:paraId="55635F2A" w14:textId="77777777" w:rsidR="00E72304" w:rsidRDefault="00E72304" w:rsidP="00E72304">
      <w:pPr>
        <w:pStyle w:val="a6"/>
        <w:numPr>
          <w:ilvl w:val="0"/>
          <w:numId w:val="2"/>
        </w:numPr>
      </w:pPr>
      <w:r w:rsidRPr="00E72304">
        <w:t>Unclear from the methods what year (and how this was chosen over other years) the case series used to parameterise transmission across the Brazilian states is from.</w:t>
      </w:r>
    </w:p>
    <w:p w14:paraId="1FE19705" w14:textId="77777777" w:rsidR="00E72304" w:rsidRDefault="00E72304" w:rsidP="00E72304">
      <w:pPr>
        <w:pStyle w:val="a6"/>
        <w:numPr>
          <w:ilvl w:val="0"/>
          <w:numId w:val="2"/>
        </w:numPr>
      </w:pPr>
      <w:r w:rsidRPr="00E72304">
        <w:t>A few more details on model calibration in the main methods would aid readability. Is the model calibrated only to case data, or also to seroprevalence data (to infer the reporting rate)?</w:t>
      </w:r>
    </w:p>
    <w:p w14:paraId="78D2F90D" w14:textId="77777777" w:rsidR="00E72304" w:rsidRDefault="00E72304" w:rsidP="00E72304">
      <w:pPr>
        <w:pStyle w:val="a6"/>
        <w:numPr>
          <w:ilvl w:val="0"/>
          <w:numId w:val="2"/>
        </w:numPr>
      </w:pPr>
      <w:r w:rsidRPr="00E72304">
        <w:t xml:space="preserve">Unclear from the methods which states were included in the DALY calculations for both the vaccine and infection outcomes. In the discussion, the authors suddenly introduce that they assume that vaccine-related SAE cases could become chronic. How were the rates used for the progression of SAE into chronic phases calculated? There is data from the Phase III clinical trial on mild, severe, and chronic AESIs, so I would suggest including these (see </w:t>
      </w:r>
      <w:hyperlink r:id="rId6" w:tgtFrame="_blank" w:history="1">
        <w:r w:rsidRPr="00E72304">
          <w:rPr>
            <w:rStyle w:val="aa"/>
          </w:rPr>
          <w:t>https://doi.org/10.3390/vaccines13060576</w:t>
        </w:r>
      </w:hyperlink>
      <w:r w:rsidRPr="00E72304">
        <w:t>)</w:t>
      </w:r>
    </w:p>
    <w:p w14:paraId="6601D016" w14:textId="77777777" w:rsidR="00E72304" w:rsidRDefault="00E72304" w:rsidP="00E72304"/>
    <w:p w14:paraId="744DB4FF" w14:textId="77777777" w:rsidR="00E72304" w:rsidRDefault="00E72304" w:rsidP="00E72304"/>
    <w:p w14:paraId="0EA41F08" w14:textId="77777777" w:rsidR="00E72304" w:rsidRDefault="00E72304" w:rsidP="00E72304"/>
    <w:p w14:paraId="4C476C8A" w14:textId="77777777" w:rsidR="00E72304" w:rsidRDefault="00E72304" w:rsidP="00E72304"/>
    <w:p w14:paraId="6483D3F7" w14:textId="77777777" w:rsidR="00E72304" w:rsidRDefault="00E72304" w:rsidP="00E72304">
      <w:r w:rsidRPr="00E72304">
        <w:lastRenderedPageBreak/>
        <w:t>Supplementary</w:t>
      </w:r>
      <w:r w:rsidRPr="00E72304">
        <w:br/>
      </w:r>
    </w:p>
    <w:p w14:paraId="0A470D2A" w14:textId="77777777" w:rsidR="00E72304" w:rsidRDefault="00E72304" w:rsidP="00E72304">
      <w:pPr>
        <w:pStyle w:val="a6"/>
        <w:numPr>
          <w:ilvl w:val="0"/>
          <w:numId w:val="3"/>
        </w:numPr>
      </w:pPr>
      <w:r w:rsidRPr="00E72304">
        <w:t>Page 14, line 284, the equations for benefit (infection outcomes) are labelled as vaccine-attributable risks.</w:t>
      </w:r>
    </w:p>
    <w:p w14:paraId="249BE013" w14:textId="77777777" w:rsidR="00E72304" w:rsidRDefault="00E72304" w:rsidP="00E72304">
      <w:pPr>
        <w:pStyle w:val="a6"/>
        <w:numPr>
          <w:ilvl w:val="0"/>
          <w:numId w:val="3"/>
        </w:numPr>
      </w:pPr>
      <w:r w:rsidRPr="00E72304">
        <w:t>Page 15, line 329: the DALYs equations for vaccine risk include only hospitalised SAEs and fatalities, but later the methods state that both chronic and acute outcomes were also included in the calculation of vaccine-attributable DALYs.</w:t>
      </w:r>
    </w:p>
    <w:p w14:paraId="07904390" w14:textId="77777777" w:rsidR="00E72304" w:rsidRDefault="00E72304" w:rsidP="00E72304">
      <w:pPr>
        <w:pStyle w:val="a6"/>
        <w:numPr>
          <w:ilvl w:val="0"/>
          <w:numId w:val="3"/>
        </w:numPr>
      </w:pPr>
      <w:r w:rsidRPr="00E72304">
        <w:t xml:space="preserve">Page 16 - equations for the calculation of non-hospitalised, subacute, and chronic cases are missing. Also, there is switching of notation e.g., from </w:t>
      </w:r>
      <w:r w:rsidRPr="00E72304">
        <w:rPr>
          <w:rFonts w:ascii="Cambria Math" w:eastAsia="Cambria Math" w:hAnsi="Cambria Math" w:cs="Cambria Math" w:hint="eastAsia"/>
        </w:rPr>
        <w:t>〖</w:t>
      </w:r>
      <w:r w:rsidRPr="00E72304">
        <w:t>Hosp</w:t>
      </w:r>
      <w:r w:rsidRPr="00E72304">
        <w:rPr>
          <w:rFonts w:ascii="Cambria Math" w:eastAsia="Cambria Math" w:hAnsi="Cambria Math" w:cs="Cambria Math" w:hint="eastAsia"/>
        </w:rPr>
        <w:t>〗</w:t>
      </w:r>
      <w:r w:rsidRPr="00E72304">
        <w:t>_10k^(</w:t>
      </w:r>
      <w:proofErr w:type="spellStart"/>
      <w:proofErr w:type="gramStart"/>
      <w:r w:rsidRPr="00E72304">
        <w:t>x,DZ</w:t>
      </w:r>
      <w:proofErr w:type="spellEnd"/>
      <w:proofErr w:type="gramEnd"/>
      <w:r w:rsidRPr="00E72304">
        <w:t>) (</w:t>
      </w:r>
      <w:proofErr w:type="spellStart"/>
      <w:proofErr w:type="gramStart"/>
      <w:r w:rsidRPr="00E72304">
        <w:t>s,a</w:t>
      </w:r>
      <w:proofErr w:type="gramEnd"/>
      <w:r w:rsidRPr="00E72304">
        <w:t>,d</w:t>
      </w:r>
      <w:proofErr w:type="spellEnd"/>
      <w:r w:rsidRPr="00E72304">
        <w:t>) to H_(</w:t>
      </w:r>
      <w:proofErr w:type="spellStart"/>
      <w:proofErr w:type="gramStart"/>
      <w:r w:rsidRPr="00E72304">
        <w:t>a,k</w:t>
      </w:r>
      <w:proofErr w:type="spellEnd"/>
      <w:proofErr w:type="gramEnd"/>
      <w:r w:rsidRPr="00E72304">
        <w:t>) which makes it difficult to follow the methods. Similarly, equations for DALYs, etc., are presented differently between travellers and outbreak scenarios.</w:t>
      </w:r>
      <w:r w:rsidRPr="00E72304">
        <w:br/>
        <w:t>"The reporting rate was calibrated by the difference between the long-term average annual total cumulative symptomatic cases (2015 - 2024) predicted from the chikungunya FOI map and the total symptomatic cases in 2022 from the counterfactual (without vaccination) scenario." - Please provide additional details on what the chikungunya FOI map refers to and how seroprevalence data were used to calculate the FOI and reporting rate.</w:t>
      </w:r>
    </w:p>
    <w:p w14:paraId="105E5CF4" w14:textId="77777777" w:rsidR="00E72304" w:rsidRDefault="00E72304" w:rsidP="00E72304"/>
    <w:p w14:paraId="734529C0" w14:textId="77777777" w:rsidR="00E72304" w:rsidRDefault="00E72304" w:rsidP="00E72304">
      <w:r w:rsidRPr="00E72304">
        <w:t>Results</w:t>
      </w:r>
      <w:r w:rsidRPr="00E72304">
        <w:br/>
      </w:r>
    </w:p>
    <w:p w14:paraId="28EBFB7C" w14:textId="77777777" w:rsidR="00E72304" w:rsidRDefault="00E72304" w:rsidP="00E72304">
      <w:pPr>
        <w:pStyle w:val="a6"/>
        <w:numPr>
          <w:ilvl w:val="0"/>
          <w:numId w:val="4"/>
        </w:numPr>
      </w:pPr>
      <w:r w:rsidRPr="00E72304">
        <w:t>No deaths were observed in the 18-64-year group, and the authors state that they fixed deaths in this group at 0 in their model, but also repeatedly report a net risk when considering deaths in 18-64-year-olds.</w:t>
      </w:r>
      <w:r w:rsidRPr="00E72304">
        <w:br/>
        <w:t>E.g. "SAE and death risks outweighed benefits across all durations and age groups" and "SAE and death risks outweighed benefits across all travel durations for both age groups"</w:t>
      </w:r>
      <w:r w:rsidRPr="00E72304">
        <w:br/>
        <w:t>Figure S7 is a helpful addition to understanding which assumptions or data are key in driving the paper's findings, but it is currently not mentioned in the main text.</w:t>
      </w:r>
      <w:r w:rsidRPr="00E72304">
        <w:br/>
        <w:t>Throughout the results section, it should be made clear that the uncertainty reflects 95% credible intervals (if that is the case)</w:t>
      </w:r>
      <w:r w:rsidRPr="00E72304">
        <w:br/>
        <w:t>"For older adults aged ≥65 years, benefits outweighed risks for DALYs when the vaccine protected against both infection and disease, reaching 34.25 (2.79- 368.90) DALYs prevented per DALY caused when seropositive individuals were protected from vaccine risks" - it would be helpful here to also include the DALYs averted in this scenario but when the vaccine only protects against disease, as it is less clear right now what the efficacy against infection will be.</w:t>
      </w:r>
    </w:p>
    <w:p w14:paraId="67C11EDC" w14:textId="7AAF0F54" w:rsidR="00E72304" w:rsidRPr="00E72304" w:rsidRDefault="00E72304" w:rsidP="00E72304">
      <w:pPr>
        <w:pStyle w:val="a6"/>
        <w:numPr>
          <w:ilvl w:val="0"/>
          <w:numId w:val="4"/>
        </w:numPr>
      </w:pPr>
      <w:r w:rsidRPr="00E72304">
        <w:t xml:space="preserve">It could be helpful to contextualise the findings using recent outbreaks. For instance, </w:t>
      </w:r>
      <w:r w:rsidRPr="00E72304">
        <w:lastRenderedPageBreak/>
        <w:t>does the high transmission setting (&gt;10%) reflect recent outbreaks such as La Reunion 2025 where ~30% of the population was estimated to be exposed?</w:t>
      </w:r>
    </w:p>
    <w:p w14:paraId="36D20187" w14:textId="77777777" w:rsidR="000F5A85" w:rsidRDefault="000F5A85" w:rsidP="00E72304"/>
    <w:sectPr w:rsidR="000F5A8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373A"/>
    <w:multiLevelType w:val="hybridMultilevel"/>
    <w:tmpl w:val="DF86A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356440"/>
    <w:multiLevelType w:val="hybridMultilevel"/>
    <w:tmpl w:val="823218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DF79C9"/>
    <w:multiLevelType w:val="hybridMultilevel"/>
    <w:tmpl w:val="EFD207A2"/>
    <w:lvl w:ilvl="0" w:tplc="9E9E911A">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C4B5A9B"/>
    <w:multiLevelType w:val="hybridMultilevel"/>
    <w:tmpl w:val="4B4E4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0630733">
    <w:abstractNumId w:val="0"/>
  </w:num>
  <w:num w:numId="2" w16cid:durableId="1595868153">
    <w:abstractNumId w:val="1"/>
  </w:num>
  <w:num w:numId="3" w16cid:durableId="757946259">
    <w:abstractNumId w:val="3"/>
  </w:num>
  <w:num w:numId="4" w16cid:durableId="576407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304"/>
    <w:rsid w:val="000410BF"/>
    <w:rsid w:val="000E13BB"/>
    <w:rsid w:val="000F5A85"/>
    <w:rsid w:val="002929BC"/>
    <w:rsid w:val="002E62C6"/>
    <w:rsid w:val="00472591"/>
    <w:rsid w:val="004C1520"/>
    <w:rsid w:val="004E0D5B"/>
    <w:rsid w:val="00500285"/>
    <w:rsid w:val="0064601E"/>
    <w:rsid w:val="006C6954"/>
    <w:rsid w:val="00853EC9"/>
    <w:rsid w:val="00952D29"/>
    <w:rsid w:val="00A06A19"/>
    <w:rsid w:val="00C137E6"/>
    <w:rsid w:val="00E035D6"/>
    <w:rsid w:val="00E47019"/>
    <w:rsid w:val="00E72304"/>
    <w:rsid w:val="00F26D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9E854"/>
  <w15:chartTrackingRefBased/>
  <w15:docId w15:val="{1076BF88-BCD8-480F-AF0D-54343ED0A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algun Gothic" w:hAnsi="Calibr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Char"/>
    <w:uiPriority w:val="9"/>
    <w:qFormat/>
    <w:rsid w:val="00E723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E723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E7230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semiHidden/>
    <w:unhideWhenUsed/>
    <w:qFormat/>
    <w:rsid w:val="00E7230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E72304"/>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E72304"/>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E72304"/>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E72304"/>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E72304"/>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72304"/>
    <w:rPr>
      <w:rFonts w:asciiTheme="majorHAnsi" w:eastAsiaTheme="majorEastAsia" w:hAnsiTheme="majorHAnsi" w:cstheme="majorBidi"/>
      <w:color w:val="2F5496" w:themeColor="accent1" w:themeShade="BF"/>
      <w:sz w:val="40"/>
      <w:szCs w:val="40"/>
      <w:lang w:val="en-GB"/>
    </w:rPr>
  </w:style>
  <w:style w:type="character" w:customStyle="1" w:styleId="2Char">
    <w:name w:val="제목 2 Char"/>
    <w:basedOn w:val="a0"/>
    <w:link w:val="2"/>
    <w:uiPriority w:val="9"/>
    <w:semiHidden/>
    <w:rsid w:val="00E72304"/>
    <w:rPr>
      <w:rFonts w:asciiTheme="majorHAnsi" w:eastAsiaTheme="majorEastAsia" w:hAnsiTheme="majorHAnsi" w:cstheme="majorBidi"/>
      <w:color w:val="2F5496" w:themeColor="accent1" w:themeShade="BF"/>
      <w:sz w:val="32"/>
      <w:szCs w:val="32"/>
      <w:lang w:val="en-GB"/>
    </w:rPr>
  </w:style>
  <w:style w:type="character" w:customStyle="1" w:styleId="3Char">
    <w:name w:val="제목 3 Char"/>
    <w:basedOn w:val="a0"/>
    <w:link w:val="3"/>
    <w:uiPriority w:val="9"/>
    <w:semiHidden/>
    <w:rsid w:val="00E72304"/>
    <w:rPr>
      <w:rFonts w:asciiTheme="minorHAnsi" w:eastAsiaTheme="majorEastAsia" w:hAnsiTheme="minorHAnsi" w:cstheme="majorBidi"/>
      <w:color w:val="2F5496" w:themeColor="accent1" w:themeShade="BF"/>
      <w:sz w:val="28"/>
      <w:szCs w:val="28"/>
      <w:lang w:val="en-GB"/>
    </w:rPr>
  </w:style>
  <w:style w:type="character" w:customStyle="1" w:styleId="4Char">
    <w:name w:val="제목 4 Char"/>
    <w:basedOn w:val="a0"/>
    <w:link w:val="4"/>
    <w:uiPriority w:val="9"/>
    <w:semiHidden/>
    <w:rsid w:val="00E72304"/>
    <w:rPr>
      <w:rFonts w:asciiTheme="minorHAnsi" w:eastAsiaTheme="majorEastAsia" w:hAnsiTheme="minorHAnsi" w:cstheme="majorBidi"/>
      <w:i/>
      <w:iCs/>
      <w:color w:val="2F5496" w:themeColor="accent1" w:themeShade="BF"/>
      <w:lang w:val="en-GB"/>
    </w:rPr>
  </w:style>
  <w:style w:type="character" w:customStyle="1" w:styleId="5Char">
    <w:name w:val="제목 5 Char"/>
    <w:basedOn w:val="a0"/>
    <w:link w:val="5"/>
    <w:uiPriority w:val="9"/>
    <w:semiHidden/>
    <w:rsid w:val="00E72304"/>
    <w:rPr>
      <w:rFonts w:asciiTheme="minorHAnsi" w:eastAsiaTheme="majorEastAsia" w:hAnsiTheme="minorHAnsi" w:cstheme="majorBidi"/>
      <w:color w:val="2F5496" w:themeColor="accent1" w:themeShade="BF"/>
      <w:lang w:val="en-GB"/>
    </w:rPr>
  </w:style>
  <w:style w:type="character" w:customStyle="1" w:styleId="6Char">
    <w:name w:val="제목 6 Char"/>
    <w:basedOn w:val="a0"/>
    <w:link w:val="6"/>
    <w:uiPriority w:val="9"/>
    <w:semiHidden/>
    <w:rsid w:val="00E72304"/>
    <w:rPr>
      <w:rFonts w:asciiTheme="minorHAnsi" w:eastAsiaTheme="majorEastAsia" w:hAnsiTheme="minorHAnsi" w:cstheme="majorBidi"/>
      <w:i/>
      <w:iCs/>
      <w:color w:val="595959" w:themeColor="text1" w:themeTint="A6"/>
      <w:lang w:val="en-GB"/>
    </w:rPr>
  </w:style>
  <w:style w:type="character" w:customStyle="1" w:styleId="7Char">
    <w:name w:val="제목 7 Char"/>
    <w:basedOn w:val="a0"/>
    <w:link w:val="7"/>
    <w:uiPriority w:val="9"/>
    <w:semiHidden/>
    <w:rsid w:val="00E72304"/>
    <w:rPr>
      <w:rFonts w:asciiTheme="minorHAnsi" w:eastAsiaTheme="majorEastAsia" w:hAnsiTheme="minorHAnsi" w:cstheme="majorBidi"/>
      <w:color w:val="595959" w:themeColor="text1" w:themeTint="A6"/>
      <w:lang w:val="en-GB"/>
    </w:rPr>
  </w:style>
  <w:style w:type="character" w:customStyle="1" w:styleId="8Char">
    <w:name w:val="제목 8 Char"/>
    <w:basedOn w:val="a0"/>
    <w:link w:val="8"/>
    <w:uiPriority w:val="9"/>
    <w:semiHidden/>
    <w:rsid w:val="00E72304"/>
    <w:rPr>
      <w:rFonts w:asciiTheme="minorHAnsi" w:eastAsiaTheme="majorEastAsia" w:hAnsiTheme="minorHAnsi" w:cstheme="majorBidi"/>
      <w:i/>
      <w:iCs/>
      <w:color w:val="272727" w:themeColor="text1" w:themeTint="D8"/>
      <w:lang w:val="en-GB"/>
    </w:rPr>
  </w:style>
  <w:style w:type="character" w:customStyle="1" w:styleId="9Char">
    <w:name w:val="제목 9 Char"/>
    <w:basedOn w:val="a0"/>
    <w:link w:val="9"/>
    <w:uiPriority w:val="9"/>
    <w:semiHidden/>
    <w:rsid w:val="00E72304"/>
    <w:rPr>
      <w:rFonts w:asciiTheme="minorHAnsi" w:eastAsiaTheme="majorEastAsia" w:hAnsiTheme="minorHAnsi" w:cstheme="majorBidi"/>
      <w:color w:val="272727" w:themeColor="text1" w:themeTint="D8"/>
      <w:lang w:val="en-GB"/>
    </w:rPr>
  </w:style>
  <w:style w:type="paragraph" w:styleId="a3">
    <w:name w:val="Title"/>
    <w:basedOn w:val="a"/>
    <w:next w:val="a"/>
    <w:link w:val="Char"/>
    <w:uiPriority w:val="10"/>
    <w:qFormat/>
    <w:rsid w:val="00E72304"/>
    <w:pPr>
      <w:spacing w:after="80"/>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72304"/>
    <w:rPr>
      <w:rFonts w:asciiTheme="majorHAnsi" w:eastAsiaTheme="majorEastAsia" w:hAnsiTheme="majorHAnsi" w:cstheme="majorBidi"/>
      <w:spacing w:val="-10"/>
      <w:kern w:val="28"/>
      <w:sz w:val="56"/>
      <w:szCs w:val="56"/>
      <w:lang w:val="en-GB"/>
    </w:rPr>
  </w:style>
  <w:style w:type="paragraph" w:styleId="a4">
    <w:name w:val="Subtitle"/>
    <w:basedOn w:val="a"/>
    <w:next w:val="a"/>
    <w:link w:val="Char0"/>
    <w:uiPriority w:val="11"/>
    <w:qFormat/>
    <w:rsid w:val="00E7230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Char0">
    <w:name w:val="부제 Char"/>
    <w:basedOn w:val="a0"/>
    <w:link w:val="a4"/>
    <w:uiPriority w:val="11"/>
    <w:rsid w:val="00E72304"/>
    <w:rPr>
      <w:rFonts w:asciiTheme="minorHAnsi" w:eastAsiaTheme="majorEastAsia" w:hAnsiTheme="minorHAnsi" w:cstheme="majorBidi"/>
      <w:color w:val="595959" w:themeColor="text1" w:themeTint="A6"/>
      <w:spacing w:val="15"/>
      <w:sz w:val="28"/>
      <w:szCs w:val="28"/>
      <w:lang w:val="en-GB"/>
    </w:rPr>
  </w:style>
  <w:style w:type="paragraph" w:styleId="a5">
    <w:name w:val="Quote"/>
    <w:basedOn w:val="a"/>
    <w:next w:val="a"/>
    <w:link w:val="Char1"/>
    <w:uiPriority w:val="29"/>
    <w:qFormat/>
    <w:rsid w:val="00E72304"/>
    <w:pPr>
      <w:spacing w:before="160" w:after="160"/>
      <w:jc w:val="center"/>
    </w:pPr>
    <w:rPr>
      <w:i/>
      <w:iCs/>
      <w:color w:val="404040" w:themeColor="text1" w:themeTint="BF"/>
    </w:rPr>
  </w:style>
  <w:style w:type="character" w:customStyle="1" w:styleId="Char1">
    <w:name w:val="인용 Char"/>
    <w:basedOn w:val="a0"/>
    <w:link w:val="a5"/>
    <w:uiPriority w:val="29"/>
    <w:rsid w:val="00E72304"/>
    <w:rPr>
      <w:i/>
      <w:iCs/>
      <w:color w:val="404040" w:themeColor="text1" w:themeTint="BF"/>
      <w:lang w:val="en-GB"/>
    </w:rPr>
  </w:style>
  <w:style w:type="paragraph" w:styleId="a6">
    <w:name w:val="List Paragraph"/>
    <w:basedOn w:val="a"/>
    <w:uiPriority w:val="34"/>
    <w:qFormat/>
    <w:rsid w:val="00E72304"/>
    <w:pPr>
      <w:ind w:left="720"/>
      <w:contextualSpacing/>
    </w:pPr>
  </w:style>
  <w:style w:type="character" w:styleId="a7">
    <w:name w:val="Intense Emphasis"/>
    <w:basedOn w:val="a0"/>
    <w:uiPriority w:val="21"/>
    <w:qFormat/>
    <w:rsid w:val="00E72304"/>
    <w:rPr>
      <w:i/>
      <w:iCs/>
      <w:color w:val="2F5496" w:themeColor="accent1" w:themeShade="BF"/>
    </w:rPr>
  </w:style>
  <w:style w:type="paragraph" w:styleId="a8">
    <w:name w:val="Intense Quote"/>
    <w:basedOn w:val="a"/>
    <w:next w:val="a"/>
    <w:link w:val="Char2"/>
    <w:uiPriority w:val="30"/>
    <w:qFormat/>
    <w:rsid w:val="00E723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E72304"/>
    <w:rPr>
      <w:i/>
      <w:iCs/>
      <w:color w:val="2F5496" w:themeColor="accent1" w:themeShade="BF"/>
      <w:lang w:val="en-GB"/>
    </w:rPr>
  </w:style>
  <w:style w:type="character" w:styleId="a9">
    <w:name w:val="Intense Reference"/>
    <w:basedOn w:val="a0"/>
    <w:uiPriority w:val="32"/>
    <w:qFormat/>
    <w:rsid w:val="00E72304"/>
    <w:rPr>
      <w:b/>
      <w:bCs/>
      <w:smallCaps/>
      <w:color w:val="2F5496" w:themeColor="accent1" w:themeShade="BF"/>
      <w:spacing w:val="5"/>
    </w:rPr>
  </w:style>
  <w:style w:type="character" w:styleId="aa">
    <w:name w:val="Hyperlink"/>
    <w:basedOn w:val="a0"/>
    <w:uiPriority w:val="99"/>
    <w:unhideWhenUsed/>
    <w:rsid w:val="00E72304"/>
    <w:rPr>
      <w:color w:val="0563C1" w:themeColor="hyperlink"/>
      <w:u w:val="single"/>
    </w:rPr>
  </w:style>
  <w:style w:type="character" w:styleId="ab">
    <w:name w:val="Unresolved Mention"/>
    <w:basedOn w:val="a0"/>
    <w:uiPriority w:val="99"/>
    <w:semiHidden/>
    <w:unhideWhenUsed/>
    <w:rsid w:val="00E72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390/vaccines13060576"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E562C-D1AC-4C2C-B3F6-9C74B13C4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1575</Words>
  <Characters>8981</Characters>
  <Application>Microsoft Office Word</Application>
  <DocSecurity>0</DocSecurity>
  <Lines>74</Lines>
  <Paragraphs>21</Paragraphs>
  <ScaleCrop>false</ScaleCrop>
  <Company/>
  <LinksUpToDate>false</LinksUpToDate>
  <CharactersWithSpaces>10535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효림 강</dc:creator>
  <cp:keywords/>
  <dc:description/>
  <cp:lastModifiedBy>효림 강</cp:lastModifiedBy>
  <cp:revision>1</cp:revision>
  <cp:lastPrinted>2026-06-12T06:12:00Z</cp:lastPrinted>
  <dcterms:created xsi:type="dcterms:W3CDTF">2026-06-12T06:10:00Z</dcterms:created>
  <dcterms:modified xsi:type="dcterms:W3CDTF">2026-06-12T06:13:00Z</dcterms:modified>
</cp:coreProperties>
</file>