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2256" w14:textId="77777777" w:rsidR="00D963D0" w:rsidRPr="00EB3C86" w:rsidRDefault="00D963D0" w:rsidP="00EB3C86">
      <w:pPr>
        <w:pStyle w:val="Heading3"/>
        <w:spacing w:line="360" w:lineRule="auto"/>
        <w:rPr>
          <w:rFonts w:ascii="Calibri" w:eastAsiaTheme="minorEastAsia" w:hAnsi="Calibri" w:cs="Calibri"/>
          <w:b/>
          <w:color w:val="000000"/>
          <w:u w:val="single"/>
        </w:rPr>
      </w:pPr>
      <w:r>
        <w:rPr>
          <w:rFonts w:ascii="Calibri" w:hAnsi="Calibri" w:cs="Calibri"/>
        </w:rPr>
        <w:t>Benefit-risk</w:t>
      </w:r>
      <w:r w:rsidRPr="00823D72">
        <w:rPr>
          <w:rFonts w:ascii="Calibri" w:hAnsi="Calibri" w:cs="Calibri"/>
        </w:rPr>
        <w:t xml:space="preserve"> analysis of a live-attenuated chikungunya vaccine, Ixchiq for travel vaccination and age-specific outbreak immunisation strategies</w:t>
      </w:r>
      <w:r>
        <w:rPr>
          <w:rFonts w:ascii="Calibri" w:hAnsi="Calibri" w:cs="Calibri" w:hint="eastAsia"/>
          <w:sz w:val="24"/>
          <w:szCs w:val="24"/>
        </w:rPr>
        <w:t xml:space="preserve">: </w:t>
      </w:r>
      <w:r w:rsidRPr="00EB3C86">
        <w:rPr>
          <w:rFonts w:ascii="Calibri" w:eastAsia="Malgun Gothic" w:hAnsi="Calibri" w:cs="Calibri"/>
        </w:rPr>
        <w:t>a</w:t>
      </w:r>
      <w:r w:rsidRPr="00B5622B">
        <w:rPr>
          <w:rFonts w:ascii="Calibri" w:hAnsi="Calibri" w:cs="Calibri" w:hint="eastAsia"/>
        </w:rPr>
        <w:t xml:space="preserve"> modelling study</w:t>
      </w:r>
    </w:p>
    <w:p w14:paraId="1141ED6D" w14:textId="693BFC9B" w:rsidR="00D963D0" w:rsidRPr="00BC27FF" w:rsidRDefault="79E5C397" w:rsidP="00EB3C86">
      <w:pPr>
        <w:spacing w:line="360" w:lineRule="auto"/>
        <w:rPr>
          <w:rFonts w:ascii="Calibri" w:eastAsia="Malgun Gothic" w:hAnsi="Calibri" w:cs="Calibri"/>
          <w:color w:val="000000"/>
          <w:sz w:val="22"/>
          <w:szCs w:val="22"/>
        </w:rPr>
      </w:pPr>
      <w:r w:rsidRPr="79E5C397">
        <w:rPr>
          <w:rFonts w:ascii="Calibri" w:eastAsia="Malgun Gothic" w:hAnsi="Calibri" w:cs="Calibri"/>
          <w:color w:val="000000" w:themeColor="text1"/>
          <w:sz w:val="22"/>
          <w:szCs w:val="22"/>
        </w:rPr>
        <w:t>Hyolim Kang</w:t>
      </w:r>
      <w:r w:rsidRPr="79E5C397">
        <w:rPr>
          <w:rFonts w:ascii="Calibri" w:eastAsia="Malgun Gothic" w:hAnsi="Calibri" w:cs="Calibri"/>
          <w:color w:val="000000" w:themeColor="text1"/>
          <w:sz w:val="22"/>
          <w:szCs w:val="22"/>
          <w:vertAlign w:val="superscript"/>
        </w:rPr>
        <w:t>1,2,3</w:t>
      </w:r>
      <w:r w:rsidRPr="79E5C397">
        <w:rPr>
          <w:rFonts w:ascii="Calibri" w:eastAsia="Malgun Gothic" w:hAnsi="Calibri" w:cs="Calibri"/>
          <w:color w:val="000000" w:themeColor="text1"/>
          <w:sz w:val="22"/>
          <w:szCs w:val="22"/>
        </w:rPr>
        <w:t>, Andrew Clark</w:t>
      </w:r>
      <w:r w:rsidRPr="79E5C397">
        <w:rPr>
          <w:rFonts w:ascii="Calibri" w:eastAsia="Malgun Gothic" w:hAnsi="Calibri" w:cs="Calibri"/>
          <w:color w:val="000000" w:themeColor="text1"/>
          <w:sz w:val="22"/>
          <w:szCs w:val="22"/>
          <w:vertAlign w:val="superscript"/>
        </w:rPr>
        <w:t>4</w:t>
      </w:r>
      <w:r w:rsidRPr="79E5C397">
        <w:rPr>
          <w:rFonts w:ascii="Calibri" w:eastAsia="Malgun Gothic" w:hAnsi="Calibri" w:cs="Calibri"/>
          <w:color w:val="000000" w:themeColor="text1"/>
          <w:sz w:val="22"/>
          <w:szCs w:val="22"/>
        </w:rPr>
        <w:t>, Ahyoung Lim</w:t>
      </w:r>
      <w:r w:rsidRPr="79E5C397">
        <w:rPr>
          <w:rFonts w:ascii="Calibri" w:eastAsia="Malgun Gothic" w:hAnsi="Calibri" w:cs="Calibri"/>
          <w:color w:val="000000" w:themeColor="text1"/>
          <w:sz w:val="22"/>
          <w:szCs w:val="22"/>
          <w:vertAlign w:val="superscript"/>
        </w:rPr>
        <w:t>1</w:t>
      </w:r>
      <w:r w:rsidRPr="79E5C397">
        <w:rPr>
          <w:rFonts w:ascii="Calibri" w:eastAsia="Malgun Gothic" w:hAnsi="Calibri" w:cs="Calibri"/>
          <w:color w:val="000000" w:themeColor="text1"/>
          <w:sz w:val="22"/>
          <w:szCs w:val="22"/>
        </w:rPr>
        <w:t>, Felipe J. Colón González</w:t>
      </w:r>
      <w:r w:rsidRPr="79E5C397">
        <w:rPr>
          <w:rFonts w:ascii="Calibri" w:eastAsia="Malgun Gothic" w:hAnsi="Calibri" w:cs="Calibri"/>
          <w:color w:val="000000" w:themeColor="text1"/>
          <w:sz w:val="22"/>
          <w:szCs w:val="22"/>
          <w:vertAlign w:val="superscript"/>
        </w:rPr>
        <w:t>5</w:t>
      </w:r>
      <w:r w:rsidRPr="79E5C397">
        <w:rPr>
          <w:rFonts w:ascii="Calibri" w:eastAsia="Malgun Gothic" w:hAnsi="Calibri" w:cs="Calibri"/>
          <w:color w:val="000000" w:themeColor="text1"/>
          <w:sz w:val="22"/>
          <w:szCs w:val="22"/>
        </w:rPr>
        <w:t>, Hannah Eleanor Clapham</w:t>
      </w:r>
      <w:r w:rsidRPr="79E5C397">
        <w:rPr>
          <w:rFonts w:ascii="Calibri" w:eastAsia="Malgun Gothic" w:hAnsi="Calibri" w:cs="Calibri"/>
          <w:color w:val="000000" w:themeColor="text1"/>
          <w:sz w:val="22"/>
          <w:szCs w:val="22"/>
          <w:vertAlign w:val="superscript"/>
        </w:rPr>
        <w:t>6</w:t>
      </w:r>
      <w:r w:rsidRPr="79E5C397">
        <w:rPr>
          <w:rFonts w:ascii="Calibri" w:eastAsia="Malgun Gothic" w:hAnsi="Calibri" w:cs="Calibri"/>
          <w:color w:val="000000" w:themeColor="text1"/>
          <w:sz w:val="22"/>
          <w:szCs w:val="22"/>
        </w:rPr>
        <w:t xml:space="preserve">, </w:t>
      </w:r>
      <w:r w:rsidRPr="79E5C397">
        <w:rPr>
          <w:rFonts w:ascii="Calibri" w:eastAsia="Malgun Gothic" w:hAnsi="Calibri" w:cs="Calibri"/>
          <w:sz w:val="22"/>
          <w:szCs w:val="22"/>
        </w:rPr>
        <w:t>Jong-Hoon Kim</w:t>
      </w:r>
      <w:r w:rsidRPr="79E5C397">
        <w:rPr>
          <w:rFonts w:ascii="Calibri" w:eastAsia="Malgun Gothic" w:hAnsi="Calibri" w:cs="Calibri"/>
          <w:sz w:val="22"/>
          <w:szCs w:val="22"/>
          <w:vertAlign w:val="superscript"/>
        </w:rPr>
        <w:t>7</w:t>
      </w:r>
      <w:r w:rsidRPr="79E5C397">
        <w:rPr>
          <w:rFonts w:ascii="Calibri" w:eastAsia="Malgun Gothic" w:hAnsi="Calibri" w:cs="Calibri"/>
          <w:sz w:val="22"/>
          <w:szCs w:val="22"/>
        </w:rPr>
        <w:t>, Megan Auzenbergs</w:t>
      </w:r>
      <w:r w:rsidRPr="79E5C397">
        <w:rPr>
          <w:rFonts w:ascii="Calibri" w:eastAsia="Malgun Gothic" w:hAnsi="Calibri" w:cs="Calibri"/>
          <w:color w:val="000000" w:themeColor="text1"/>
          <w:sz w:val="22"/>
          <w:szCs w:val="22"/>
          <w:vertAlign w:val="superscript"/>
        </w:rPr>
        <w:t>8</w:t>
      </w:r>
      <w:r w:rsidRPr="79E5C397">
        <w:rPr>
          <w:rFonts w:ascii="Calibri" w:eastAsia="Malgun Gothic" w:hAnsi="Calibri" w:cs="Calibri"/>
          <w:sz w:val="22"/>
          <w:szCs w:val="22"/>
        </w:rPr>
        <w:t xml:space="preserve">, </w:t>
      </w:r>
      <w:r w:rsidRPr="79E5C397">
        <w:rPr>
          <w:rFonts w:ascii="Calibri" w:eastAsia="Malgun Gothic" w:hAnsi="Calibri" w:cs="Calibri"/>
          <w:color w:val="000000" w:themeColor="text1"/>
          <w:sz w:val="22"/>
          <w:szCs w:val="22"/>
        </w:rPr>
        <w:t>So Yoon Sim</w:t>
      </w:r>
      <w:r w:rsidRPr="79E5C397">
        <w:rPr>
          <w:rFonts w:ascii="Calibri" w:eastAsia="Malgun Gothic" w:hAnsi="Calibri" w:cs="Calibri"/>
          <w:color w:val="000000" w:themeColor="text1"/>
          <w:sz w:val="22"/>
          <w:szCs w:val="22"/>
          <w:vertAlign w:val="superscript"/>
        </w:rPr>
        <w:t>9</w:t>
      </w:r>
      <w:r w:rsidRPr="79E5C397">
        <w:rPr>
          <w:rFonts w:ascii="Calibri" w:eastAsia="Malgun Gothic" w:hAnsi="Calibri" w:cs="Calibri"/>
          <w:color w:val="000000" w:themeColor="text1"/>
          <w:sz w:val="22"/>
          <w:szCs w:val="22"/>
        </w:rPr>
        <w:t>, Zulma M. Cucunubá, Sandra López-Vergès, Jean-Paul Carrera, Timothy Endy</w:t>
      </w:r>
      <w:r w:rsidRPr="79E5C397">
        <w:rPr>
          <w:rFonts w:ascii="Calibri" w:eastAsia="Malgun Gothic" w:hAnsi="Calibri" w:cs="Calibri"/>
          <w:color w:val="A02B93" w:themeColor="accent5"/>
          <w:sz w:val="22"/>
          <w:szCs w:val="22"/>
        </w:rPr>
        <w:t xml:space="preserve">, </w:t>
      </w:r>
      <w:r w:rsidRPr="79E5C397">
        <w:rPr>
          <w:rFonts w:ascii="Calibri" w:eastAsia="Malgun Gothic" w:hAnsi="Calibri" w:cs="Calibri"/>
          <w:color w:val="000000" w:themeColor="text1"/>
          <w:sz w:val="22"/>
          <w:szCs w:val="22"/>
        </w:rPr>
        <w:t>Kim Mulholland, John Edmunds, S</w:t>
      </w:r>
      <w:commentRangeStart w:id="0"/>
      <w:r w:rsidRPr="79E5C397">
        <w:rPr>
          <w:rFonts w:ascii="Calibri" w:eastAsia="Malgun Gothic" w:hAnsi="Calibri" w:cs="Calibri"/>
          <w:color w:val="000000" w:themeColor="text1"/>
          <w:sz w:val="22"/>
          <w:szCs w:val="22"/>
        </w:rPr>
        <w:t>ushan</w:t>
      </w:r>
      <w:commentRangeEnd w:id="0"/>
      <w:r w:rsidR="00D963D0" w:rsidRPr="79E5C397">
        <w:rPr>
          <w:rStyle w:val="CommentReference"/>
          <w:rFonts w:ascii="Calibri" w:eastAsia="Malgun Gothic" w:hAnsi="Calibri" w:cs="Calibri"/>
          <w:color w:val="000000" w:themeColor="text1"/>
          <w:sz w:val="22"/>
          <w:szCs w:val="22"/>
        </w:rPr>
        <w:commentReference w:id="0"/>
      </w:r>
      <w:r w:rsidRPr="79E5C397">
        <w:rPr>
          <w:rFonts w:ascii="Calibri" w:eastAsia="Malgun Gothic" w:hAnsi="Calibri" w:cs="Calibri"/>
          <w:color w:val="000000" w:themeColor="text1"/>
          <w:sz w:val="22"/>
          <w:szCs w:val="22"/>
        </w:rPr>
        <w:t>t Sahastrabuddhe</w:t>
      </w:r>
      <w:r w:rsidRPr="79E5C397">
        <w:rPr>
          <w:rFonts w:ascii="Calibri" w:eastAsia="Malgun Gothic" w:hAnsi="Calibri" w:cs="Calibri"/>
          <w:color w:val="000000" w:themeColor="text1"/>
          <w:sz w:val="22"/>
          <w:szCs w:val="22"/>
          <w:vertAlign w:val="superscript"/>
        </w:rPr>
        <w:t>3,7</w:t>
      </w:r>
      <w:r w:rsidRPr="79E5C397">
        <w:rPr>
          <w:rFonts w:ascii="Calibri" w:eastAsia="Malgun Gothic" w:hAnsi="Calibri" w:cs="Calibri"/>
          <w:color w:val="000000" w:themeColor="text1"/>
          <w:sz w:val="22"/>
          <w:szCs w:val="22"/>
        </w:rPr>
        <w:t>, Oliver J. Brady</w:t>
      </w:r>
      <w:r w:rsidRPr="79E5C397">
        <w:rPr>
          <w:rFonts w:ascii="Calibri" w:eastAsia="Malgun Gothic" w:hAnsi="Calibri" w:cs="Calibri"/>
          <w:color w:val="000000" w:themeColor="text1"/>
          <w:sz w:val="22"/>
          <w:szCs w:val="22"/>
          <w:vertAlign w:val="superscript"/>
        </w:rPr>
        <w:t>1</w:t>
      </w:r>
      <w:r w:rsidR="00912072">
        <w:rPr>
          <w:rFonts w:ascii="Calibri" w:eastAsia="Malgun Gothic" w:hAnsi="Calibri" w:cs="Calibri" w:hint="eastAsia"/>
          <w:color w:val="000000" w:themeColor="text1"/>
          <w:sz w:val="22"/>
          <w:szCs w:val="22"/>
          <w:vertAlign w:val="superscript"/>
        </w:rPr>
        <w:t>*</w:t>
      </w:r>
      <w:r w:rsidRPr="79E5C397">
        <w:rPr>
          <w:rFonts w:ascii="Calibri" w:eastAsia="Malgun Gothic" w:hAnsi="Calibri" w:cs="Calibri"/>
          <w:color w:val="000000" w:themeColor="text1"/>
          <w:sz w:val="22"/>
          <w:szCs w:val="22"/>
        </w:rPr>
        <w:t>, Kaja Abbas</w:t>
      </w:r>
      <w:r w:rsidRPr="79E5C397">
        <w:rPr>
          <w:rFonts w:ascii="Calibri" w:eastAsia="Malgun Gothic" w:hAnsi="Calibri" w:cs="Calibri"/>
          <w:color w:val="000000" w:themeColor="text1"/>
          <w:sz w:val="22"/>
          <w:szCs w:val="22"/>
          <w:vertAlign w:val="superscript"/>
        </w:rPr>
        <w:t>1,2,3</w:t>
      </w:r>
      <w:r w:rsidR="00912072">
        <w:rPr>
          <w:rFonts w:ascii="Calibri" w:eastAsia="Malgun Gothic" w:hAnsi="Calibri" w:cs="Calibri" w:hint="eastAsia"/>
          <w:color w:val="000000" w:themeColor="text1"/>
          <w:sz w:val="22"/>
          <w:szCs w:val="22"/>
          <w:vertAlign w:val="superscript"/>
        </w:rPr>
        <w:t>*</w:t>
      </w:r>
    </w:p>
    <w:p w14:paraId="293E1A35" w14:textId="77777777" w:rsidR="00D963D0" w:rsidRDefault="00D963D0" w:rsidP="00EB3C86">
      <w:pPr>
        <w:spacing w:line="360" w:lineRule="auto"/>
        <w:rPr>
          <w:rFonts w:ascii="Calibri" w:eastAsiaTheme="minorEastAsia" w:hAnsi="Calibri" w:cs="Calibri"/>
          <w:bCs/>
          <w:color w:val="000000"/>
          <w:sz w:val="22"/>
          <w:szCs w:val="22"/>
        </w:rPr>
      </w:pPr>
    </w:p>
    <w:p w14:paraId="4E803227" w14:textId="77777777" w:rsidR="00D963D0" w:rsidRDefault="00D963D0" w:rsidP="00EB3C86">
      <w:pPr>
        <w:spacing w:line="360" w:lineRule="auto"/>
        <w:rPr>
          <w:rFonts w:ascii="Calibri" w:eastAsiaTheme="minorEastAsia" w:hAnsi="Calibri" w:cs="Calibri"/>
          <w:bCs/>
          <w:color w:val="000000"/>
          <w:sz w:val="22"/>
          <w:szCs w:val="22"/>
        </w:rPr>
      </w:pPr>
    </w:p>
    <w:p w14:paraId="2710E646" w14:textId="77777777" w:rsidR="00D963D0" w:rsidRPr="00823D72" w:rsidRDefault="00D963D0" w:rsidP="00EB3C86">
      <w:pPr>
        <w:spacing w:line="360" w:lineRule="auto"/>
        <w:rPr>
          <w:rFonts w:ascii="Calibri" w:eastAsiaTheme="minorEastAsia" w:hAnsi="Calibri" w:cs="Calibri"/>
          <w:bCs/>
          <w:color w:val="000000"/>
          <w:sz w:val="22"/>
          <w:szCs w:val="22"/>
        </w:rPr>
      </w:pPr>
    </w:p>
    <w:p w14:paraId="4E5ED8AE" w14:textId="77777777" w:rsidR="00D963D0" w:rsidRDefault="00D963D0" w:rsidP="00EB3C86">
      <w:pPr>
        <w:spacing w:line="360" w:lineRule="auto"/>
        <w:rPr>
          <w:rFonts w:ascii="Calibri" w:eastAsiaTheme="minorEastAsia" w:hAnsi="Calibri" w:cs="Calibri"/>
          <w:b/>
          <w:color w:val="000000"/>
          <w:sz w:val="22"/>
          <w:szCs w:val="22"/>
          <w:u w:val="single"/>
        </w:rPr>
      </w:pPr>
    </w:p>
    <w:p w14:paraId="27AB6F78" w14:textId="77777777" w:rsidR="00D963D0" w:rsidRDefault="00D963D0" w:rsidP="00EB3C86">
      <w:pPr>
        <w:spacing w:line="360" w:lineRule="auto"/>
        <w:rPr>
          <w:rFonts w:ascii="Calibri" w:eastAsiaTheme="minorEastAsia" w:hAnsi="Calibri" w:cs="Calibri"/>
          <w:b/>
          <w:color w:val="000000"/>
          <w:sz w:val="22"/>
          <w:szCs w:val="22"/>
          <w:u w:val="single"/>
        </w:rPr>
        <w:sectPr w:rsidR="00D963D0" w:rsidSect="00D963D0">
          <w:pgSz w:w="11906" w:h="16838"/>
          <w:pgMar w:top="1440" w:right="1440" w:bottom="1440" w:left="1440" w:header="709" w:footer="709" w:gutter="0"/>
          <w:lnNumType w:countBy="5" w:restart="continuous"/>
          <w:cols w:space="708"/>
          <w:docGrid w:linePitch="360"/>
        </w:sectPr>
      </w:pPr>
    </w:p>
    <w:p w14:paraId="76E0036A" w14:textId="77777777" w:rsidR="00D963D0" w:rsidRDefault="00D963D0" w:rsidP="00EB3C86">
      <w:pPr>
        <w:spacing w:line="360" w:lineRule="auto"/>
        <w:rPr>
          <w:rStyle w:val="IntenseEmphasis"/>
        </w:rPr>
      </w:pPr>
      <w:r>
        <w:rPr>
          <w:rStyle w:val="IntenseEmphasis"/>
          <w:rFonts w:eastAsia="Malgun Gothic" w:hint="eastAsia"/>
        </w:rPr>
        <w:t>Summary</w:t>
      </w:r>
    </w:p>
    <w:p w14:paraId="0AEFFBE3" w14:textId="77777777" w:rsidR="00D963D0" w:rsidRPr="00A122FB" w:rsidRDefault="00D963D0" w:rsidP="00EB3C86">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Background</w:t>
      </w:r>
      <w:r>
        <w:rPr>
          <w:rFonts w:ascii="Calibri" w:eastAsia="Malgun Gothic" w:hAnsi="Calibri" w:cs="Calibri" w:hint="eastAsia"/>
          <w:b/>
          <w:color w:val="000000"/>
          <w:sz w:val="22"/>
          <w:szCs w:val="22"/>
        </w:rPr>
        <w:t xml:space="preserve"> </w:t>
      </w:r>
    </w:p>
    <w:p w14:paraId="339EE90A" w14:textId="77777777" w:rsidR="00D963D0" w:rsidRPr="00791B5A" w:rsidRDefault="00D963D0" w:rsidP="00EB3C86">
      <w:pPr>
        <w:spacing w:line="360" w:lineRule="auto"/>
        <w:rPr>
          <w:rFonts w:ascii="Calibri" w:eastAsia="Malgun Gothic" w:hAnsi="Calibri" w:cs="Calibri"/>
          <w:color w:val="000000"/>
          <w:sz w:val="22"/>
          <w:szCs w:val="22"/>
        </w:rPr>
      </w:pPr>
      <w:r>
        <w:rPr>
          <w:rFonts w:ascii="Calibri" w:eastAsia="Malgun Gothic" w:hAnsi="Calibri" w:cs="Calibri"/>
          <w:bCs/>
          <w:color w:val="000000"/>
          <w:sz w:val="22"/>
          <w:szCs w:val="22"/>
        </w:rPr>
        <w:t>The r</w:t>
      </w:r>
      <w:r>
        <w:rPr>
          <w:rFonts w:ascii="Calibri" w:eastAsia="Malgun Gothic" w:hAnsi="Calibri" w:cs="Calibri" w:hint="eastAsia"/>
          <w:bCs/>
          <w:color w:val="000000"/>
          <w:sz w:val="22"/>
          <w:szCs w:val="22"/>
        </w:rPr>
        <w:t xml:space="preserve">egulatory landscape </w:t>
      </w:r>
      <w:r>
        <w:rPr>
          <w:rFonts w:ascii="Calibri" w:eastAsia="Malgun Gothic" w:hAnsi="Calibri" w:cs="Calibri"/>
          <w:bCs/>
          <w:color w:val="000000"/>
          <w:sz w:val="22"/>
          <w:szCs w:val="22"/>
        </w:rPr>
        <w:t>for</w:t>
      </w:r>
      <w:r>
        <w:rPr>
          <w:rFonts w:ascii="Calibri" w:eastAsia="Malgun Gothic" w:hAnsi="Calibri" w:cs="Calibri" w:hint="eastAsia"/>
          <w:bCs/>
          <w:color w:val="000000"/>
          <w:sz w:val="22"/>
          <w:szCs w:val="22"/>
        </w:rPr>
        <w:t xml:space="preserve"> the first live-attenuated chikungunya vaccine</w:t>
      </w:r>
      <w:r>
        <w:rPr>
          <w:rFonts w:ascii="Calibri" w:eastAsia="Malgun Gothic" w:hAnsi="Calibri" w:cs="Calibri"/>
          <w:bCs/>
          <w:color w:val="000000"/>
          <w:sz w:val="22"/>
          <w:szCs w:val="22"/>
        </w:rPr>
        <w:t xml:space="preserve"> (</w:t>
      </w:r>
      <w:r>
        <w:rPr>
          <w:rFonts w:ascii="Calibri" w:eastAsia="Malgun Gothic" w:hAnsi="Calibri" w:cs="Calibri" w:hint="eastAsia"/>
          <w:bCs/>
          <w:color w:val="000000"/>
          <w:sz w:val="22"/>
          <w:szCs w:val="22"/>
        </w:rPr>
        <w:t>Ixchiq</w:t>
      </w:r>
      <w:r>
        <w:rPr>
          <w:rFonts w:ascii="Calibri" w:eastAsia="Malgun Gothic" w:hAnsi="Calibri" w:cs="Calibri"/>
          <w:bCs/>
          <w:color w:val="000000"/>
          <w:sz w:val="22"/>
          <w:szCs w:val="22"/>
        </w:rPr>
        <w:t xml:space="preserve">) </w:t>
      </w:r>
      <w:r>
        <w:rPr>
          <w:rFonts w:ascii="Calibri" w:eastAsia="Malgun Gothic" w:hAnsi="Calibri" w:cs="Calibri" w:hint="eastAsia"/>
          <w:bCs/>
          <w:color w:val="000000"/>
          <w:sz w:val="22"/>
          <w:szCs w:val="22"/>
        </w:rPr>
        <w:t xml:space="preserve">has </w:t>
      </w:r>
      <w:r>
        <w:rPr>
          <w:rFonts w:ascii="Calibri" w:eastAsia="Malgun Gothic" w:hAnsi="Calibri" w:cs="Calibri"/>
          <w:bCs/>
          <w:color w:val="000000"/>
          <w:sz w:val="22"/>
          <w:szCs w:val="22"/>
        </w:rPr>
        <w:t>shifted rapidly since</w:t>
      </w:r>
      <w:r>
        <w:rPr>
          <w:rFonts w:ascii="Calibri" w:eastAsia="Malgun Gothic" w:hAnsi="Calibri" w:cs="Calibri" w:hint="eastAsia"/>
          <w:bCs/>
          <w:color w:val="000000"/>
          <w:sz w:val="22"/>
          <w:szCs w:val="22"/>
        </w:rPr>
        <w:t xml:space="preserve"> its </w:t>
      </w:r>
      <w:r>
        <w:rPr>
          <w:rFonts w:ascii="Calibri" w:eastAsia="Malgun Gothic" w:hAnsi="Calibri" w:cs="Calibri"/>
          <w:bCs/>
          <w:color w:val="000000"/>
          <w:sz w:val="22"/>
          <w:szCs w:val="22"/>
        </w:rPr>
        <w:t>deployment after the</w:t>
      </w:r>
      <w:r>
        <w:rPr>
          <w:rFonts w:ascii="Calibri" w:eastAsia="Malgun Gothic" w:hAnsi="Calibri" w:cs="Calibri" w:hint="eastAsia"/>
          <w:bCs/>
          <w:color w:val="000000"/>
          <w:sz w:val="22"/>
          <w:szCs w:val="22"/>
        </w:rPr>
        <w:t xml:space="preserve"> La </w:t>
      </w:r>
      <w:r w:rsidRPr="00FC50C7">
        <w:rPr>
          <w:rFonts w:ascii="Calibri" w:eastAsia="Malgun Gothic" w:hAnsi="Calibri" w:cs="Calibri"/>
          <w:bCs/>
          <w:color w:val="000000"/>
          <w:sz w:val="22"/>
          <w:szCs w:val="22"/>
        </w:rPr>
        <w:t>Réunion</w:t>
      </w:r>
      <w:r>
        <w:rPr>
          <w:rFonts w:ascii="Calibri" w:eastAsia="Malgun Gothic" w:hAnsi="Calibri" w:cs="Calibri"/>
          <w:bCs/>
          <w:color w:val="000000"/>
          <w:sz w:val="22"/>
          <w:szCs w:val="22"/>
        </w:rPr>
        <w:t xml:space="preserve"> outbreak </w:t>
      </w:r>
      <w:r>
        <w:rPr>
          <w:rFonts w:ascii="Calibri" w:eastAsia="Malgun Gothic" w:hAnsi="Calibri" w:cs="Calibri" w:hint="eastAsia"/>
          <w:bCs/>
          <w:color w:val="000000"/>
          <w:sz w:val="22"/>
          <w:szCs w:val="22"/>
        </w:rPr>
        <w:t xml:space="preserve">in April 2025. Our aim is to assess the benefit-risk of Ixchiq </w:t>
      </w:r>
      <w:r>
        <w:rPr>
          <w:rFonts w:ascii="Calibri" w:eastAsia="Malgun Gothic" w:hAnsi="Calibri" w:cs="Calibri"/>
          <w:bCs/>
          <w:color w:val="000000"/>
          <w:sz w:val="22"/>
          <w:szCs w:val="22"/>
          <w:lang w:val="en-US"/>
        </w:rPr>
        <w:t>for</w:t>
      </w:r>
      <w:r>
        <w:rPr>
          <w:rFonts w:ascii="Calibri" w:eastAsia="Malgun Gothic" w:hAnsi="Calibri" w:cs="Calibri" w:hint="eastAsia"/>
          <w:bCs/>
          <w:color w:val="000000"/>
          <w:sz w:val="22"/>
          <w:szCs w:val="22"/>
        </w:rPr>
        <w:t xml:space="preserve"> traveller </w:t>
      </w:r>
      <w:r>
        <w:rPr>
          <w:rFonts w:ascii="Calibri" w:eastAsia="Malgun Gothic" w:hAnsi="Calibri" w:cs="Calibri"/>
          <w:bCs/>
          <w:color w:val="000000"/>
          <w:sz w:val="22"/>
          <w:szCs w:val="22"/>
        </w:rPr>
        <w:t>vaccination</w:t>
      </w:r>
      <w:r>
        <w:rPr>
          <w:rFonts w:ascii="Calibri" w:eastAsia="Malgun Gothic" w:hAnsi="Calibri" w:cs="Calibri" w:hint="eastAsia"/>
          <w:bCs/>
          <w:color w:val="000000"/>
          <w:sz w:val="22"/>
          <w:szCs w:val="22"/>
        </w:rPr>
        <w:t xml:space="preserve"> and age-specific outbreak response immunisation </w:t>
      </w:r>
      <w:r>
        <w:rPr>
          <w:rFonts w:ascii="Calibri" w:eastAsia="Malgun Gothic" w:hAnsi="Calibri" w:cs="Calibri"/>
          <w:bCs/>
          <w:color w:val="000000"/>
          <w:sz w:val="22"/>
          <w:szCs w:val="22"/>
        </w:rPr>
        <w:t>across a</w:t>
      </w:r>
      <w:r>
        <w:rPr>
          <w:rFonts w:ascii="Calibri" w:eastAsia="Malgun Gothic" w:hAnsi="Calibri" w:cs="Calibri" w:hint="eastAsia"/>
          <w:bCs/>
          <w:color w:val="000000"/>
          <w:sz w:val="22"/>
          <w:szCs w:val="22"/>
        </w:rPr>
        <w:t xml:space="preserve"> range of outbreak scenarios. </w:t>
      </w:r>
    </w:p>
    <w:p w14:paraId="725EF999" w14:textId="77777777" w:rsidR="00D963D0" w:rsidRPr="00BC27FF" w:rsidRDefault="00D963D0" w:rsidP="00EB3C86">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Methods</w:t>
      </w:r>
    </w:p>
    <w:p w14:paraId="409A6209" w14:textId="7FEC2352" w:rsidR="00D963D0" w:rsidRDefault="00D963D0" w:rsidP="00EB3C86">
      <w:pPr>
        <w:spacing w:line="360" w:lineRule="auto"/>
        <w:rPr>
          <w:rFonts w:ascii="Calibri" w:eastAsia="Malgun Gothic" w:hAnsi="Calibri" w:cs="Calibri"/>
          <w:bCs/>
          <w:color w:val="000000"/>
          <w:sz w:val="22"/>
          <w:szCs w:val="22"/>
        </w:rPr>
      </w:pPr>
      <w:r w:rsidRPr="63439BCA">
        <w:rPr>
          <w:rFonts w:ascii="Calibri" w:eastAsia="Malgun Gothic" w:hAnsi="Calibri" w:cs="Calibri" w:hint="eastAsia"/>
          <w:color w:val="000000" w:themeColor="text1"/>
          <w:sz w:val="22"/>
          <w:szCs w:val="22"/>
        </w:rPr>
        <w:t xml:space="preserve">We </w:t>
      </w:r>
      <w:r w:rsidRPr="63439BCA">
        <w:rPr>
          <w:rFonts w:ascii="Calibri" w:eastAsia="Malgun Gothic" w:hAnsi="Calibri" w:cs="Calibri"/>
          <w:color w:val="000000" w:themeColor="text1"/>
          <w:sz w:val="22"/>
          <w:szCs w:val="22"/>
          <w:lang w:val="en-US"/>
        </w:rPr>
        <w:t xml:space="preserve">assessed </w:t>
      </w:r>
      <w:r w:rsidRPr="63439BCA">
        <w:rPr>
          <w:rFonts w:ascii="Calibri" w:eastAsia="Malgun Gothic" w:hAnsi="Calibri" w:cs="Calibri" w:hint="eastAsia"/>
          <w:color w:val="000000" w:themeColor="text1"/>
          <w:sz w:val="22"/>
          <w:szCs w:val="22"/>
        </w:rPr>
        <w:t xml:space="preserve">benefit-risk </w:t>
      </w:r>
      <w:r w:rsidRPr="63439BCA">
        <w:rPr>
          <w:rFonts w:ascii="Calibri" w:eastAsia="Malgun Gothic" w:hAnsi="Calibri" w:cs="Calibri"/>
          <w:color w:val="000000" w:themeColor="text1"/>
          <w:sz w:val="22"/>
          <w:szCs w:val="22"/>
        </w:rPr>
        <w:t xml:space="preserve">of Ixchiq </w:t>
      </w:r>
      <w:r w:rsidRPr="63439BCA">
        <w:rPr>
          <w:rFonts w:ascii="Calibri" w:eastAsia="Malgun Gothic" w:hAnsi="Calibri" w:cs="Calibri" w:hint="eastAsia"/>
          <w:color w:val="000000" w:themeColor="text1"/>
          <w:sz w:val="22"/>
          <w:szCs w:val="22"/>
        </w:rPr>
        <w:t>for</w:t>
      </w:r>
      <w:r w:rsidRPr="63439BCA">
        <w:rPr>
          <w:rFonts w:ascii="Calibri" w:eastAsia="Malgun Gothic" w:hAnsi="Calibri" w:cs="Calibri"/>
          <w:color w:val="000000" w:themeColor="text1"/>
          <w:sz w:val="22"/>
          <w:szCs w:val="22"/>
        </w:rPr>
        <w:t xml:space="preserve"> travellers and outbreak response in four age groups (1-11, 12-17, 18-59, ≥60 years)</w:t>
      </w:r>
      <w:r w:rsidRPr="63439BCA">
        <w:rPr>
          <w:rFonts w:ascii="Calibri" w:eastAsia="Malgun Gothic" w:hAnsi="Calibri" w:cs="Calibri" w:hint="eastAsia"/>
          <w:color w:val="000000" w:themeColor="text1"/>
          <w:sz w:val="22"/>
          <w:szCs w:val="22"/>
        </w:rPr>
        <w:t>. For traveller</w:t>
      </w:r>
      <w:r w:rsidRPr="63439BCA">
        <w:rPr>
          <w:rFonts w:ascii="Calibri" w:eastAsia="Malgun Gothic" w:hAnsi="Calibri" w:cs="Calibri"/>
          <w:color w:val="000000" w:themeColor="text1"/>
          <w:sz w:val="22"/>
          <w:szCs w:val="22"/>
        </w:rPr>
        <w:t>s</w:t>
      </w:r>
      <w:r w:rsidRPr="63439BCA">
        <w:rPr>
          <w:rFonts w:ascii="Calibri" w:eastAsia="Malgun Gothic" w:hAnsi="Calibri" w:cs="Calibri" w:hint="eastAsia"/>
          <w:color w:val="000000" w:themeColor="text1"/>
          <w:sz w:val="22"/>
          <w:szCs w:val="22"/>
        </w:rPr>
        <w:t xml:space="preserve">, we </w:t>
      </w:r>
      <w:r w:rsidRPr="63439BCA">
        <w:rPr>
          <w:rFonts w:ascii="Calibri" w:eastAsia="Malgun Gothic" w:hAnsi="Calibri" w:cs="Calibri"/>
          <w:color w:val="000000" w:themeColor="text1"/>
          <w:sz w:val="22"/>
          <w:szCs w:val="22"/>
        </w:rPr>
        <w:t xml:space="preserve">varied travel duration (7, 14, 30, 90 days) and total attack rate (1-80%), estimating cumulative infection risk during travel. For outbreak response immunisation, </w:t>
      </w:r>
      <w:commentRangeStart w:id="1"/>
      <w:r w:rsidR="7CEFCCB5" w:rsidRPr="63439BCA">
        <w:rPr>
          <w:rFonts w:ascii="Calibri" w:eastAsia="Malgun Gothic" w:hAnsi="Calibri" w:cs="Calibri"/>
          <w:color w:val="000000" w:themeColor="text1"/>
          <w:sz w:val="22"/>
          <w:szCs w:val="22"/>
        </w:rPr>
        <w:t>we used age-specific</w:t>
      </w:r>
      <w:r w:rsidRPr="63439BCA">
        <w:rPr>
          <w:rFonts w:ascii="Calibri" w:eastAsia="Malgun Gothic" w:hAnsi="Calibri" w:cs="Calibri"/>
          <w:color w:val="000000" w:themeColor="text1"/>
          <w:sz w:val="22"/>
          <w:szCs w:val="22"/>
        </w:rPr>
        <w:t xml:space="preserve"> </w:t>
      </w:r>
      <w:r w:rsidR="3C92588F" w:rsidRPr="63439BCA">
        <w:rPr>
          <w:rFonts w:ascii="Calibri" w:eastAsia="Malgun Gothic" w:hAnsi="Calibri" w:cs="Calibri"/>
          <w:color w:val="000000" w:themeColor="text1"/>
          <w:sz w:val="22"/>
          <w:szCs w:val="22"/>
        </w:rPr>
        <w:t>estimates of</w:t>
      </w:r>
      <w:r w:rsidRPr="63439BCA">
        <w:rPr>
          <w:rFonts w:ascii="Calibri" w:eastAsia="Malgun Gothic" w:hAnsi="Calibri" w:cs="Calibri"/>
          <w:color w:val="000000" w:themeColor="text1"/>
          <w:sz w:val="22"/>
          <w:szCs w:val="22"/>
        </w:rPr>
        <w:t xml:space="preserve"> deaths and hospitalisations averted</w:t>
      </w:r>
      <w:commentRangeEnd w:id="1"/>
      <w:r w:rsidRPr="63439BCA">
        <w:rPr>
          <w:rStyle w:val="CommentReference"/>
          <w:rFonts w:ascii="Calibri" w:eastAsia="Malgun Gothic" w:hAnsi="Calibri" w:cs="Calibri"/>
          <w:color w:val="000000" w:themeColor="text1"/>
          <w:sz w:val="22"/>
          <w:szCs w:val="22"/>
        </w:rPr>
        <w:commentReference w:id="1"/>
      </w:r>
      <w:r w:rsidRPr="63439BCA">
        <w:rPr>
          <w:rFonts w:ascii="Calibri" w:eastAsia="Malgun Gothic" w:hAnsi="Calibri" w:cs="Calibri"/>
          <w:color w:val="000000" w:themeColor="text1"/>
          <w:sz w:val="22"/>
          <w:szCs w:val="22"/>
        </w:rPr>
        <w:t xml:space="preserve"> </w:t>
      </w:r>
      <w:r w:rsidR="39857709" w:rsidRPr="63439BCA">
        <w:rPr>
          <w:rFonts w:ascii="Calibri" w:eastAsia="Malgun Gothic" w:hAnsi="Calibri" w:cs="Calibri"/>
          <w:color w:val="000000" w:themeColor="text1"/>
          <w:sz w:val="22"/>
          <w:szCs w:val="22"/>
        </w:rPr>
        <w:t>from a previously developed Brazil model</w:t>
      </w:r>
      <w:r w:rsidRPr="63439BCA">
        <w:rPr>
          <w:rFonts w:ascii="Calibri" w:eastAsia="Malgun Gothic" w:hAnsi="Calibri" w:cs="Calibri"/>
          <w:color w:val="000000" w:themeColor="text1"/>
          <w:sz w:val="22"/>
          <w:szCs w:val="22"/>
        </w:rPr>
        <w:t>. We reported benefit-risk ratios for death and hospitalisation averted per 10,000 vaccinated individuals.</w:t>
      </w:r>
    </w:p>
    <w:p w14:paraId="7DAFCC0E" w14:textId="77777777" w:rsidR="00D963D0" w:rsidRPr="00BC27FF" w:rsidRDefault="00D963D0" w:rsidP="00EB3C86">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Findings</w:t>
      </w:r>
    </w:p>
    <w:p w14:paraId="5C343EA7" w14:textId="6AD6242E" w:rsidR="00D963D0" w:rsidRDefault="00D963D0" w:rsidP="009430B3">
      <w:pPr>
        <w:pStyle w:val="NormalWeb"/>
        <w:spacing w:before="0" w:beforeAutospacing="0" w:after="0" w:afterAutospacing="0" w:line="360" w:lineRule="auto"/>
        <w:rPr>
          <w:rFonts w:ascii="Calibri" w:eastAsia="Malgun Gothic" w:hAnsi="Calibri" w:cs="Calibri"/>
          <w:bCs/>
          <w:color w:val="000000"/>
          <w:sz w:val="22"/>
          <w:szCs w:val="22"/>
        </w:rPr>
      </w:pPr>
      <w:commentRangeStart w:id="2"/>
      <w:r w:rsidRPr="63439BCA">
        <w:rPr>
          <w:rFonts w:ascii="Calibri" w:eastAsia="Malgun Gothic" w:hAnsi="Calibri" w:cs="Calibri"/>
          <w:color w:val="000000" w:themeColor="text1"/>
          <w:sz w:val="22"/>
          <w:szCs w:val="22"/>
        </w:rPr>
        <w:t xml:space="preserve">Benefit-risk ratios </w:t>
      </w:r>
      <w:r w:rsidRPr="63439BCA">
        <w:rPr>
          <w:rFonts w:ascii="Calibri" w:eastAsia="Malgun Gothic" w:hAnsi="Calibri" w:cs="Calibri"/>
          <w:color w:val="000000" w:themeColor="text1"/>
          <w:sz w:val="22"/>
          <w:szCs w:val="22"/>
          <w:lang w:val="en-US"/>
        </w:rPr>
        <w:t xml:space="preserve">varied </w:t>
      </w:r>
      <w:r w:rsidRPr="63439BCA">
        <w:rPr>
          <w:rFonts w:ascii="Calibri" w:eastAsia="Malgun Gothic" w:hAnsi="Calibri" w:cs="Calibri"/>
          <w:color w:val="000000" w:themeColor="text1"/>
          <w:sz w:val="22"/>
          <w:szCs w:val="22"/>
        </w:rPr>
        <w:t>by outbreak size, exposure duration, and age.</w:t>
      </w:r>
      <w:commentRangeEnd w:id="2"/>
      <w:r w:rsidRPr="63439BCA">
        <w:rPr>
          <w:rStyle w:val="CommentReference"/>
          <w:rFonts w:ascii="Calibri" w:eastAsia="Malgun Gothic" w:hAnsi="Calibri" w:cs="Calibri"/>
          <w:color w:val="000000" w:themeColor="text1"/>
          <w:sz w:val="22"/>
          <w:szCs w:val="22"/>
        </w:rPr>
        <w:commentReference w:id="2"/>
      </w:r>
      <w:r w:rsidRPr="63439BCA">
        <w:rPr>
          <w:rFonts w:ascii="Calibri" w:eastAsia="Malgun Gothic" w:hAnsi="Calibri" w:cs="Calibri"/>
          <w:color w:val="000000" w:themeColor="text1"/>
          <w:sz w:val="22"/>
          <w:szCs w:val="22"/>
        </w:rPr>
        <w:t xml:space="preserve"> For travellers, ratios were highest in children (1-11 years) and lowest in adults aged ≥60 years. In children, benefit-risk ratios for death ranged from </w:t>
      </w:r>
      <w:r w:rsidRPr="63439BCA">
        <w:rPr>
          <w:rFonts w:ascii="Calibri" w:eastAsia="Malgun Gothic" w:hAnsi="Calibri" w:cs="Calibri"/>
          <w:color w:val="000000" w:themeColor="text1"/>
          <w:sz w:val="22"/>
          <w:szCs w:val="22"/>
          <w:lang w:val="en-US"/>
        </w:rPr>
        <w:t>0.7 (0.1, 287.9) to 108.3 (9.7, 47917.5), and for hospitalization from 1.1 (0.5, 2.7) to 176.3 (86.9, 435.7), depending on attack rate and travel duration. For outbreak response, ratios depended on the vaccine protection mechanism and target age. Children were most favourable (death: 3.77 [0.05</w:t>
      </w:r>
      <w:r w:rsidR="00032741"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10,490.39] for disease blocking only to 8.18 [0.10</w:t>
      </w:r>
      <w:r w:rsidR="00032741"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26,679.38] for disease and infection blocking; hospitalisation: 6.24 [0.48</w:t>
      </w:r>
      <w:r w:rsidR="00032741"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98.74] to 13.50 [0.94</w:t>
      </w:r>
      <w:r w:rsidR="00032741"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 xml:space="preserve">248.48]). </w:t>
      </w:r>
    </w:p>
    <w:p w14:paraId="5B547963" w14:textId="77777777" w:rsidR="00D963D0" w:rsidRPr="00BC27FF" w:rsidRDefault="00D963D0" w:rsidP="00EB3C86">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Interpretation</w:t>
      </w:r>
    </w:p>
    <w:p w14:paraId="52C1BA4F" w14:textId="77777777" w:rsidR="00D963D0" w:rsidRDefault="00D963D0" w:rsidP="00EB3C86">
      <w:pPr>
        <w:spacing w:line="360" w:lineRule="auto"/>
        <w:rPr>
          <w:rFonts w:ascii="Calibri" w:eastAsiaTheme="minorEastAsia" w:hAnsi="Calibri" w:cs="Calibri"/>
          <w:bCs/>
          <w:color w:val="000000"/>
          <w:sz w:val="22"/>
          <w:szCs w:val="22"/>
        </w:rPr>
      </w:pPr>
      <w:r>
        <w:rPr>
          <w:rFonts w:ascii="Calibri" w:eastAsiaTheme="minorEastAsia" w:hAnsi="Calibri" w:cs="Calibri"/>
          <w:bCs/>
          <w:color w:val="000000"/>
          <w:sz w:val="22"/>
          <w:szCs w:val="22"/>
        </w:rPr>
        <w:t xml:space="preserve">Ixchiq benefit-risk remains uncertain with current post-licensure data. Benefit-risk of traveller vaccination is driven by exposure duration and outbreak size, whereas outbreak response immunisation strategies depend on protection mechanism and target age. </w:t>
      </w:r>
      <w:r>
        <w:rPr>
          <w:rFonts w:ascii="Calibri" w:eastAsia="Malgun Gothic" w:hAnsi="Calibri" w:cs="Calibri"/>
          <w:sz w:val="22"/>
          <w:szCs w:val="22"/>
        </w:rPr>
        <w:t>Estimates can be updated as real-world post-authorisation data accumulate</w:t>
      </w:r>
      <w:r>
        <w:rPr>
          <w:rFonts w:ascii="Calibri" w:eastAsia="Malgun Gothic" w:hAnsi="Calibri" w:cs="Calibri" w:hint="eastAsia"/>
          <w:sz w:val="22"/>
          <w:szCs w:val="22"/>
        </w:rPr>
        <w:t>.</w:t>
      </w:r>
    </w:p>
    <w:p w14:paraId="6D153F64" w14:textId="77777777" w:rsidR="00D963D0" w:rsidRDefault="00D963D0" w:rsidP="00EB3C86">
      <w:pPr>
        <w:spacing w:line="360" w:lineRule="auto"/>
        <w:rPr>
          <w:rFonts w:ascii="Calibri" w:eastAsiaTheme="minorEastAsia" w:hAnsi="Calibri" w:cs="Calibri"/>
          <w:bCs/>
          <w:color w:val="000000"/>
          <w:sz w:val="22"/>
          <w:szCs w:val="22"/>
        </w:rPr>
      </w:pPr>
    </w:p>
    <w:p w14:paraId="632DBF3C" w14:textId="77777777" w:rsidR="00D963D0" w:rsidRDefault="00D963D0" w:rsidP="00EB3C86">
      <w:pPr>
        <w:spacing w:line="360" w:lineRule="auto"/>
        <w:rPr>
          <w:rFonts w:ascii="Calibri" w:eastAsiaTheme="minorEastAsia" w:hAnsi="Calibri" w:cs="Calibri"/>
          <w:bCs/>
          <w:color w:val="000000"/>
          <w:sz w:val="22"/>
          <w:szCs w:val="22"/>
        </w:rPr>
      </w:pPr>
    </w:p>
    <w:p w14:paraId="6D0E4DD1" w14:textId="77777777" w:rsidR="00D963D0" w:rsidRDefault="00D963D0" w:rsidP="00EB3C86">
      <w:pPr>
        <w:spacing w:line="360" w:lineRule="auto"/>
        <w:rPr>
          <w:rFonts w:ascii="Calibri" w:eastAsiaTheme="minorEastAsia" w:hAnsi="Calibri" w:cs="Calibri"/>
          <w:bCs/>
          <w:color w:val="000000"/>
          <w:sz w:val="22"/>
          <w:szCs w:val="22"/>
        </w:rPr>
      </w:pPr>
    </w:p>
    <w:p w14:paraId="58CC2FC7" w14:textId="77777777" w:rsidR="00D963D0" w:rsidRDefault="00D963D0" w:rsidP="00EB3C86">
      <w:pPr>
        <w:spacing w:line="360" w:lineRule="auto"/>
        <w:rPr>
          <w:rFonts w:ascii="Calibri" w:eastAsiaTheme="minorEastAsia" w:hAnsi="Calibri" w:cs="Calibri"/>
          <w:bCs/>
          <w:color w:val="000000"/>
          <w:sz w:val="22"/>
          <w:szCs w:val="22"/>
        </w:rPr>
      </w:pPr>
    </w:p>
    <w:p w14:paraId="2C51D204" w14:textId="77777777" w:rsidR="00D963D0" w:rsidRDefault="00D963D0" w:rsidP="00EB3C86">
      <w:pPr>
        <w:spacing w:line="360" w:lineRule="auto"/>
        <w:rPr>
          <w:rFonts w:ascii="Calibri" w:eastAsiaTheme="minorEastAsia" w:hAnsi="Calibri" w:cs="Calibri"/>
          <w:bCs/>
          <w:color w:val="000000"/>
          <w:sz w:val="22"/>
          <w:szCs w:val="22"/>
        </w:rPr>
      </w:pPr>
    </w:p>
    <w:p w14:paraId="59F2AC6F" w14:textId="77777777" w:rsidR="00D963D0" w:rsidRDefault="00D963D0" w:rsidP="00EB3C86">
      <w:pPr>
        <w:spacing w:line="360" w:lineRule="auto"/>
        <w:rPr>
          <w:rFonts w:ascii="Calibri" w:eastAsiaTheme="minorEastAsia" w:hAnsi="Calibri" w:cs="Calibri"/>
          <w:bCs/>
          <w:color w:val="000000"/>
          <w:sz w:val="22"/>
          <w:szCs w:val="22"/>
        </w:rPr>
      </w:pPr>
    </w:p>
    <w:p w14:paraId="4DCDF504" w14:textId="77777777" w:rsidR="00D963D0" w:rsidRDefault="00D963D0" w:rsidP="00EB3C86">
      <w:pPr>
        <w:spacing w:line="360" w:lineRule="auto"/>
        <w:rPr>
          <w:rFonts w:ascii="Calibri" w:eastAsiaTheme="minorEastAsia" w:hAnsi="Calibri" w:cs="Calibri"/>
          <w:bCs/>
          <w:color w:val="000000"/>
          <w:sz w:val="22"/>
          <w:szCs w:val="22"/>
        </w:rPr>
      </w:pPr>
    </w:p>
    <w:p w14:paraId="713D7A5C" w14:textId="77777777" w:rsidR="00D963D0" w:rsidRDefault="00D963D0" w:rsidP="00EB3C86">
      <w:pPr>
        <w:spacing w:line="360" w:lineRule="auto"/>
        <w:rPr>
          <w:rFonts w:ascii="Calibri" w:eastAsiaTheme="minorEastAsia" w:hAnsi="Calibri" w:cs="Calibri"/>
          <w:bCs/>
          <w:color w:val="000000"/>
          <w:sz w:val="22"/>
          <w:szCs w:val="22"/>
        </w:rPr>
      </w:pPr>
    </w:p>
    <w:p w14:paraId="5E8C0871" w14:textId="77777777" w:rsidR="00D963D0" w:rsidRDefault="00D963D0" w:rsidP="00EB3C86">
      <w:pPr>
        <w:spacing w:line="360" w:lineRule="auto"/>
        <w:rPr>
          <w:rStyle w:val="IntenseEmphasis"/>
        </w:rPr>
      </w:pPr>
      <w:r>
        <w:rPr>
          <w:rStyle w:val="IntenseEmphasis"/>
        </w:rPr>
        <w:t>Research in context</w:t>
      </w:r>
    </w:p>
    <w:p w14:paraId="3D2CBBFB" w14:textId="77777777" w:rsidR="00D963D0" w:rsidRPr="00D65D57" w:rsidRDefault="00D963D0" w:rsidP="003415FC">
      <w:pPr>
        <w:spacing w:line="360" w:lineRule="auto"/>
        <w:rPr>
          <w:rFonts w:ascii="Calibri" w:hAnsi="Calibri" w:cs="Calibri"/>
          <w:b/>
          <w:sz w:val="22"/>
          <w:szCs w:val="22"/>
        </w:rPr>
      </w:pPr>
      <w:r w:rsidRPr="00DF399D">
        <w:rPr>
          <w:rFonts w:ascii="Calibri" w:eastAsia="Malgun Gothic" w:hAnsi="Calibri" w:cs="Calibri" w:hint="eastAsia"/>
          <w:b/>
          <w:sz w:val="22"/>
          <w:szCs w:val="22"/>
        </w:rPr>
        <w:t>Evidence before this study</w:t>
      </w:r>
    </w:p>
    <w:p w14:paraId="7834595B" w14:textId="77777777" w:rsidR="00D963D0" w:rsidRDefault="00D963D0" w:rsidP="00B91AAA">
      <w:pPr>
        <w:spacing w:line="360" w:lineRule="auto"/>
        <w:rPr>
          <w:rFonts w:ascii="Calibri" w:eastAsia="Malgun Gothic" w:hAnsi="Calibri" w:cs="Calibri"/>
          <w:sz w:val="22"/>
          <w:szCs w:val="22"/>
        </w:rPr>
      </w:pPr>
      <w:r w:rsidRPr="00B91AAA">
        <w:rPr>
          <w:rFonts w:ascii="Calibri" w:eastAsia="Malgun Gothic" w:hAnsi="Calibri" w:cs="Calibri"/>
          <w:sz w:val="22"/>
          <w:szCs w:val="22"/>
        </w:rPr>
        <w:t>Post-licensure surveillance of Ixchiq, including data from the US Vaccine Adverse Event Reporting System</w:t>
      </w:r>
      <w:r>
        <w:rPr>
          <w:rFonts w:ascii="Calibri" w:eastAsia="Malgun Gothic" w:hAnsi="Calibri" w:cs="Calibri" w:hint="eastAsia"/>
          <w:sz w:val="22"/>
          <w:szCs w:val="22"/>
        </w:rPr>
        <w:t xml:space="preserve"> (VAERS)</w:t>
      </w:r>
      <w:r w:rsidRPr="00B91AAA">
        <w:rPr>
          <w:rFonts w:ascii="Calibri" w:eastAsia="Malgun Gothic" w:hAnsi="Calibri" w:cs="Calibri"/>
          <w:sz w:val="22"/>
          <w:szCs w:val="22"/>
        </w:rPr>
        <w:t>, identified 32 adverse events</w:t>
      </w:r>
      <w:r>
        <w:rPr>
          <w:rFonts w:ascii="Calibri" w:eastAsia="Malgun Gothic" w:hAnsi="Calibri" w:cs="Calibri"/>
          <w:sz w:val="22"/>
          <w:szCs w:val="22"/>
        </w:rPr>
        <w:t xml:space="preserve"> </w:t>
      </w:r>
      <w:r w:rsidRPr="00B91AAA">
        <w:rPr>
          <w:rFonts w:ascii="Calibri" w:eastAsia="Malgun Gothic" w:hAnsi="Calibri" w:cs="Calibri"/>
          <w:sz w:val="22"/>
          <w:szCs w:val="22"/>
        </w:rPr>
        <w:t>including three deaths</w:t>
      </w:r>
      <w:r>
        <w:rPr>
          <w:rFonts w:ascii="Calibri" w:eastAsia="Malgun Gothic" w:hAnsi="Calibri" w:cs="Calibri"/>
          <w:sz w:val="22"/>
          <w:szCs w:val="22"/>
        </w:rPr>
        <w:t xml:space="preserve"> </w:t>
      </w:r>
      <w:r w:rsidRPr="00B91AAA">
        <w:rPr>
          <w:rFonts w:ascii="Calibri" w:eastAsia="Malgun Gothic" w:hAnsi="Calibri" w:cs="Calibri"/>
          <w:sz w:val="22"/>
          <w:szCs w:val="22"/>
        </w:rPr>
        <w:t>occurring predominantly among older adults. Following these reports, regulatory bodies such as Health Canada and the European Medicines Agency introduced age-based restrictions or limited recommendations to scenarios with substantial chikungunya risk.</w:t>
      </w:r>
      <w:r>
        <w:rPr>
          <w:rFonts w:ascii="Calibri" w:eastAsia="Malgun Gothic" w:hAnsi="Calibri" w:cs="Calibri"/>
          <w:sz w:val="22"/>
          <w:szCs w:val="22"/>
        </w:rPr>
        <w:t xml:space="preserve"> </w:t>
      </w:r>
      <w:r w:rsidRPr="00B91AAA">
        <w:rPr>
          <w:rFonts w:ascii="Calibri" w:eastAsia="Malgun Gothic" w:hAnsi="Calibri" w:cs="Calibri"/>
          <w:sz w:val="22"/>
          <w:szCs w:val="22"/>
        </w:rPr>
        <w:t xml:space="preserve">In August 2025, the US FDA suspended Ixchiq’s biologic license, leading Valneva to voluntarily withdraw the product from the US market in February 2026. While previous modelling studies have evaluated the </w:t>
      </w:r>
      <w:commentRangeStart w:id="3"/>
      <w:r w:rsidRPr="00B91AAA">
        <w:rPr>
          <w:rFonts w:ascii="Calibri" w:eastAsia="Malgun Gothic" w:hAnsi="Calibri" w:cs="Calibri"/>
          <w:sz w:val="22"/>
          <w:szCs w:val="22"/>
        </w:rPr>
        <w:t>health impact of chikungunya vaccination</w:t>
      </w:r>
      <w:commentRangeEnd w:id="3"/>
      <w:r w:rsidRPr="00B91AAA">
        <w:rPr>
          <w:rStyle w:val="CommentReference"/>
          <w:rFonts w:ascii="Calibri" w:eastAsia="Malgun Gothic" w:hAnsi="Calibri" w:cs="Calibri"/>
          <w:sz w:val="22"/>
          <w:szCs w:val="22"/>
        </w:rPr>
        <w:commentReference w:id="3"/>
      </w:r>
      <w:r w:rsidRPr="00B91AAA">
        <w:rPr>
          <w:rFonts w:ascii="Calibri" w:eastAsia="Malgun Gothic" w:hAnsi="Calibri" w:cs="Calibri"/>
          <w:sz w:val="22"/>
          <w:szCs w:val="22"/>
        </w:rPr>
        <w:t xml:space="preserve">, </w:t>
      </w:r>
      <w:r>
        <w:rPr>
          <w:rFonts w:ascii="Calibri" w:eastAsia="Malgun Gothic" w:hAnsi="Calibri" w:cs="Calibri"/>
          <w:sz w:val="22"/>
          <w:szCs w:val="22"/>
        </w:rPr>
        <w:t xml:space="preserve">the studies did not </w:t>
      </w:r>
      <w:r w:rsidRPr="00B91AAA">
        <w:rPr>
          <w:rFonts w:ascii="Calibri" w:eastAsia="Malgun Gothic" w:hAnsi="Calibri" w:cs="Calibri"/>
          <w:sz w:val="22"/>
          <w:szCs w:val="22"/>
        </w:rPr>
        <w:t xml:space="preserve">incorporate age-specific vaccine risks or post-licensure safety signals. </w:t>
      </w:r>
      <w:r w:rsidRPr="005439B3">
        <w:rPr>
          <w:rFonts w:ascii="Calibri" w:eastAsia="Malgun Gothic" w:hAnsi="Calibri" w:cs="Calibri"/>
          <w:sz w:val="22"/>
          <w:szCs w:val="22"/>
        </w:rPr>
        <w:t>As of February 2026, one modelling study proposed a scenario-based framework to assess the benefit</w:t>
      </w:r>
      <w:r>
        <w:rPr>
          <w:rFonts w:ascii="Calibri" w:eastAsia="Malgun Gothic" w:hAnsi="Calibri" w:cs="Calibri" w:hint="eastAsia"/>
          <w:sz w:val="22"/>
          <w:szCs w:val="22"/>
        </w:rPr>
        <w:t>-</w:t>
      </w:r>
      <w:r w:rsidRPr="005439B3">
        <w:rPr>
          <w:rFonts w:ascii="Calibri" w:eastAsia="Malgun Gothic" w:hAnsi="Calibri" w:cs="Calibri"/>
          <w:sz w:val="22"/>
          <w:szCs w:val="22"/>
        </w:rPr>
        <w:t>risk of Ixchiq in endemic, epidemic, and traveller settings, and one post-authorisation study using US VAERS assessed individual-level risk after vaccination.</w:t>
      </w:r>
      <w:r>
        <w:rPr>
          <w:rFonts w:ascii="Calibri" w:eastAsia="Malgun Gothic" w:hAnsi="Calibri" w:cs="Calibri"/>
          <w:sz w:val="22"/>
          <w:szCs w:val="22"/>
        </w:rPr>
        <w:t xml:space="preserve"> </w:t>
      </w:r>
      <w:commentRangeStart w:id="4"/>
      <w:r w:rsidRPr="00B91AAA">
        <w:rPr>
          <w:rFonts w:ascii="Calibri" w:eastAsia="Malgun Gothic" w:hAnsi="Calibri" w:cs="Calibri"/>
          <w:sz w:val="22"/>
          <w:szCs w:val="22"/>
        </w:rPr>
        <w:t xml:space="preserve">A critical gap remains in the quantitative assessment of benefit-risk profiles across varying travel durations, outbreak </w:t>
      </w:r>
      <w:r>
        <w:rPr>
          <w:rFonts w:ascii="Calibri" w:eastAsia="Malgun Gothic" w:hAnsi="Calibri" w:cs="Calibri"/>
          <w:sz w:val="22"/>
          <w:szCs w:val="22"/>
          <w:lang w:val="en-US"/>
        </w:rPr>
        <w:t>sizes</w:t>
      </w:r>
      <w:r w:rsidRPr="00B91AAA">
        <w:rPr>
          <w:rFonts w:ascii="Calibri" w:eastAsia="Malgun Gothic" w:hAnsi="Calibri" w:cs="Calibri"/>
          <w:sz w:val="22"/>
          <w:szCs w:val="22"/>
        </w:rPr>
        <w:t>, and target age groups.</w:t>
      </w:r>
      <w:commentRangeEnd w:id="4"/>
      <w:r>
        <w:rPr>
          <w:rStyle w:val="CommentReference"/>
          <w:rFonts w:ascii="Calibri" w:eastAsia="Malgun Gothic" w:hAnsi="Calibri" w:cs="Calibri"/>
          <w:sz w:val="22"/>
          <w:szCs w:val="22"/>
        </w:rPr>
        <w:commentReference w:id="4"/>
      </w:r>
    </w:p>
    <w:p w14:paraId="0B54FBB6" w14:textId="77777777" w:rsidR="00D963D0" w:rsidRDefault="00D963D0" w:rsidP="00B91AAA">
      <w:pPr>
        <w:spacing w:line="360" w:lineRule="auto"/>
        <w:rPr>
          <w:rFonts w:ascii="Calibri" w:eastAsia="Malgun Gothic" w:hAnsi="Calibri" w:cs="Calibri"/>
          <w:b/>
          <w:sz w:val="22"/>
          <w:szCs w:val="22"/>
        </w:rPr>
      </w:pPr>
      <w:r w:rsidRPr="00DF399D">
        <w:rPr>
          <w:rFonts w:ascii="Calibri" w:eastAsia="Malgun Gothic" w:hAnsi="Calibri" w:cs="Calibri" w:hint="eastAsia"/>
          <w:b/>
          <w:sz w:val="22"/>
          <w:szCs w:val="22"/>
        </w:rPr>
        <w:t>Added value of this study</w:t>
      </w:r>
    </w:p>
    <w:p w14:paraId="56492E23" w14:textId="77777777" w:rsidR="00D963D0" w:rsidRDefault="69685F4B" w:rsidP="69685F4B">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This study provides a quantitative benefit-risk assessment of Ixchiq across a range of outbreak scenarios and vaccination strategies. We evaluated </w:t>
      </w:r>
      <w:commentRangeStart w:id="5"/>
      <w:r w:rsidRPr="69685F4B">
        <w:rPr>
          <w:rFonts w:ascii="Calibri" w:eastAsia="Malgun Gothic" w:hAnsi="Calibri" w:cs="Calibri"/>
          <w:sz w:val="22"/>
          <w:szCs w:val="22"/>
        </w:rPr>
        <w:t>four age groups</w:t>
      </w:r>
      <w:commentRangeEnd w:id="5"/>
      <w:r w:rsidR="00D963D0" w:rsidRPr="69685F4B">
        <w:rPr>
          <w:rStyle w:val="CommentReference"/>
          <w:rFonts w:ascii="Calibri" w:eastAsia="Malgun Gothic" w:hAnsi="Calibri" w:cs="Calibri"/>
          <w:sz w:val="22"/>
          <w:szCs w:val="22"/>
        </w:rPr>
        <w:commentReference w:id="5"/>
      </w:r>
      <w:r w:rsidRPr="69685F4B">
        <w:rPr>
          <w:rFonts w:ascii="Calibri" w:eastAsia="Malgun Gothic" w:hAnsi="Calibri" w:cs="Calibri"/>
          <w:sz w:val="22"/>
          <w:szCs w:val="22"/>
        </w:rPr>
        <w:t xml:space="preserve"> for both traveller vaccination and outbreak response immunisation, accounting for variations in travel duration, attack rates, and travel-specific exposure. Our findings </w:t>
      </w:r>
      <w:r w:rsidRPr="69685F4B">
        <w:rPr>
          <w:rFonts w:ascii="Calibri" w:eastAsia="Malgun Gothic" w:hAnsi="Calibri" w:cs="Calibri"/>
          <w:sz w:val="22"/>
          <w:szCs w:val="22"/>
          <w:lang w:val="en-US"/>
        </w:rPr>
        <w:t xml:space="preserve">have </w:t>
      </w:r>
      <w:r w:rsidRPr="69685F4B">
        <w:rPr>
          <w:rFonts w:ascii="Calibri" w:eastAsia="Malgun Gothic" w:hAnsi="Calibri" w:cs="Calibri"/>
          <w:sz w:val="22"/>
          <w:szCs w:val="22"/>
        </w:rPr>
        <w:t>implications for vaccination recommendations by age groups and outbreak conditions.</w:t>
      </w:r>
    </w:p>
    <w:p w14:paraId="507BD752" w14:textId="77777777" w:rsidR="00D963D0" w:rsidRPr="00DF399D" w:rsidRDefault="00D963D0" w:rsidP="00EB3C86">
      <w:pPr>
        <w:spacing w:line="360" w:lineRule="auto"/>
        <w:rPr>
          <w:rFonts w:ascii="Calibri" w:eastAsia="Malgun Gothic" w:hAnsi="Calibri" w:cs="Calibri"/>
          <w:b/>
          <w:sz w:val="22"/>
          <w:szCs w:val="22"/>
        </w:rPr>
      </w:pPr>
      <w:r w:rsidRPr="00DF399D">
        <w:rPr>
          <w:rFonts w:ascii="Calibri" w:eastAsia="Malgun Gothic" w:hAnsi="Calibri" w:cs="Calibri" w:hint="eastAsia"/>
          <w:b/>
          <w:sz w:val="22"/>
          <w:szCs w:val="22"/>
        </w:rPr>
        <w:t xml:space="preserve">Implications of all the available study </w:t>
      </w:r>
    </w:p>
    <w:p w14:paraId="3A004021" w14:textId="71849A9B" w:rsidR="00D963D0" w:rsidRPr="00EB3C86" w:rsidRDefault="00D963D0" w:rsidP="00EB3C86">
      <w:pPr>
        <w:spacing w:line="360" w:lineRule="auto"/>
        <w:rPr>
          <w:rFonts w:ascii="Calibri" w:hAnsi="Calibri" w:cs="Calibri"/>
        </w:rPr>
        <w:sectPr w:rsidR="00D963D0" w:rsidRPr="00EB3C86" w:rsidSect="00D963D0">
          <w:pgSz w:w="11906" w:h="16838"/>
          <w:pgMar w:top="1440" w:right="1440" w:bottom="1440" w:left="1440" w:header="708" w:footer="708" w:gutter="0"/>
          <w:cols w:space="708"/>
          <w:docGrid w:linePitch="360"/>
        </w:sectPr>
      </w:pPr>
      <w:r w:rsidRPr="0028778B">
        <w:rPr>
          <w:rFonts w:ascii="Calibri" w:eastAsia="Malgun Gothic" w:hAnsi="Calibri" w:cs="Calibri"/>
          <w:sz w:val="22"/>
          <w:szCs w:val="22"/>
        </w:rPr>
        <w:t>Across strategies, children aged 1</w:t>
      </w:r>
      <w:r>
        <w:rPr>
          <w:rFonts w:ascii="Calibri" w:eastAsia="Malgun Gothic" w:hAnsi="Calibri" w:cs="Calibri" w:hint="eastAsia"/>
          <w:sz w:val="22"/>
          <w:szCs w:val="22"/>
        </w:rPr>
        <w:t>-</w:t>
      </w:r>
      <w:r w:rsidRPr="0028778B">
        <w:rPr>
          <w:rFonts w:ascii="Calibri" w:eastAsia="Malgun Gothic" w:hAnsi="Calibri" w:cs="Calibri"/>
          <w:sz w:val="22"/>
          <w:szCs w:val="22"/>
        </w:rPr>
        <w:t>11 years consistently showed the most favourable benefit</w:t>
      </w:r>
      <w:r>
        <w:rPr>
          <w:rFonts w:ascii="Calibri" w:eastAsia="Malgun Gothic" w:hAnsi="Calibri" w:cs="Calibri" w:hint="eastAsia"/>
          <w:sz w:val="22"/>
          <w:szCs w:val="22"/>
        </w:rPr>
        <w:t>-</w:t>
      </w:r>
      <w:r w:rsidRPr="0028778B">
        <w:rPr>
          <w:rFonts w:ascii="Calibri" w:eastAsia="Malgun Gothic" w:hAnsi="Calibri" w:cs="Calibri"/>
          <w:sz w:val="22"/>
          <w:szCs w:val="22"/>
        </w:rPr>
        <w:t>risk profile, whereas adults aged ≥60 years were least favourable. Uncertainty remains substantial across many scenarios, but benefit</w:t>
      </w:r>
      <w:r>
        <w:rPr>
          <w:rFonts w:ascii="Calibri" w:eastAsia="Malgun Gothic" w:hAnsi="Calibri" w:cs="Calibri"/>
          <w:sz w:val="22"/>
          <w:szCs w:val="22"/>
        </w:rPr>
        <w:t>-</w:t>
      </w:r>
      <w:r w:rsidRPr="0028778B">
        <w:rPr>
          <w:rFonts w:ascii="Calibri" w:eastAsia="Malgun Gothic" w:hAnsi="Calibri" w:cs="Calibri"/>
          <w:sz w:val="22"/>
          <w:szCs w:val="22"/>
        </w:rPr>
        <w:t xml:space="preserve">risk becomes more favourable across age groups with </w:t>
      </w:r>
      <w:r>
        <w:rPr>
          <w:rFonts w:ascii="Calibri" w:eastAsia="Malgun Gothic" w:hAnsi="Calibri" w:cs="Calibri"/>
          <w:sz w:val="22"/>
          <w:szCs w:val="22"/>
        </w:rPr>
        <w:t>long-term</w:t>
      </w:r>
      <w:r w:rsidRPr="0028778B">
        <w:rPr>
          <w:rFonts w:ascii="Calibri" w:eastAsia="Malgun Gothic" w:hAnsi="Calibri" w:cs="Calibri"/>
          <w:sz w:val="22"/>
          <w:szCs w:val="22"/>
        </w:rPr>
        <w:t xml:space="preserve"> </w:t>
      </w:r>
      <w:r>
        <w:rPr>
          <w:rFonts w:ascii="Calibri" w:eastAsia="Malgun Gothic" w:hAnsi="Calibri" w:cs="Calibri"/>
          <w:sz w:val="22"/>
          <w:szCs w:val="22"/>
        </w:rPr>
        <w:t>travel</w:t>
      </w:r>
      <w:r w:rsidRPr="0028778B">
        <w:rPr>
          <w:rFonts w:ascii="Calibri" w:eastAsia="Malgun Gothic" w:hAnsi="Calibri" w:cs="Calibri"/>
          <w:sz w:val="22"/>
          <w:szCs w:val="22"/>
        </w:rPr>
        <w:t xml:space="preserve"> (≥90</w:t>
      </w:r>
      <w:r>
        <w:rPr>
          <w:rFonts w:ascii="Calibri" w:eastAsia="Malgun Gothic" w:hAnsi="Calibri" w:cs="Calibri"/>
          <w:sz w:val="22"/>
          <w:szCs w:val="22"/>
        </w:rPr>
        <w:t>-day</w:t>
      </w:r>
      <w:r w:rsidRPr="0028778B">
        <w:rPr>
          <w:rFonts w:ascii="Calibri" w:eastAsia="Malgun Gothic" w:hAnsi="Calibri" w:cs="Calibri"/>
          <w:sz w:val="22"/>
          <w:szCs w:val="22"/>
        </w:rPr>
        <w:t xml:space="preserve"> travel) and </w:t>
      </w:r>
      <w:r>
        <w:rPr>
          <w:rFonts w:ascii="Calibri" w:eastAsia="Malgun Gothic" w:hAnsi="Calibri" w:cs="Calibri"/>
          <w:sz w:val="22"/>
          <w:szCs w:val="22"/>
        </w:rPr>
        <w:t>large</w:t>
      </w:r>
      <w:r w:rsidRPr="0028778B">
        <w:rPr>
          <w:rFonts w:ascii="Calibri" w:eastAsia="Malgun Gothic" w:hAnsi="Calibri" w:cs="Calibri"/>
          <w:sz w:val="22"/>
          <w:szCs w:val="22"/>
        </w:rPr>
        <w:t xml:space="preserve"> outbreaks (total attack rates &gt;50%). </w:t>
      </w:r>
      <w:r w:rsidRPr="00694839">
        <w:rPr>
          <w:rFonts w:ascii="Calibri" w:eastAsia="Malgun Gothic" w:hAnsi="Calibri" w:cs="Calibri"/>
          <w:sz w:val="22"/>
          <w:szCs w:val="22"/>
        </w:rPr>
        <w:t>Our findings support age- and context-specific recommendations</w:t>
      </w:r>
      <w:r>
        <w:rPr>
          <w:rFonts w:ascii="Calibri" w:eastAsia="Malgun Gothic" w:hAnsi="Calibri" w:cs="Calibri"/>
          <w:sz w:val="22"/>
          <w:szCs w:val="22"/>
        </w:rPr>
        <w:t>,</w:t>
      </w:r>
      <w:r>
        <w:rPr>
          <w:rFonts w:ascii="Calibri" w:eastAsia="Malgun Gothic" w:hAnsi="Calibri" w:cs="Calibri" w:hint="eastAsia"/>
          <w:sz w:val="22"/>
          <w:szCs w:val="22"/>
        </w:rPr>
        <w:t xml:space="preserve"> </w:t>
      </w:r>
      <w:r>
        <w:rPr>
          <w:rFonts w:ascii="Calibri" w:eastAsia="Malgun Gothic" w:hAnsi="Calibri" w:cs="Calibri"/>
          <w:sz w:val="22"/>
          <w:szCs w:val="22"/>
          <w:lang w:val="en-US"/>
        </w:rPr>
        <w:t xml:space="preserve">and </w:t>
      </w:r>
      <w:r w:rsidRPr="00694839">
        <w:rPr>
          <w:rFonts w:ascii="Calibri" w:eastAsia="Malgun Gothic" w:hAnsi="Calibri" w:cs="Calibri"/>
          <w:sz w:val="22"/>
          <w:szCs w:val="22"/>
        </w:rPr>
        <w:t xml:space="preserve">our estimates can be updated using </w:t>
      </w:r>
      <w:r>
        <w:rPr>
          <w:rFonts w:ascii="Calibri" w:eastAsia="Malgun Gothic" w:hAnsi="Calibri" w:cs="Calibri"/>
          <w:sz w:val="22"/>
          <w:szCs w:val="22"/>
        </w:rPr>
        <w:t>our</w:t>
      </w:r>
      <w:r w:rsidRPr="00694839">
        <w:rPr>
          <w:rFonts w:ascii="Calibri" w:eastAsia="Malgun Gothic" w:hAnsi="Calibri" w:cs="Calibri"/>
          <w:sz w:val="22"/>
          <w:szCs w:val="22"/>
        </w:rPr>
        <w:t xml:space="preserve"> modelling framework as post-authorisation safety data accumulate.</w:t>
      </w:r>
    </w:p>
    <w:p w14:paraId="36A8F593" w14:textId="77777777" w:rsidR="00D963D0" w:rsidRPr="0081137B" w:rsidRDefault="00D963D0" w:rsidP="00EB3C86">
      <w:pPr>
        <w:spacing w:line="360" w:lineRule="auto"/>
        <w:rPr>
          <w:rFonts w:ascii="Calibri" w:hAnsi="Calibri"/>
          <w:iCs/>
          <w:color w:val="0F4761" w:themeColor="accent1" w:themeShade="BF"/>
          <w:sz w:val="22"/>
        </w:rPr>
      </w:pPr>
      <w:r>
        <w:rPr>
          <w:rStyle w:val="IntenseEmphasis"/>
        </w:rPr>
        <w:t>Introduction</w:t>
      </w:r>
    </w:p>
    <w:p w14:paraId="0AE1DC1A" w14:textId="47C95916" w:rsidR="00D963D0" w:rsidRPr="00BC27FF" w:rsidRDefault="69685F4B" w:rsidP="00EB3C86">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Chikungunya virus (CHIKV) is transmitted between humans by female </w:t>
      </w:r>
      <w:r w:rsidRPr="69685F4B">
        <w:rPr>
          <w:rFonts w:ascii="Calibri" w:eastAsia="Malgun Gothic" w:hAnsi="Calibri" w:cs="Calibri"/>
          <w:i/>
          <w:iCs/>
          <w:sz w:val="22"/>
          <w:szCs w:val="22"/>
        </w:rPr>
        <w:t>Aedes aegypti</w:t>
      </w:r>
      <w:r w:rsidRPr="69685F4B">
        <w:rPr>
          <w:rFonts w:ascii="Calibri" w:eastAsia="Malgun Gothic" w:hAnsi="Calibri" w:cs="Calibri"/>
          <w:sz w:val="22"/>
          <w:szCs w:val="22"/>
        </w:rPr>
        <w:t xml:space="preserve"> and </w:t>
      </w:r>
      <w:r w:rsidRPr="69685F4B">
        <w:rPr>
          <w:rFonts w:ascii="Calibri" w:eastAsia="Malgun Gothic" w:hAnsi="Calibri" w:cs="Calibri"/>
          <w:i/>
          <w:iCs/>
          <w:sz w:val="22"/>
          <w:szCs w:val="22"/>
        </w:rPr>
        <w:t>Aedes albopictus</w:t>
      </w:r>
      <w:r w:rsidRPr="69685F4B">
        <w:rPr>
          <w:rFonts w:ascii="Calibri" w:eastAsia="Malgun Gothic" w:hAnsi="Calibri" w:cs="Calibri"/>
          <w:sz w:val="22"/>
          <w:szCs w:val="22"/>
        </w:rPr>
        <w:t xml:space="preserve"> mosquitoes and causes chikungunya virus disease (CHIKVD), a debilitating illness characterised by acute fever, myalgia, and severe joint pain </w:t>
      </w:r>
      <w:hyperlink r:id="rId12">
        <w:r w:rsidRPr="69685F4B">
          <w:rPr>
            <w:rFonts w:ascii="Calibri" w:hAnsi="Calibri" w:cs="Calibri"/>
            <w:sz w:val="22"/>
            <w:szCs w:val="22"/>
          </w:rPr>
          <w:t>[1]</w:t>
        </w:r>
      </w:hyperlink>
      <w:r w:rsidRPr="69685F4B">
        <w:rPr>
          <w:rFonts w:ascii="Calibri" w:eastAsia="Malgun Gothic" w:hAnsi="Calibri" w:cs="Calibri"/>
          <w:sz w:val="22"/>
          <w:szCs w:val="22"/>
        </w:rPr>
        <w:t xml:space="preserve">. A substantial proportion of symptomatic infections result in chronic sequelae, most commonly persistent arthralgia or inflammatory arthritis, with previous studies estimating that more than half of symptomatic patients experience long-term sequelae </w:t>
      </w:r>
      <w:hyperlink r:id="rId13">
        <w:r w:rsidRPr="69685F4B">
          <w:rPr>
            <w:rFonts w:ascii="Calibri" w:hAnsi="Calibri" w:cs="Calibri"/>
            <w:sz w:val="22"/>
            <w:szCs w:val="22"/>
          </w:rPr>
          <w:t>[2,3]</w:t>
        </w:r>
      </w:hyperlink>
      <w:r w:rsidRPr="69685F4B">
        <w:rPr>
          <w:rFonts w:ascii="Calibri" w:eastAsia="Malgun Gothic" w:hAnsi="Calibri" w:cs="Calibri"/>
          <w:sz w:val="22"/>
          <w:szCs w:val="22"/>
        </w:rPr>
        <w:t xml:space="preserve">. Severe disease can also occur among neonates and young children under five years old at increased risk of neurological complications </w:t>
      </w:r>
      <w:hyperlink r:id="rId14">
        <w:r w:rsidRPr="69685F4B">
          <w:rPr>
            <w:rFonts w:ascii="Calibri" w:hAnsi="Calibri" w:cs="Calibri"/>
            <w:sz w:val="22"/>
            <w:szCs w:val="22"/>
          </w:rPr>
          <w:t>[4]</w:t>
        </w:r>
      </w:hyperlink>
      <w:r w:rsidRPr="69685F4B">
        <w:rPr>
          <w:rFonts w:ascii="Calibri" w:eastAsia="Malgun Gothic" w:hAnsi="Calibri" w:cs="Calibri"/>
          <w:sz w:val="22"/>
          <w:szCs w:val="22"/>
        </w:rPr>
        <w:t xml:space="preserve">. </w:t>
      </w:r>
    </w:p>
    <w:p w14:paraId="15C580CE" w14:textId="77777777" w:rsidR="00D963D0" w:rsidRPr="00BC27FF" w:rsidRDefault="00D963D0" w:rsidP="00EB3C86">
      <w:pPr>
        <w:spacing w:line="360" w:lineRule="auto"/>
        <w:rPr>
          <w:rFonts w:ascii="Calibri" w:eastAsia="Malgun Gothic" w:hAnsi="Calibri" w:cs="Calibri"/>
          <w:sz w:val="22"/>
          <w:szCs w:val="22"/>
        </w:rPr>
      </w:pPr>
    </w:p>
    <w:p w14:paraId="54EB0A85" w14:textId="2113F933" w:rsidR="00D963D0" w:rsidRPr="00C96CDF" w:rsidRDefault="00D963D0" w:rsidP="00EB3C86">
      <w:pPr>
        <w:spacing w:line="360" w:lineRule="auto"/>
        <w:rPr>
          <w:rFonts w:ascii="Calibri" w:eastAsia="Malgun Gothic" w:hAnsi="Calibri" w:cs="Calibri"/>
          <w:sz w:val="22"/>
          <w:szCs w:val="22"/>
        </w:rPr>
      </w:pPr>
      <w:r w:rsidRPr="00EB3C86">
        <w:rPr>
          <w:rFonts w:ascii="Calibri" w:eastAsia="Malgun Gothic" w:hAnsi="Calibri" w:cs="Calibri"/>
          <w:sz w:val="22"/>
          <w:szCs w:val="22"/>
        </w:rPr>
        <w:t>As of January 2026, two chikungunya vaccines have been licensed: a live-attenuated vaccine (Ixchiq, Valneva) and a virus-like particle vaccine (Vimkunya, Bavarian Nordic). Both vaccines were approved through accelerated regulatory pathways based on immunogenicity surrogate endpoints rather than clinical efficacy against disease outcomes</w:t>
      </w:r>
      <w:r>
        <w:rPr>
          <w:rFonts w:ascii="Calibri" w:eastAsia="Malgun Gothic" w:hAnsi="Calibri" w:cs="Calibri"/>
          <w:sz w:val="22"/>
          <w:szCs w:val="22"/>
        </w:rPr>
        <w:t xml:space="preserve"> </w:t>
      </w:r>
      <w:hyperlink r:id="rId15">
        <w:r w:rsidRPr="63439BCA">
          <w:rPr>
            <w:rFonts w:ascii="Calibri" w:hAnsi="Calibri" w:cs="Calibri"/>
            <w:sz w:val="22"/>
            <w:szCs w:val="22"/>
          </w:rPr>
          <w:t>[5,6]</w:t>
        </w:r>
      </w:hyperlink>
      <w:r w:rsidRPr="63439BCA">
        <w:rPr>
          <w:rFonts w:ascii="Calibri" w:eastAsia="Malgun Gothic" w:hAnsi="Calibri" w:cs="Calibri"/>
          <w:sz w:val="22"/>
          <w:szCs w:val="22"/>
        </w:rPr>
        <w:t xml:space="preserve">. </w:t>
      </w:r>
      <w:r w:rsidR="2BEA4338" w:rsidRPr="63439BCA">
        <w:rPr>
          <w:rFonts w:ascii="Calibri" w:eastAsia="Malgun Gothic" w:hAnsi="Calibri" w:cs="Calibri"/>
          <w:sz w:val="22"/>
          <w:szCs w:val="22"/>
        </w:rPr>
        <w:t>These accelerated pathways were necessitated by the absence of an established correlate of protection and the difficulty of conducting traditional efficacy trials in the context of unpredictable chikungunya outbreaks.</w:t>
      </w:r>
      <w:r>
        <w:rPr>
          <w:rFonts w:ascii="Calibri" w:eastAsia="Malgun Gothic" w:hAnsi="Calibri" w:cs="Calibri" w:hint="eastAsia"/>
          <w:sz w:val="22"/>
          <w:szCs w:val="22"/>
        </w:rPr>
        <w:t xml:space="preserve">  </w:t>
      </w:r>
      <w:hyperlink r:id="rId16">
        <w:r w:rsidRPr="63439BCA">
          <w:rPr>
            <w:rFonts w:ascii="Calibri" w:hAnsi="Calibri" w:cs="Calibri"/>
            <w:sz w:val="22"/>
            <w:szCs w:val="22"/>
          </w:rPr>
          <w:t>[7,8]</w:t>
        </w:r>
      </w:hyperlink>
      <w:r w:rsidRPr="63439BCA">
        <w:rPr>
          <w:rFonts w:ascii="Calibri" w:eastAsia="Malgun Gothic" w:hAnsi="Calibri" w:cs="Calibri"/>
          <w:sz w:val="22"/>
          <w:szCs w:val="22"/>
        </w:rPr>
        <w:t>.</w:t>
      </w:r>
      <w:r>
        <w:rPr>
          <w:rFonts w:ascii="Calibri" w:eastAsia="Malgun Gothic" w:hAnsi="Calibri" w:cs="Calibri" w:hint="eastAsia"/>
          <w:sz w:val="22"/>
          <w:szCs w:val="22"/>
        </w:rPr>
        <w:t xml:space="preserve"> </w:t>
      </w:r>
      <w:r>
        <w:rPr>
          <w:rFonts w:ascii="Calibri" w:eastAsia="Malgun Gothic" w:hAnsi="Calibri" w:cs="Calibri"/>
          <w:sz w:val="22"/>
          <w:szCs w:val="22"/>
        </w:rPr>
        <w:t>In the absence of direct clinical efficacy,</w:t>
      </w:r>
      <w:r w:rsidRPr="00EB3C86">
        <w:rPr>
          <w:rFonts w:ascii="Calibri" w:eastAsia="Malgun Gothic" w:hAnsi="Calibri" w:cs="Calibri"/>
          <w:sz w:val="22"/>
          <w:szCs w:val="22"/>
        </w:rPr>
        <w:t xml:space="preserve"> Ixchiq has shown </w:t>
      </w:r>
      <w:r>
        <w:rPr>
          <w:rFonts w:ascii="Calibri" w:eastAsia="Malgun Gothic" w:hAnsi="Calibri" w:cs="Calibri"/>
          <w:sz w:val="22"/>
          <w:szCs w:val="22"/>
        </w:rPr>
        <w:t xml:space="preserve">robust neutralising antibody </w:t>
      </w:r>
      <w:r w:rsidRPr="00EB3C86">
        <w:rPr>
          <w:rFonts w:ascii="Calibri" w:eastAsia="Malgun Gothic" w:hAnsi="Calibri" w:cs="Calibri"/>
          <w:sz w:val="22"/>
          <w:szCs w:val="22"/>
        </w:rPr>
        <w:t>responses following a single immunisation</w:t>
      </w:r>
      <w:r>
        <w:rPr>
          <w:rFonts w:ascii="Calibri" w:eastAsia="Malgun Gothic" w:hAnsi="Calibri" w:cs="Calibri"/>
          <w:sz w:val="22"/>
          <w:szCs w:val="22"/>
        </w:rPr>
        <w:t xml:space="preserve"> in adults and adolescents</w:t>
      </w:r>
      <w:r w:rsidRPr="00EB3C86">
        <w:rPr>
          <w:rFonts w:ascii="Calibri" w:eastAsia="Malgun Gothic" w:hAnsi="Calibri" w:cs="Calibri"/>
          <w:sz w:val="22"/>
          <w:szCs w:val="22"/>
        </w:rPr>
        <w:t xml:space="preserve">, </w:t>
      </w:r>
      <w:r>
        <w:rPr>
          <w:rFonts w:ascii="Calibri" w:eastAsia="Malgun Gothic" w:hAnsi="Calibri" w:cs="Calibri"/>
          <w:sz w:val="22"/>
          <w:szCs w:val="22"/>
        </w:rPr>
        <w:t>with</w:t>
      </w:r>
      <w:r w:rsidRPr="00EB3C86">
        <w:rPr>
          <w:rFonts w:ascii="Calibri" w:eastAsia="Malgun Gothic" w:hAnsi="Calibri" w:cs="Calibri"/>
          <w:sz w:val="22"/>
          <w:szCs w:val="22"/>
        </w:rPr>
        <w:t xml:space="preserve"> antibody persistence observed </w:t>
      </w:r>
      <w:r>
        <w:rPr>
          <w:rFonts w:ascii="Calibri" w:eastAsia="Malgun Gothic" w:hAnsi="Calibri" w:cs="Calibri"/>
          <w:sz w:val="22"/>
          <w:szCs w:val="22"/>
        </w:rPr>
        <w:t xml:space="preserve">for </w:t>
      </w:r>
      <w:r w:rsidRPr="00EB3C86">
        <w:rPr>
          <w:rFonts w:ascii="Calibri" w:eastAsia="Malgun Gothic" w:hAnsi="Calibri" w:cs="Calibri"/>
          <w:sz w:val="22"/>
          <w:szCs w:val="22"/>
        </w:rPr>
        <w:t xml:space="preserve">up to </w:t>
      </w:r>
      <w:r>
        <w:rPr>
          <w:rFonts w:ascii="Calibri" w:eastAsia="Malgun Gothic" w:hAnsi="Calibri" w:cs="Calibri"/>
          <w:sz w:val="22"/>
          <w:szCs w:val="22"/>
        </w:rPr>
        <w:t>two</w:t>
      </w:r>
      <w:r w:rsidRPr="00EB3C86">
        <w:rPr>
          <w:rFonts w:ascii="Calibri" w:eastAsia="Malgun Gothic" w:hAnsi="Calibri" w:cs="Calibri"/>
          <w:sz w:val="22"/>
          <w:szCs w:val="22"/>
        </w:rPr>
        <w:t xml:space="preserve"> years in adults </w:t>
      </w:r>
      <w:hyperlink r:id="rId17">
        <w:r w:rsidRPr="63439BCA">
          <w:rPr>
            <w:rFonts w:ascii="Calibri" w:hAnsi="Calibri" w:cs="Calibri"/>
            <w:sz w:val="22"/>
            <w:szCs w:val="22"/>
          </w:rPr>
          <w:t>[9–11]</w:t>
        </w:r>
      </w:hyperlink>
      <w:r w:rsidRPr="63439BCA">
        <w:rPr>
          <w:rFonts w:ascii="Calibri" w:eastAsia="Malgun Gothic" w:hAnsi="Calibri" w:cs="Calibri"/>
          <w:sz w:val="22"/>
          <w:szCs w:val="22"/>
        </w:rPr>
        <w:t xml:space="preserve">. </w:t>
      </w:r>
    </w:p>
    <w:p w14:paraId="57FF662F" w14:textId="77777777" w:rsidR="00D963D0" w:rsidRPr="00BC27FF" w:rsidRDefault="00D963D0" w:rsidP="00EB3C86">
      <w:pPr>
        <w:spacing w:line="360" w:lineRule="auto"/>
        <w:rPr>
          <w:rFonts w:ascii="Calibri" w:eastAsia="Malgun Gothic" w:hAnsi="Calibri" w:cs="Calibri"/>
          <w:sz w:val="22"/>
          <w:szCs w:val="22"/>
        </w:rPr>
      </w:pPr>
    </w:p>
    <w:p w14:paraId="7BFFF90E" w14:textId="77777777" w:rsidR="00D963D0" w:rsidRPr="00A633A4" w:rsidRDefault="69685F4B" w:rsidP="00EB3C86">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Despite this favourable immunogenicity profile, </w:t>
      </w:r>
      <w:commentRangeStart w:id="6"/>
      <w:r w:rsidRPr="69685F4B">
        <w:rPr>
          <w:rFonts w:ascii="Calibri" w:eastAsia="Malgun Gothic" w:hAnsi="Calibri" w:cs="Calibri"/>
          <w:sz w:val="22"/>
          <w:szCs w:val="22"/>
        </w:rPr>
        <w:t>the regulatory landscape for Ixchiq has been highly dynamic since its introduction</w:t>
      </w:r>
      <w:commentRangeEnd w:id="6"/>
      <w:r w:rsidRPr="69685F4B">
        <w:rPr>
          <w:rStyle w:val="CommentReference"/>
          <w:rFonts w:ascii="Calibri" w:eastAsia="Malgun Gothic" w:hAnsi="Calibri" w:cs="Calibri"/>
          <w:sz w:val="22"/>
          <w:szCs w:val="22"/>
        </w:rPr>
        <w:commentReference w:id="6"/>
      </w:r>
      <w:r w:rsidRPr="69685F4B">
        <w:rPr>
          <w:rFonts w:ascii="Calibri" w:eastAsia="Malgun Gothic" w:hAnsi="Calibri" w:cs="Calibri"/>
          <w:sz w:val="22"/>
          <w:szCs w:val="22"/>
        </w:rPr>
        <w:t>, driven largely by post-licensure safety concerns. The first mass vaccination campaign using Ixchiq was initiated in La Reunion in April 2025 during a major outbreak, after which more than 80,000 vaccine doses were distributed globall</w:t>
      </w:r>
      <w:r w:rsidRPr="69685F4B">
        <w:rPr>
          <w:rFonts w:ascii="Calibri" w:hAnsi="Calibri" w:cs="Calibri"/>
          <w:sz w:val="22"/>
          <w:szCs w:val="22"/>
        </w:rPr>
        <w:t xml:space="preserve">y </w:t>
      </w:r>
      <w:hyperlink r:id="rId18">
        <w:r w:rsidRPr="69685F4B">
          <w:rPr>
            <w:rFonts w:ascii="Calibri" w:hAnsi="Calibri" w:cs="Calibri"/>
            <w:sz w:val="22"/>
            <w:szCs w:val="22"/>
          </w:rPr>
          <w:t>[12]</w:t>
        </w:r>
      </w:hyperlink>
      <w:r w:rsidRPr="69685F4B">
        <w:rPr>
          <w:rFonts w:ascii="Calibri" w:eastAsia="Malgun Gothic" w:hAnsi="Calibri" w:cs="Calibri"/>
          <w:sz w:val="22"/>
          <w:szCs w:val="22"/>
        </w:rPr>
        <w:t xml:space="preserve">. Subsequent post-licensure surveillance, including reports from the US Vaccine Adverse Event Reporting System (VAERS), identified 32 adverse events, including three deaths, predominantly among </w:t>
      </w:r>
      <w:commentRangeStart w:id="7"/>
      <w:r w:rsidRPr="69685F4B">
        <w:rPr>
          <w:rFonts w:ascii="Calibri" w:eastAsia="Malgun Gothic" w:hAnsi="Calibri" w:cs="Calibri"/>
          <w:sz w:val="22"/>
          <w:szCs w:val="22"/>
        </w:rPr>
        <w:t>older adults</w:t>
      </w:r>
      <w:commentRangeEnd w:id="7"/>
      <w:r w:rsidR="00D963D0" w:rsidRPr="69685F4B">
        <w:rPr>
          <w:rStyle w:val="CommentReference"/>
          <w:rFonts w:ascii="Calibri" w:eastAsia="Malgun Gothic" w:hAnsi="Calibri" w:cs="Calibri"/>
          <w:sz w:val="22"/>
          <w:szCs w:val="22"/>
        </w:rPr>
        <w:commentReference w:id="7"/>
      </w:r>
      <w:r w:rsidRPr="69685F4B">
        <w:rPr>
          <w:rFonts w:ascii="Calibri" w:eastAsia="Malgun Gothic" w:hAnsi="Calibri" w:cs="Calibri"/>
          <w:sz w:val="22"/>
          <w:szCs w:val="22"/>
        </w:rPr>
        <w:t xml:space="preserve">. Among these, one death was identified as encephalitis directly attributable to the vaccine </w:t>
      </w:r>
      <w:hyperlink r:id="rId19">
        <w:r w:rsidRPr="69685F4B">
          <w:rPr>
            <w:rFonts w:ascii="Calibri" w:hAnsi="Calibri" w:cs="Calibri"/>
            <w:sz w:val="22"/>
            <w:szCs w:val="22"/>
          </w:rPr>
          <w:t>[13]</w:t>
        </w:r>
      </w:hyperlink>
      <w:r w:rsidRPr="69685F4B">
        <w:rPr>
          <w:rFonts w:ascii="Calibri" w:eastAsia="Malgun Gothic" w:hAnsi="Calibri" w:cs="Calibri"/>
          <w:sz w:val="22"/>
          <w:szCs w:val="22"/>
        </w:rPr>
        <w:t xml:space="preserve">. </w:t>
      </w:r>
    </w:p>
    <w:p w14:paraId="26028214" w14:textId="21E835FC" w:rsidR="00D963D0" w:rsidRPr="0064010E" w:rsidRDefault="00D963D0" w:rsidP="00EB3C86">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Older adults may be particularly vulnerable to adverse outcomes from live attenuated vaccines because immunosenescence can alter inflammatory responses. Similar age-related safety concerns and </w:t>
      </w:r>
      <w:r w:rsidR="029875F9" w:rsidRPr="2ABB2145">
        <w:rPr>
          <w:rFonts w:ascii="Calibri" w:eastAsia="Malgun Gothic" w:hAnsi="Calibri" w:cs="Calibri"/>
          <w:sz w:val="22"/>
          <w:szCs w:val="22"/>
        </w:rPr>
        <w:t xml:space="preserve">other </w:t>
      </w:r>
      <w:commentRangeStart w:id="8"/>
      <w:r w:rsidRPr="2ABB2145">
        <w:rPr>
          <w:rFonts w:ascii="Calibri" w:eastAsia="Malgun Gothic" w:hAnsi="Calibri" w:cs="Calibri"/>
          <w:sz w:val="22"/>
          <w:szCs w:val="22"/>
        </w:rPr>
        <w:t>challenge</w:t>
      </w:r>
      <w:r w:rsidR="7C7578C7" w:rsidRPr="2ABB2145">
        <w:rPr>
          <w:rFonts w:ascii="Calibri" w:eastAsia="Malgun Gothic" w:hAnsi="Calibri" w:cs="Calibri"/>
          <w:sz w:val="22"/>
          <w:szCs w:val="22"/>
        </w:rPr>
        <w:t>s</w:t>
      </w:r>
      <w:r w:rsidRPr="2ABB2145">
        <w:rPr>
          <w:rFonts w:ascii="Calibri" w:eastAsia="Malgun Gothic" w:hAnsi="Calibri" w:cs="Calibri"/>
          <w:sz w:val="22"/>
          <w:szCs w:val="22"/>
        </w:rPr>
        <w:t xml:space="preserve"> </w:t>
      </w:r>
      <w:commentRangeEnd w:id="8"/>
      <w:r w:rsidRPr="2ABB2145">
        <w:rPr>
          <w:rStyle w:val="CommentReference"/>
          <w:rFonts w:ascii="Calibri" w:eastAsia="Malgun Gothic" w:hAnsi="Calibri" w:cs="Calibri"/>
          <w:sz w:val="22"/>
          <w:szCs w:val="22"/>
        </w:rPr>
        <w:commentReference w:id="8"/>
      </w:r>
      <w:r w:rsidRPr="2ABB2145">
        <w:rPr>
          <w:rFonts w:ascii="Calibri" w:eastAsia="Malgun Gothic" w:hAnsi="Calibri" w:cs="Calibri"/>
          <w:sz w:val="22"/>
          <w:szCs w:val="22"/>
        </w:rPr>
        <w:t xml:space="preserve">of vaccinating </w:t>
      </w:r>
      <w:r w:rsidR="64D4845C" w:rsidRPr="2ABB2145">
        <w:rPr>
          <w:rFonts w:ascii="Calibri" w:eastAsia="Malgun Gothic" w:hAnsi="Calibri" w:cs="Calibri"/>
          <w:sz w:val="22"/>
          <w:szCs w:val="22"/>
        </w:rPr>
        <w:t xml:space="preserve">the </w:t>
      </w:r>
      <w:r w:rsidRPr="2ABB2145">
        <w:rPr>
          <w:rFonts w:ascii="Calibri" w:eastAsia="Malgun Gothic" w:hAnsi="Calibri" w:cs="Calibri"/>
          <w:sz w:val="22"/>
          <w:szCs w:val="22"/>
        </w:rPr>
        <w:t xml:space="preserve">elderly population have been reported for other vaccines such as yellow fever vaccination and live attenuated influenza vaccine </w:t>
      </w:r>
      <w:hyperlink r:id="rId20">
        <w:r w:rsidRPr="2ABB2145">
          <w:rPr>
            <w:rFonts w:ascii="Calibri" w:hAnsi="Calibri" w:cs="Calibri"/>
            <w:sz w:val="22"/>
            <w:szCs w:val="22"/>
          </w:rPr>
          <w:t>[14,15]</w:t>
        </w:r>
      </w:hyperlink>
      <w:r w:rsidRPr="2ABB2145">
        <w:rPr>
          <w:rFonts w:ascii="Calibri" w:eastAsia="Malgun Gothic" w:hAnsi="Calibri" w:cs="Calibri"/>
          <w:sz w:val="22"/>
          <w:szCs w:val="22"/>
        </w:rPr>
        <w:t xml:space="preserve">. These observations, along with post-licensure reports for ixchiq, led several regulatory authorities including Health Canada and the European Medicines Agency (EMA) to introduce age-based restrictions or recommendations only when substantial chikungunya risk is anticipated, and prompted the US Food and Drug Administration (FDA) to suspend Ixchiq’s biologic license in August 2025 </w:t>
      </w:r>
      <w:hyperlink r:id="rId21">
        <w:r w:rsidRPr="2ABB2145">
          <w:rPr>
            <w:rFonts w:ascii="Calibri" w:hAnsi="Calibri" w:cs="Calibri"/>
            <w:sz w:val="22"/>
            <w:szCs w:val="22"/>
          </w:rPr>
          <w:t>[16,17]</w:t>
        </w:r>
      </w:hyperlink>
      <w:r w:rsidRPr="2ABB2145">
        <w:rPr>
          <w:rFonts w:ascii="Calibri" w:eastAsia="Malgun Gothic" w:hAnsi="Calibri" w:cs="Calibri"/>
          <w:sz w:val="22"/>
          <w:szCs w:val="22"/>
        </w:rPr>
        <w:t xml:space="preserve">. Following these regulatory setbacks and safety concerns, Valneva voluntarily withdrew the product from the US market in February 2026, pending further safety evaluations and clinical data reviews </w:t>
      </w:r>
      <w:hyperlink r:id="rId22">
        <w:r w:rsidRPr="2ABB2145">
          <w:rPr>
            <w:rFonts w:ascii="Calibri" w:hAnsi="Calibri" w:cs="Calibri"/>
            <w:sz w:val="22"/>
            <w:szCs w:val="22"/>
          </w:rPr>
          <w:t>[18]</w:t>
        </w:r>
      </w:hyperlink>
      <w:r w:rsidRPr="2ABB2145">
        <w:rPr>
          <w:rFonts w:ascii="Calibri" w:eastAsia="Malgun Gothic" w:hAnsi="Calibri" w:cs="Calibri"/>
          <w:sz w:val="22"/>
          <w:szCs w:val="22"/>
        </w:rPr>
        <w:t xml:space="preserve">. </w:t>
      </w:r>
    </w:p>
    <w:p w14:paraId="4944F3A2" w14:textId="77777777" w:rsidR="00D963D0" w:rsidRPr="00EB3C86" w:rsidRDefault="00D963D0" w:rsidP="00EB3C86">
      <w:pPr>
        <w:spacing w:line="360" w:lineRule="auto"/>
        <w:rPr>
          <w:rFonts w:ascii="Calibri" w:eastAsia="Malgun Gothic" w:hAnsi="Calibri" w:cs="Calibri"/>
          <w:sz w:val="22"/>
          <w:szCs w:val="22"/>
        </w:rPr>
      </w:pPr>
    </w:p>
    <w:p w14:paraId="75437ACB" w14:textId="77777777" w:rsidR="00D963D0" w:rsidRPr="00EB3C86" w:rsidRDefault="00D963D0" w:rsidP="00EB3C86">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Several modelling studies have evaluated the health impact of chikungunya vaccination strategies in endemic or epidemic settings, including national-level analyses and global burden assessments across broad adult age groups </w:t>
      </w:r>
      <w:hyperlink r:id="rId23">
        <w:r w:rsidRPr="2ABB2145">
          <w:rPr>
            <w:rFonts w:ascii="Calibri" w:hAnsi="Calibri" w:cs="Calibri"/>
            <w:sz w:val="22"/>
            <w:szCs w:val="22"/>
          </w:rPr>
          <w:t>[19–21]</w:t>
        </w:r>
      </w:hyperlink>
      <w:r w:rsidRPr="2ABB2145">
        <w:rPr>
          <w:rFonts w:ascii="Calibri" w:eastAsia="Malgun Gothic" w:hAnsi="Calibri" w:cs="Calibri"/>
          <w:sz w:val="22"/>
          <w:szCs w:val="22"/>
        </w:rPr>
        <w:t xml:space="preserve">. However, these studies have largely focused on vaccine impact in terms of averted infections or disease outcomes, </w:t>
      </w:r>
      <w:commentRangeStart w:id="9"/>
      <w:r w:rsidRPr="2ABB2145">
        <w:rPr>
          <w:rFonts w:ascii="Calibri" w:eastAsia="Malgun Gothic" w:hAnsi="Calibri" w:cs="Calibri"/>
          <w:sz w:val="22"/>
          <w:szCs w:val="22"/>
        </w:rPr>
        <w:t xml:space="preserve">without explicitly incorporating age-specific vaccine-associated risks or post-licensure safety signals </w:t>
      </w:r>
      <w:commentRangeEnd w:id="9"/>
      <w:r w:rsidRPr="2ABB2145">
        <w:rPr>
          <w:rStyle w:val="CommentReference"/>
          <w:rFonts w:ascii="Calibri" w:eastAsia="Malgun Gothic" w:hAnsi="Calibri" w:cs="Calibri"/>
          <w:sz w:val="22"/>
          <w:szCs w:val="22"/>
        </w:rPr>
        <w:commentReference w:id="9"/>
      </w:r>
      <w:r w:rsidRPr="2ABB2145">
        <w:rPr>
          <w:rFonts w:ascii="Calibri" w:eastAsia="Malgun Gothic" w:hAnsi="Calibri" w:cs="Calibri"/>
          <w:sz w:val="22"/>
          <w:szCs w:val="22"/>
        </w:rPr>
        <w:t xml:space="preserve">to assess benefit-risk of the vaccine. Vaccination impact should be assessed by both prevented disease outcomes as well as adverse outcomes associated with vaccination to estimate net population benefit of vaccination. A recent study proposed a scenario-based framework to assess the benefit-risk of Ixchiq across endemic, epidemic, and traveller settings, providing an important conceptual advance </w:t>
      </w:r>
      <w:hyperlink r:id="rId24">
        <w:r w:rsidRPr="2ABB2145">
          <w:rPr>
            <w:rFonts w:ascii="Calibri" w:hAnsi="Calibri" w:cs="Calibri"/>
            <w:sz w:val="22"/>
            <w:szCs w:val="22"/>
          </w:rPr>
          <w:t>[22]</w:t>
        </w:r>
      </w:hyperlink>
      <w:r w:rsidRPr="2ABB2145">
        <w:rPr>
          <w:rFonts w:ascii="Calibri" w:eastAsia="Malgun Gothic" w:hAnsi="Calibri" w:cs="Calibri"/>
          <w:sz w:val="22"/>
          <w:szCs w:val="22"/>
        </w:rPr>
        <w:t xml:space="preserve">. </w:t>
      </w:r>
      <w:commentRangeStart w:id="10"/>
      <w:r w:rsidRPr="2ABB2145">
        <w:rPr>
          <w:rFonts w:ascii="Calibri" w:eastAsia="Malgun Gothic" w:hAnsi="Calibri" w:cs="Calibri"/>
          <w:sz w:val="22"/>
          <w:szCs w:val="22"/>
        </w:rPr>
        <w:t>However, quantitative assessments that explicitly account for variation in travel duration, outbreak size, and age-specific vaccination strategies remain limited.</w:t>
      </w:r>
      <w:commentRangeEnd w:id="10"/>
      <w:r w:rsidRPr="00EB3C86">
        <w:rPr>
          <w:rStyle w:val="CommentReference"/>
          <w:rFonts w:ascii="Calibri" w:eastAsia="Malgun Gothic" w:hAnsi="Calibri" w:cs="Calibri"/>
          <w:sz w:val="22"/>
          <w:szCs w:val="22"/>
        </w:rPr>
        <w:commentReference w:id="10"/>
      </w:r>
    </w:p>
    <w:p w14:paraId="38CAC1FF" w14:textId="77777777" w:rsidR="00D963D0" w:rsidRPr="00EB3C86" w:rsidRDefault="00D963D0" w:rsidP="00EB3C86">
      <w:pPr>
        <w:spacing w:line="360" w:lineRule="auto"/>
        <w:rPr>
          <w:rFonts w:ascii="Calibri" w:eastAsia="Malgun Gothic" w:hAnsi="Calibri" w:cs="Calibri"/>
          <w:sz w:val="22"/>
          <w:szCs w:val="22"/>
        </w:rPr>
      </w:pPr>
    </w:p>
    <w:p w14:paraId="55811E0A" w14:textId="164BEF79" w:rsidR="00D963D0" w:rsidRPr="00EB3C86" w:rsidRDefault="69685F4B" w:rsidP="00EB3C86">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 Benefit–risk assessment of the currently available chikungunya vaccine (Ixchiq) is particularly important for traveller vaccination and outbreak response immunisation because the balance between expected benefit and potential harm can vary widely across settings. For travellers, exposure to CHIKV is time‑limited and infection risk may be low or uncertain, while potential vaccine-associated adverse outcomes can occur shortly after vaccination (e.g., within the first week) </w:t>
      </w:r>
      <w:hyperlink r:id="rId25">
        <w:r w:rsidRPr="69685F4B">
          <w:rPr>
            <w:rFonts w:ascii="Calibri" w:hAnsi="Calibri" w:cs="Calibri"/>
            <w:sz w:val="22"/>
            <w:szCs w:val="22"/>
          </w:rPr>
          <w:t>[13,23]</w:t>
        </w:r>
      </w:hyperlink>
      <w:r w:rsidRPr="69685F4B">
        <w:rPr>
          <w:rFonts w:ascii="Calibri" w:eastAsia="Malgun Gothic" w:hAnsi="Calibri" w:cs="Calibri"/>
          <w:sz w:val="22"/>
          <w:szCs w:val="22"/>
        </w:rPr>
        <w:t xml:space="preserve">. Similarly, outbreak response immunisation should often be implemented rapidly, under substantial uncertainty of attack rates, population immunity, and age-specific risk of severe outcomes. </w:t>
      </w:r>
      <w:commentRangeStart w:id="11"/>
      <w:r w:rsidRPr="69685F4B">
        <w:rPr>
          <w:rFonts w:ascii="Calibri" w:eastAsia="Malgun Gothic" w:hAnsi="Calibri" w:cs="Calibri"/>
          <w:sz w:val="22"/>
          <w:szCs w:val="22"/>
        </w:rPr>
        <w:t xml:space="preserve">As post-licensure safety data continue to emerge, there is an urgent need for quantitative evaluations </w:t>
      </w:r>
      <w:commentRangeEnd w:id="11"/>
      <w:r w:rsidR="00D963D0" w:rsidRPr="69685F4B">
        <w:rPr>
          <w:rStyle w:val="CommentReference"/>
          <w:rFonts w:ascii="Calibri" w:eastAsia="Malgun Gothic" w:hAnsi="Calibri" w:cs="Calibri"/>
          <w:sz w:val="22"/>
          <w:szCs w:val="22"/>
        </w:rPr>
        <w:commentReference w:id="11"/>
      </w:r>
      <w:r w:rsidRPr="69685F4B">
        <w:rPr>
          <w:rFonts w:ascii="Calibri" w:eastAsia="Malgun Gothic" w:hAnsi="Calibri" w:cs="Calibri"/>
          <w:sz w:val="22"/>
          <w:szCs w:val="22"/>
        </w:rPr>
        <w:t>of the benefit-risk profile of Ixchiq across a range of epidemiological scenarios for both travel vaccination and outbreak response immunisation to inform evidence-based vaccination policy.</w:t>
      </w:r>
    </w:p>
    <w:p w14:paraId="556A4DA2" w14:textId="77777777" w:rsidR="00D963D0" w:rsidRPr="00EB3C86" w:rsidRDefault="00D963D0" w:rsidP="00EB3C86">
      <w:pPr>
        <w:spacing w:line="360" w:lineRule="auto"/>
        <w:rPr>
          <w:rFonts w:ascii="Calibri" w:eastAsia="Malgun Gothic" w:hAnsi="Calibri" w:cs="Calibri"/>
          <w:sz w:val="22"/>
          <w:szCs w:val="22"/>
        </w:rPr>
      </w:pPr>
    </w:p>
    <w:p w14:paraId="6A311E2F" w14:textId="0933EE45" w:rsidR="00D963D0" w:rsidRPr="00BC27FF" w:rsidRDefault="69685F4B" w:rsidP="00EB3C86">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Here, we estimated the benefit-risk of Ixchiq for two vaccination strategies: travel vaccination and four different age-specific outbreak-response immunisations using currently available post-licensure safety data. </w:t>
      </w:r>
      <w:commentRangeStart w:id="12"/>
      <w:r w:rsidRPr="2ABB2145">
        <w:rPr>
          <w:rFonts w:ascii="Calibri" w:eastAsia="Malgun Gothic" w:hAnsi="Calibri" w:cs="Calibri"/>
          <w:sz w:val="22"/>
          <w:szCs w:val="22"/>
        </w:rPr>
        <w:t xml:space="preserve">We evaluated these strategies under hypothetical scenarios varying by attack rate, travel duration, and target age group. We quantified outcomes using benefit-risk ratios defined as the number of health outcomes averted per vaccine-associated serious adverse event and death. We also estimated the net number of deaths and hospitalisations averted per 10,000 vaccinated individuals in each scenario.  </w:t>
      </w:r>
      <w:commentRangeEnd w:id="12"/>
      <w:r w:rsidR="00D963D0" w:rsidRPr="00BC27FF">
        <w:rPr>
          <w:rStyle w:val="CommentReference"/>
          <w:rFonts w:ascii="Calibri" w:eastAsia="Malgun Gothic" w:hAnsi="Calibri" w:cs="Calibri"/>
          <w:sz w:val="22"/>
          <w:szCs w:val="22"/>
        </w:rPr>
        <w:commentReference w:id="12"/>
      </w:r>
    </w:p>
    <w:p w14:paraId="795FE536" w14:textId="77777777" w:rsidR="00D963D0" w:rsidRDefault="00D963D0" w:rsidP="00EB3C86">
      <w:pPr>
        <w:spacing w:line="360" w:lineRule="auto"/>
        <w:rPr>
          <w:rFonts w:ascii="Calibri" w:eastAsia="Malgun Gothic" w:hAnsi="Calibri" w:cs="Calibri"/>
          <w:sz w:val="22"/>
          <w:szCs w:val="22"/>
        </w:rPr>
      </w:pPr>
    </w:p>
    <w:p w14:paraId="030B9A0D" w14:textId="0B0BFE36" w:rsidR="00065AB3" w:rsidRPr="006D6689" w:rsidRDefault="69685F4B" w:rsidP="00377C6C">
      <w:pPr>
        <w:spacing w:line="360" w:lineRule="auto"/>
        <w:rPr>
          <w:rFonts w:eastAsia="Malgun Gothic"/>
        </w:rPr>
      </w:pPr>
      <w:commentRangeStart w:id="13"/>
      <w:r w:rsidRPr="69685F4B">
        <w:rPr>
          <w:rStyle w:val="IntenseEmphasis"/>
          <w:sz w:val="24"/>
        </w:rPr>
        <w:t>Methods</w:t>
      </w:r>
      <w:commentRangeEnd w:id="13"/>
      <w:r w:rsidR="00D963D0" w:rsidRPr="006D6689">
        <w:rPr>
          <w:rStyle w:val="CommentReference"/>
          <w:rFonts w:eastAsia="Malgun Gothic"/>
          <w:sz w:val="24"/>
          <w:szCs w:val="24"/>
        </w:rPr>
        <w:commentReference w:id="13"/>
      </w:r>
    </w:p>
    <w:p w14:paraId="6E4CD1D2" w14:textId="613DB32B" w:rsidR="00916DCB" w:rsidRPr="00377C6C" w:rsidRDefault="0086440A" w:rsidP="00EB3C86">
      <w:pPr>
        <w:spacing w:line="360" w:lineRule="auto"/>
        <w:rPr>
          <w:rFonts w:ascii="Calibri" w:eastAsia="Malgun Gothic" w:hAnsi="Calibri"/>
          <w:sz w:val="22"/>
          <w:szCs w:val="22"/>
          <w:lang w:val="en-US"/>
        </w:rPr>
      </w:pPr>
      <w:r>
        <w:rPr>
          <w:rFonts w:ascii="Calibri" w:eastAsia="Malgun Gothic" w:hAnsi="Calibri"/>
          <w:sz w:val="22"/>
          <w:szCs w:val="22"/>
        </w:rPr>
        <w:t xml:space="preserve">We </w:t>
      </w:r>
      <w:r w:rsidR="00094D31">
        <w:rPr>
          <w:rFonts w:ascii="Calibri" w:eastAsia="Malgun Gothic" w:hAnsi="Calibri"/>
          <w:sz w:val="22"/>
          <w:szCs w:val="22"/>
        </w:rPr>
        <w:t xml:space="preserve">conducted </w:t>
      </w:r>
      <w:r w:rsidR="003640F9">
        <w:rPr>
          <w:rFonts w:ascii="Calibri" w:eastAsia="Malgun Gothic" w:hAnsi="Calibri"/>
          <w:sz w:val="22"/>
          <w:szCs w:val="22"/>
          <w:lang w:val="en-US"/>
        </w:rPr>
        <w:t xml:space="preserve">a </w:t>
      </w:r>
      <w:r w:rsidR="00094D31">
        <w:rPr>
          <w:rFonts w:ascii="Calibri" w:eastAsia="Malgun Gothic" w:hAnsi="Calibri"/>
          <w:sz w:val="22"/>
          <w:szCs w:val="22"/>
        </w:rPr>
        <w:t xml:space="preserve">benefit-risk analysis </w:t>
      </w:r>
      <w:r w:rsidR="00670F84">
        <w:rPr>
          <w:rFonts w:ascii="Calibri" w:eastAsia="Malgun Gothic" w:hAnsi="Calibri"/>
          <w:sz w:val="22"/>
          <w:szCs w:val="22"/>
        </w:rPr>
        <w:t xml:space="preserve">of Ixchiq vaccine </w:t>
      </w:r>
      <w:r w:rsidR="003640F9">
        <w:rPr>
          <w:rFonts w:ascii="Calibri" w:eastAsia="Malgun Gothic" w:hAnsi="Calibri"/>
          <w:sz w:val="22"/>
          <w:szCs w:val="22"/>
        </w:rPr>
        <w:t>comparing</w:t>
      </w:r>
      <w:r w:rsidR="00CD7661">
        <w:rPr>
          <w:rFonts w:ascii="Calibri" w:eastAsia="Malgun Gothic" w:hAnsi="Calibri"/>
          <w:sz w:val="22"/>
          <w:szCs w:val="22"/>
        </w:rPr>
        <w:t xml:space="preserve"> traveller vaccination and </w:t>
      </w:r>
      <w:r w:rsidR="003F1F97">
        <w:rPr>
          <w:rFonts w:ascii="Calibri" w:eastAsia="Malgun Gothic" w:hAnsi="Calibri"/>
          <w:sz w:val="22"/>
          <w:szCs w:val="22"/>
        </w:rPr>
        <w:t xml:space="preserve">outbreak response immunisation across 11 </w:t>
      </w:r>
      <w:r w:rsidR="003640F9">
        <w:rPr>
          <w:rFonts w:ascii="Calibri" w:eastAsia="Malgun Gothic" w:hAnsi="Calibri"/>
          <w:sz w:val="22"/>
          <w:szCs w:val="22"/>
        </w:rPr>
        <w:t>Brazilian states</w:t>
      </w:r>
      <w:r w:rsidR="003F1F97">
        <w:rPr>
          <w:rFonts w:ascii="Calibri" w:eastAsia="Malgun Gothic" w:hAnsi="Calibri"/>
          <w:sz w:val="22"/>
          <w:szCs w:val="22"/>
        </w:rPr>
        <w:t xml:space="preserve">. </w:t>
      </w:r>
      <w:r w:rsidR="00182657">
        <w:rPr>
          <w:rFonts w:ascii="Calibri" w:eastAsia="Malgun Gothic" w:hAnsi="Calibri"/>
          <w:sz w:val="22"/>
          <w:szCs w:val="22"/>
        </w:rPr>
        <w:t xml:space="preserve">We </w:t>
      </w:r>
      <w:r w:rsidR="003640F9">
        <w:rPr>
          <w:rFonts w:ascii="Calibri" w:eastAsia="Malgun Gothic" w:hAnsi="Calibri"/>
          <w:sz w:val="22"/>
          <w:szCs w:val="22"/>
        </w:rPr>
        <w:t>assessed</w:t>
      </w:r>
      <w:r w:rsidR="00182657">
        <w:rPr>
          <w:rFonts w:ascii="Calibri" w:eastAsia="Malgun Gothic" w:hAnsi="Calibri"/>
          <w:sz w:val="22"/>
          <w:szCs w:val="22"/>
        </w:rPr>
        <w:t xml:space="preserve"> benefit-risk across four age groups (1-11, 12-17, 18-64, and </w:t>
      </w:r>
      <w:r w:rsidR="00182657" w:rsidRPr="63439BCA">
        <w:rPr>
          <w:rFonts w:ascii="Calibri" w:eastAsia="Malgun Gothic" w:hAnsi="Calibri"/>
          <w:sz w:val="22"/>
          <w:szCs w:val="22"/>
        </w:rPr>
        <w:t>≥</w:t>
      </w:r>
      <w:r w:rsidR="00182657">
        <w:rPr>
          <w:rFonts w:ascii="Calibri" w:eastAsia="Malgun Gothic" w:hAnsi="Calibri"/>
          <w:sz w:val="22"/>
          <w:szCs w:val="22"/>
        </w:rPr>
        <w:t xml:space="preserve">65 years) </w:t>
      </w:r>
      <w:r w:rsidR="00113942">
        <w:rPr>
          <w:rFonts w:ascii="Calibri" w:eastAsia="Malgun Gothic" w:hAnsi="Calibri"/>
          <w:sz w:val="22"/>
          <w:szCs w:val="22"/>
        </w:rPr>
        <w:t xml:space="preserve">under </w:t>
      </w:r>
      <w:r w:rsidR="003640F9">
        <w:rPr>
          <w:rFonts w:ascii="Calibri" w:eastAsia="Malgun Gothic" w:hAnsi="Calibri"/>
          <w:sz w:val="22"/>
          <w:szCs w:val="22"/>
          <w:lang w:val="en-US"/>
        </w:rPr>
        <w:t>three total attack</w:t>
      </w:r>
      <w:r w:rsidR="00AD27B2">
        <w:rPr>
          <w:rFonts w:ascii="Calibri" w:eastAsia="Malgun Gothic" w:hAnsi="Calibri"/>
          <w:sz w:val="22"/>
          <w:szCs w:val="22"/>
          <w:lang w:val="en-US"/>
        </w:rPr>
        <w:t xml:space="preserve"> rate</w:t>
      </w:r>
      <w:r w:rsidR="003640F9">
        <w:rPr>
          <w:rFonts w:ascii="Calibri" w:eastAsia="Malgun Gothic" w:hAnsi="Calibri"/>
          <w:sz w:val="22"/>
          <w:szCs w:val="22"/>
          <w:lang w:val="en-US"/>
        </w:rPr>
        <w:t xml:space="preserve"> categories</w:t>
      </w:r>
      <w:r w:rsidR="0019165B">
        <w:rPr>
          <w:rFonts w:ascii="Calibri" w:eastAsia="Malgun Gothic" w:hAnsi="Calibri"/>
          <w:sz w:val="22"/>
          <w:szCs w:val="22"/>
          <w:lang w:val="en-US"/>
        </w:rPr>
        <w:t xml:space="preserve"> (&lt;5%, 5-10%, </w:t>
      </w:r>
      <w:r w:rsidR="00ED6C0A" w:rsidRPr="00ED6C0A">
        <w:rPr>
          <w:rFonts w:ascii="Calibri" w:eastAsia="Malgun Gothic" w:hAnsi="Calibri"/>
          <w:sz w:val="22"/>
          <w:szCs w:val="22"/>
          <w:lang w:val="en-US"/>
        </w:rPr>
        <w:t>and ≥</w:t>
      </w:r>
      <w:r w:rsidR="0019165B">
        <w:rPr>
          <w:rFonts w:ascii="Calibri" w:eastAsia="Malgun Gothic" w:hAnsi="Calibri"/>
          <w:sz w:val="22"/>
          <w:szCs w:val="22"/>
          <w:lang w:val="en-US"/>
        </w:rPr>
        <w:t>10%)</w:t>
      </w:r>
      <w:r w:rsidR="003F3EF8">
        <w:rPr>
          <w:rFonts w:ascii="Calibri" w:eastAsia="Malgun Gothic" w:hAnsi="Calibri"/>
          <w:sz w:val="22"/>
          <w:szCs w:val="22"/>
        </w:rPr>
        <w:t xml:space="preserve">. </w:t>
      </w:r>
      <w:r w:rsidR="0019165B">
        <w:rPr>
          <w:rFonts w:ascii="Calibri" w:eastAsia="Malgun Gothic" w:hAnsi="Calibri"/>
          <w:sz w:val="22"/>
          <w:szCs w:val="22"/>
        </w:rPr>
        <w:t xml:space="preserve">For traveller vaccination, we </w:t>
      </w:r>
      <w:r w:rsidR="00ED6C0A">
        <w:rPr>
          <w:rFonts w:ascii="Calibri" w:eastAsia="Malgun Gothic" w:hAnsi="Calibri"/>
          <w:sz w:val="22"/>
          <w:szCs w:val="22"/>
        </w:rPr>
        <w:t>simulated</w:t>
      </w:r>
      <w:r w:rsidR="0019165B">
        <w:rPr>
          <w:rFonts w:ascii="Calibri" w:eastAsia="Malgun Gothic" w:hAnsi="Calibri"/>
          <w:sz w:val="22"/>
          <w:szCs w:val="22"/>
        </w:rPr>
        <w:t xml:space="preserve"> </w:t>
      </w:r>
      <w:r w:rsidR="00797B73">
        <w:rPr>
          <w:rFonts w:ascii="Calibri" w:eastAsia="Malgun Gothic" w:hAnsi="Calibri"/>
          <w:sz w:val="22"/>
          <w:szCs w:val="22"/>
        </w:rPr>
        <w:t xml:space="preserve">travel durations </w:t>
      </w:r>
      <w:r w:rsidR="00063FBC">
        <w:rPr>
          <w:rFonts w:ascii="Calibri" w:eastAsia="Malgun Gothic" w:hAnsi="Calibri"/>
          <w:sz w:val="22"/>
          <w:szCs w:val="22"/>
        </w:rPr>
        <w:t>of</w:t>
      </w:r>
      <w:r w:rsidR="00797B73">
        <w:rPr>
          <w:rFonts w:ascii="Calibri" w:eastAsia="Malgun Gothic" w:hAnsi="Calibri"/>
          <w:sz w:val="22"/>
          <w:szCs w:val="22"/>
        </w:rPr>
        <w:t xml:space="preserve"> 7, 14, 30, and 90 days</w:t>
      </w:r>
      <w:r w:rsidR="00063FBC">
        <w:rPr>
          <w:rFonts w:ascii="Calibri" w:eastAsia="Malgun Gothic" w:hAnsi="Calibri"/>
          <w:sz w:val="22"/>
          <w:szCs w:val="22"/>
        </w:rPr>
        <w:t>. For</w:t>
      </w:r>
      <w:r w:rsidR="00797B73">
        <w:rPr>
          <w:rFonts w:ascii="Calibri" w:eastAsia="Malgun Gothic" w:hAnsi="Calibri"/>
          <w:sz w:val="22"/>
          <w:szCs w:val="22"/>
        </w:rPr>
        <w:t xml:space="preserve"> outbreak response immunisation, we </w:t>
      </w:r>
      <w:r w:rsidR="00063FBC">
        <w:rPr>
          <w:rFonts w:ascii="Calibri" w:eastAsia="Malgun Gothic" w:hAnsi="Calibri"/>
          <w:sz w:val="22"/>
          <w:szCs w:val="22"/>
        </w:rPr>
        <w:t>simulated</w:t>
      </w:r>
      <w:r w:rsidR="00797B73">
        <w:rPr>
          <w:rFonts w:ascii="Calibri" w:eastAsia="Malgun Gothic" w:hAnsi="Calibri"/>
          <w:sz w:val="22"/>
          <w:szCs w:val="22"/>
        </w:rPr>
        <w:t xml:space="preserve"> two vaccine protection mechanisms</w:t>
      </w:r>
      <w:r w:rsidR="000F4127">
        <w:rPr>
          <w:rFonts w:ascii="Calibri" w:eastAsia="Malgun Gothic" w:hAnsi="Calibri"/>
          <w:sz w:val="22"/>
          <w:szCs w:val="22"/>
        </w:rPr>
        <w:t xml:space="preserve">: </w:t>
      </w:r>
      <w:r w:rsidR="005F7308">
        <w:rPr>
          <w:rFonts w:ascii="Calibri" w:eastAsia="Malgun Gothic" w:hAnsi="Calibri"/>
          <w:sz w:val="22"/>
          <w:szCs w:val="22"/>
          <w:lang w:val="en-US"/>
        </w:rPr>
        <w:t xml:space="preserve">protection against </w:t>
      </w:r>
      <w:r w:rsidR="007E1934">
        <w:rPr>
          <w:rFonts w:ascii="Calibri" w:eastAsia="Malgun Gothic" w:hAnsi="Calibri"/>
          <w:sz w:val="22"/>
          <w:szCs w:val="22"/>
          <w:lang w:val="en-US"/>
        </w:rPr>
        <w:t xml:space="preserve">disease only, and protection against both </w:t>
      </w:r>
      <w:r w:rsidR="00E47ED9">
        <w:rPr>
          <w:rFonts w:ascii="Calibri" w:eastAsia="Malgun Gothic" w:hAnsi="Calibri"/>
          <w:sz w:val="22"/>
          <w:szCs w:val="22"/>
          <w:lang w:val="en-US"/>
        </w:rPr>
        <w:t>disease and infection</w:t>
      </w:r>
      <w:r w:rsidR="00FD56FE">
        <w:rPr>
          <w:rFonts w:ascii="Calibri" w:eastAsia="Malgun Gothic" w:hAnsi="Calibri"/>
          <w:sz w:val="22"/>
          <w:szCs w:val="22"/>
          <w:lang w:val="en-US"/>
        </w:rPr>
        <w:t>.</w:t>
      </w:r>
      <w:r w:rsidR="00DB0C28">
        <w:rPr>
          <w:rFonts w:ascii="Calibri" w:eastAsia="Malgun Gothic" w:hAnsi="Calibri"/>
          <w:sz w:val="22"/>
          <w:szCs w:val="22"/>
          <w:lang w:val="en-US"/>
        </w:rPr>
        <w:t xml:space="preserve"> </w:t>
      </w:r>
      <w:r w:rsidR="000F4127">
        <w:rPr>
          <w:rFonts w:ascii="Calibri" w:eastAsia="Malgun Gothic" w:hAnsi="Calibri"/>
          <w:sz w:val="22"/>
          <w:szCs w:val="22"/>
          <w:lang w:val="en-US"/>
        </w:rPr>
        <w:t>Under</w:t>
      </w:r>
      <w:r w:rsidR="00DB0C28">
        <w:rPr>
          <w:rFonts w:ascii="Calibri" w:eastAsia="Malgun Gothic" w:hAnsi="Calibri"/>
          <w:sz w:val="22"/>
          <w:szCs w:val="22"/>
          <w:lang w:val="en-US"/>
        </w:rPr>
        <w:t xml:space="preserve"> </w:t>
      </w:r>
      <w:r w:rsidR="000F4127">
        <w:rPr>
          <w:rFonts w:ascii="Calibri" w:eastAsia="Malgun Gothic" w:hAnsi="Calibri"/>
          <w:sz w:val="22"/>
          <w:szCs w:val="22"/>
          <w:lang w:val="en-US"/>
        </w:rPr>
        <w:t xml:space="preserve">protection </w:t>
      </w:r>
      <w:r w:rsidR="00DB0C28">
        <w:rPr>
          <w:rFonts w:ascii="Calibri" w:eastAsia="Malgun Gothic" w:hAnsi="Calibri"/>
          <w:sz w:val="22"/>
          <w:szCs w:val="22"/>
          <w:lang w:val="en-US"/>
        </w:rPr>
        <w:t>against disease</w:t>
      </w:r>
      <w:r w:rsidR="000F4127">
        <w:rPr>
          <w:rFonts w:ascii="Calibri" w:eastAsia="Malgun Gothic" w:hAnsi="Calibri"/>
          <w:sz w:val="22"/>
          <w:szCs w:val="22"/>
          <w:lang w:val="en-US"/>
        </w:rPr>
        <w:t xml:space="preserve"> only</w:t>
      </w:r>
      <w:r w:rsidR="00DB0C28">
        <w:rPr>
          <w:rFonts w:ascii="Calibri" w:eastAsia="Malgun Gothic" w:hAnsi="Calibri"/>
          <w:sz w:val="22"/>
          <w:szCs w:val="22"/>
          <w:lang w:val="en-US"/>
        </w:rPr>
        <w:t xml:space="preserve">, we assumed that the force of infection </w:t>
      </w:r>
      <w:r w:rsidR="000F4127">
        <w:rPr>
          <w:rFonts w:ascii="Calibri" w:eastAsia="Malgun Gothic" w:hAnsi="Calibri"/>
          <w:sz w:val="22"/>
          <w:szCs w:val="22"/>
          <w:lang w:val="en-US"/>
        </w:rPr>
        <w:t>remained unchanged</w:t>
      </w:r>
      <w:r w:rsidR="00DB0C28">
        <w:rPr>
          <w:rFonts w:ascii="Calibri" w:eastAsia="Malgun Gothic" w:hAnsi="Calibri"/>
          <w:sz w:val="22"/>
          <w:szCs w:val="22"/>
          <w:lang w:val="en-US"/>
        </w:rPr>
        <w:t xml:space="preserve">, </w:t>
      </w:r>
      <w:r w:rsidR="00007DCD">
        <w:rPr>
          <w:rFonts w:ascii="Calibri" w:eastAsia="Malgun Gothic" w:hAnsi="Calibri"/>
          <w:sz w:val="22"/>
          <w:szCs w:val="22"/>
          <w:lang w:val="en-US"/>
        </w:rPr>
        <w:t>such that vaccination did not reduce the number of infections and provided no indirect protection</w:t>
      </w:r>
      <w:r w:rsidR="00916DCB">
        <w:rPr>
          <w:rFonts w:ascii="Calibri" w:eastAsia="Malgun Gothic" w:hAnsi="Calibri"/>
          <w:sz w:val="22"/>
          <w:szCs w:val="22"/>
          <w:lang w:val="en-US"/>
        </w:rPr>
        <w:t>.</w:t>
      </w:r>
      <w:r w:rsidR="00007DCD">
        <w:rPr>
          <w:rFonts w:ascii="Calibri" w:eastAsia="Malgun Gothic" w:hAnsi="Calibri"/>
          <w:sz w:val="22"/>
          <w:szCs w:val="22"/>
          <w:lang w:val="en-US"/>
        </w:rPr>
        <w:t xml:space="preserve"> Under protection against both disease and infection, we assumed vaccination reduced infections and generate indirect protection in unvaccinated age groups. </w:t>
      </w:r>
      <w:r w:rsidR="00916DCB">
        <w:rPr>
          <w:rFonts w:ascii="Calibri" w:eastAsia="Malgun Gothic" w:hAnsi="Calibri"/>
          <w:sz w:val="22"/>
          <w:szCs w:val="22"/>
          <w:lang w:val="en-US"/>
        </w:rPr>
        <w:t xml:space="preserve"> </w:t>
      </w:r>
    </w:p>
    <w:p w14:paraId="1EE31DE5" w14:textId="3832C659" w:rsidR="00D963D0" w:rsidRDefault="00EC3301" w:rsidP="00EB3C86">
      <w:pPr>
        <w:pStyle w:val="Heading4"/>
        <w:spacing w:line="360" w:lineRule="auto"/>
        <w:rPr>
          <w:rStyle w:val="IntenseEmphasis"/>
          <w:rFonts w:eastAsia="Malgun Gothic" w:cs="Times New Roman"/>
          <w:i w:val="0"/>
          <w:iCs/>
          <w:kern w:val="0"/>
          <w14:ligatures w14:val="none"/>
        </w:rPr>
      </w:pPr>
      <w:r>
        <w:rPr>
          <w:rFonts w:eastAsia="Malgun Gothic"/>
          <w:szCs w:val="22"/>
        </w:rPr>
        <w:t>Outcomes of interest</w:t>
      </w:r>
    </w:p>
    <w:p w14:paraId="233DE4D1" w14:textId="6AE94266" w:rsidR="00271988" w:rsidRDefault="00D963D0" w:rsidP="00EB3C86">
      <w:pPr>
        <w:spacing w:line="360" w:lineRule="auto"/>
        <w:rPr>
          <w:rFonts w:ascii="Calibri" w:eastAsia="Malgun Gothic" w:hAnsi="Calibri" w:cs="Calibri"/>
          <w:sz w:val="22"/>
          <w:szCs w:val="22"/>
        </w:rPr>
      </w:pPr>
      <w:r w:rsidRPr="00EC14D5">
        <w:rPr>
          <w:rFonts w:ascii="Calibri" w:eastAsia="Malgun Gothic" w:hAnsi="Calibri" w:cs="Calibri"/>
          <w:sz w:val="22"/>
          <w:szCs w:val="22"/>
        </w:rPr>
        <w:t xml:space="preserve">We </w:t>
      </w:r>
      <w:r w:rsidR="00193CD9">
        <w:rPr>
          <w:rFonts w:ascii="Calibri" w:eastAsia="Malgun Gothic" w:hAnsi="Calibri" w:cs="Calibri"/>
          <w:sz w:val="22"/>
          <w:szCs w:val="22"/>
        </w:rPr>
        <w:t>estimated</w:t>
      </w:r>
      <w:r w:rsidR="00193CD9" w:rsidRPr="00EC14D5">
        <w:rPr>
          <w:rFonts w:ascii="Calibri" w:eastAsia="Malgun Gothic" w:hAnsi="Calibri" w:cs="Calibri"/>
          <w:sz w:val="22"/>
          <w:szCs w:val="22"/>
        </w:rPr>
        <w:t xml:space="preserve"> </w:t>
      </w:r>
      <w:r w:rsidRPr="00EC14D5">
        <w:rPr>
          <w:rFonts w:ascii="Calibri" w:eastAsia="Malgun Gothic" w:hAnsi="Calibri" w:cs="Calibri"/>
          <w:sz w:val="22"/>
          <w:szCs w:val="22"/>
        </w:rPr>
        <w:t>population</w:t>
      </w:r>
      <w:r w:rsidR="00007DCD">
        <w:rPr>
          <w:rFonts w:ascii="Calibri" w:eastAsia="Malgun Gothic" w:hAnsi="Calibri" w:cs="Calibri"/>
          <w:sz w:val="22"/>
          <w:szCs w:val="22"/>
        </w:rPr>
        <w:t>-</w:t>
      </w:r>
      <w:r w:rsidR="00BC1331">
        <w:rPr>
          <w:rFonts w:ascii="Calibri" w:eastAsia="Malgun Gothic" w:hAnsi="Calibri" w:cs="Calibri"/>
          <w:sz w:val="22"/>
          <w:szCs w:val="22"/>
        </w:rPr>
        <w:t>level</w:t>
      </w:r>
      <w:r w:rsidRPr="00EC14D5">
        <w:rPr>
          <w:rFonts w:ascii="Calibri" w:eastAsia="Malgun Gothic" w:hAnsi="Calibri" w:cs="Calibri"/>
          <w:sz w:val="22"/>
          <w:szCs w:val="22"/>
        </w:rPr>
        <w:t xml:space="preserve"> </w:t>
      </w:r>
      <w:r w:rsidR="00100295">
        <w:rPr>
          <w:rFonts w:ascii="Calibri" w:eastAsia="Malgun Gothic" w:hAnsi="Calibri" w:cs="Calibri"/>
          <w:sz w:val="22"/>
          <w:szCs w:val="22"/>
        </w:rPr>
        <w:t xml:space="preserve">benefits and risks of vaccination </w:t>
      </w:r>
      <w:r w:rsidR="00270A34">
        <w:rPr>
          <w:rFonts w:ascii="Calibri" w:eastAsia="Malgun Gothic" w:hAnsi="Calibri" w:cs="Calibri"/>
          <w:sz w:val="22"/>
          <w:szCs w:val="22"/>
        </w:rPr>
        <w:t xml:space="preserve">for </w:t>
      </w:r>
      <w:r w:rsidR="00BC1331">
        <w:rPr>
          <w:rFonts w:ascii="Calibri" w:eastAsia="Malgun Gothic" w:hAnsi="Calibri" w:cs="Calibri"/>
          <w:sz w:val="22"/>
          <w:szCs w:val="22"/>
        </w:rPr>
        <w:t>severe adverse events (SAEs), deaths, and disability adjusted life years (DALYs)</w:t>
      </w:r>
      <w:r w:rsidR="00AA24B8">
        <w:rPr>
          <w:rFonts w:ascii="Calibri" w:eastAsia="Malgun Gothic" w:hAnsi="Calibri" w:cs="Calibri"/>
          <w:sz w:val="22"/>
          <w:szCs w:val="22"/>
        </w:rPr>
        <w:t xml:space="preserve">, and expressed results per 10,000 vaccinated individuals. </w:t>
      </w:r>
      <w:r w:rsidR="005819A5">
        <w:rPr>
          <w:rFonts w:ascii="Calibri" w:eastAsia="Malgun Gothic" w:hAnsi="Calibri" w:cs="Calibri"/>
          <w:sz w:val="22"/>
          <w:szCs w:val="22"/>
        </w:rPr>
        <w:t xml:space="preserve">For each outcome, we calculated </w:t>
      </w:r>
      <w:r w:rsidR="00D2324B">
        <w:rPr>
          <w:rFonts w:ascii="Calibri" w:eastAsia="Malgun Gothic" w:hAnsi="Calibri" w:cs="Calibri"/>
          <w:sz w:val="22"/>
          <w:szCs w:val="22"/>
        </w:rPr>
        <w:t xml:space="preserve">benefit-risk ratio </w:t>
      </w:r>
      <w:r w:rsidR="00CA7CDF">
        <w:rPr>
          <w:rFonts w:ascii="Calibri" w:eastAsia="Malgun Gothic" w:hAnsi="Calibri" w:cs="Calibri"/>
          <w:sz w:val="22"/>
          <w:szCs w:val="22"/>
        </w:rPr>
        <w:t>as the ratio of averted outcomes under vaccination</w:t>
      </w:r>
      <w:r w:rsidR="00EB0F31">
        <w:rPr>
          <w:rFonts w:ascii="Calibri" w:eastAsia="Malgun Gothic" w:hAnsi="Calibri" w:cs="Calibri"/>
          <w:sz w:val="22"/>
          <w:szCs w:val="22"/>
        </w:rPr>
        <w:t xml:space="preserve"> (benefit)</w:t>
      </w:r>
      <w:r w:rsidR="00CA7CDF">
        <w:rPr>
          <w:rFonts w:ascii="Calibri" w:eastAsia="Malgun Gothic" w:hAnsi="Calibri" w:cs="Calibri"/>
          <w:sz w:val="22"/>
          <w:szCs w:val="22"/>
        </w:rPr>
        <w:t xml:space="preserve"> to excess </w:t>
      </w:r>
      <w:r w:rsidR="00EB0F31">
        <w:rPr>
          <w:rFonts w:ascii="Calibri" w:eastAsia="Malgun Gothic" w:hAnsi="Calibri" w:cs="Calibri"/>
          <w:sz w:val="22"/>
          <w:szCs w:val="22"/>
        </w:rPr>
        <w:t>outcomes attributable to vaccination (risk) and compared benefit-risk ratios between traveller vaccination and outbreak response immunisation.</w:t>
      </w:r>
      <w:r w:rsidR="00217247" w:rsidRPr="00217247">
        <w:t xml:space="preserve"> </w:t>
      </w:r>
      <w:r w:rsidR="00217247" w:rsidRPr="00217247">
        <w:rPr>
          <w:rFonts w:ascii="Calibri" w:eastAsia="Malgun Gothic" w:hAnsi="Calibri" w:cs="Calibri"/>
          <w:sz w:val="22"/>
          <w:szCs w:val="22"/>
        </w:rPr>
        <w:t>SAEs included death and non-fatal severe adverse events, defined according to US FDA criteria as reactions that prevent daily activity or require medical intervention, including prolonged arthralgia/arthritis, myalgia, headache, back pain, rash, lymphadenopathy, and selected neurological or cardiac manifestations</w:t>
      </w:r>
      <w:r>
        <w:rPr>
          <w:rFonts w:ascii="Calibri" w:eastAsia="Malgun Gothic" w:hAnsi="Calibri" w:cs="Calibri" w:hint="eastAsia"/>
          <w:sz w:val="22"/>
          <w:szCs w:val="22"/>
        </w:rPr>
        <w:t xml:space="preserve"> </w:t>
      </w:r>
      <w:hyperlink r:id="rId26" w:history="1">
        <w:r>
          <w:rPr>
            <w:rFonts w:ascii="Calibri" w:hAnsi="Calibri" w:cs="Calibri"/>
            <w:sz w:val="22"/>
          </w:rPr>
          <w:t>[13]</w:t>
        </w:r>
      </w:hyperlink>
      <w:r w:rsidRPr="00EC14D5">
        <w:rPr>
          <w:rFonts w:ascii="Calibri" w:eastAsia="Malgun Gothic" w:hAnsi="Calibri" w:cs="Calibri"/>
          <w:sz w:val="22"/>
          <w:szCs w:val="22"/>
        </w:rPr>
        <w:t xml:space="preserve">. </w:t>
      </w:r>
      <w:r w:rsidR="00B7745C">
        <w:rPr>
          <w:rFonts w:ascii="Calibri" w:eastAsia="Malgun Gothic" w:hAnsi="Calibri" w:cs="Calibri"/>
          <w:sz w:val="22"/>
          <w:szCs w:val="22"/>
        </w:rPr>
        <w:t xml:space="preserve">Only SAEs and deaths that are confirmed directly attributable to Ixchiq vaccination or patients </w:t>
      </w:r>
      <w:r w:rsidR="00581BCE">
        <w:rPr>
          <w:rFonts w:ascii="Calibri" w:eastAsia="Malgun Gothic" w:hAnsi="Calibri" w:cs="Calibri"/>
          <w:sz w:val="22"/>
          <w:szCs w:val="22"/>
        </w:rPr>
        <w:t xml:space="preserve">positive for vaccine strain </w:t>
      </w:r>
      <w:r w:rsidR="00445290">
        <w:rPr>
          <w:rFonts w:ascii="Calibri" w:eastAsia="Malgun Gothic" w:hAnsi="Calibri" w:cs="Calibri"/>
          <w:sz w:val="22"/>
          <w:szCs w:val="22"/>
        </w:rPr>
        <w:t xml:space="preserve">after chikungunya testing were included in our </w:t>
      </w:r>
      <w:r w:rsidR="008E7F88">
        <w:rPr>
          <w:rFonts w:ascii="Calibri" w:eastAsia="Malgun Gothic" w:hAnsi="Calibri" w:cs="Calibri"/>
          <w:sz w:val="22"/>
          <w:szCs w:val="22"/>
        </w:rPr>
        <w:t>study</w:t>
      </w:r>
      <w:r w:rsidR="00445290">
        <w:rPr>
          <w:rFonts w:ascii="Calibri" w:eastAsia="Malgun Gothic" w:hAnsi="Calibri" w:cs="Calibri"/>
          <w:sz w:val="22"/>
          <w:szCs w:val="22"/>
        </w:rPr>
        <w:t xml:space="preserve">. </w:t>
      </w:r>
    </w:p>
    <w:p w14:paraId="7154CB33" w14:textId="77777777" w:rsidR="00D963D0" w:rsidRDefault="00D963D0" w:rsidP="00EB3C86">
      <w:pPr>
        <w:pStyle w:val="Heading4"/>
        <w:spacing w:line="360" w:lineRule="auto"/>
      </w:pPr>
      <w:r>
        <w:rPr>
          <w:rStyle w:val="IntenseEmphasis"/>
          <w:rFonts w:eastAsia="Malgun Gothic" w:hint="eastAsia"/>
        </w:rPr>
        <w:t xml:space="preserve">Data and model </w:t>
      </w:r>
      <w:r>
        <w:rPr>
          <w:rStyle w:val="IntenseEmphasis"/>
          <w:rFonts w:eastAsia="Malgun Gothic"/>
        </w:rPr>
        <w:t>parameters</w:t>
      </w:r>
    </w:p>
    <w:p w14:paraId="0B032FB2" w14:textId="08DC5BDC" w:rsidR="00217247" w:rsidRDefault="00980880" w:rsidP="00377C6C">
      <w:pPr>
        <w:spacing w:line="360" w:lineRule="auto"/>
        <w:rPr>
          <w:rFonts w:ascii="Segoe UI" w:eastAsia="Segoe UI" w:hAnsi="Segoe UI" w:cs="Segoe UI"/>
          <w:color w:val="000000" w:themeColor="text1"/>
          <w:sz w:val="21"/>
          <w:szCs w:val="21"/>
        </w:rPr>
      </w:pPr>
      <w:r>
        <w:rPr>
          <w:rFonts w:ascii="Calibri" w:eastAsia="Malgun Gothic" w:hAnsi="Calibri" w:cs="Calibri"/>
          <w:sz w:val="22"/>
          <w:szCs w:val="22"/>
        </w:rPr>
        <w:t xml:space="preserve">We used </w:t>
      </w:r>
      <w:r w:rsidR="00707260">
        <w:rPr>
          <w:rFonts w:ascii="Calibri" w:eastAsia="Malgun Gothic" w:hAnsi="Calibri" w:cs="Calibri"/>
          <w:sz w:val="22"/>
          <w:szCs w:val="22"/>
          <w:lang w:val="en-US"/>
        </w:rPr>
        <w:t xml:space="preserve">the </w:t>
      </w:r>
      <w:r>
        <w:rPr>
          <w:rFonts w:ascii="Calibri" w:eastAsia="Malgun Gothic" w:hAnsi="Calibri" w:cs="Calibri"/>
          <w:sz w:val="22"/>
          <w:szCs w:val="22"/>
        </w:rPr>
        <w:t xml:space="preserve">number of SAEs, deaths, and global vaccinated dose estimates reported </w:t>
      </w:r>
      <w:r w:rsidR="001F706B">
        <w:rPr>
          <w:rFonts w:ascii="Calibri" w:eastAsia="Malgun Gothic" w:hAnsi="Calibri" w:cs="Calibri"/>
          <w:sz w:val="22"/>
          <w:szCs w:val="22"/>
        </w:rPr>
        <w:t>in</w:t>
      </w:r>
      <w:r>
        <w:rPr>
          <w:rFonts w:ascii="Calibri" w:eastAsia="Malgun Gothic" w:hAnsi="Calibri" w:cs="Calibri"/>
          <w:sz w:val="22"/>
          <w:szCs w:val="22"/>
        </w:rPr>
        <w:t xml:space="preserve"> </w:t>
      </w:r>
      <w:r w:rsidR="69685F4B" w:rsidRPr="2ABB2145">
        <w:rPr>
          <w:rFonts w:ascii="Calibri" w:eastAsia="Malgun Gothic" w:hAnsi="Calibri" w:cs="Calibri"/>
          <w:sz w:val="22"/>
          <w:szCs w:val="22"/>
        </w:rPr>
        <w:t xml:space="preserve">the US FDA biologics licensing suspension memorandum </w:t>
      </w:r>
      <w:hyperlink r:id="rId27">
        <w:r w:rsidR="69685F4B" w:rsidRPr="2ABB2145">
          <w:rPr>
            <w:rFonts w:ascii="Calibri" w:hAnsi="Calibri" w:cs="Calibri"/>
            <w:sz w:val="22"/>
            <w:szCs w:val="22"/>
          </w:rPr>
          <w:t>[13]</w:t>
        </w:r>
      </w:hyperlink>
      <w:r w:rsidR="69685F4B" w:rsidRPr="2ABB2145">
        <w:rPr>
          <w:rFonts w:ascii="Calibri" w:eastAsia="Malgun Gothic" w:hAnsi="Calibri" w:cs="Calibri"/>
          <w:sz w:val="22"/>
          <w:szCs w:val="22"/>
        </w:rPr>
        <w:t xml:space="preserve">. </w:t>
      </w:r>
      <w:r w:rsidR="001F706B">
        <w:rPr>
          <w:rFonts w:ascii="Calibri" w:eastAsia="Malgun Gothic" w:hAnsi="Calibri" w:cs="Calibri"/>
          <w:sz w:val="22"/>
          <w:szCs w:val="22"/>
        </w:rPr>
        <w:t>Globally,</w:t>
      </w:r>
      <w:r w:rsidR="00A7140B">
        <w:rPr>
          <w:rFonts w:ascii="Calibri" w:eastAsia="Malgun Gothic" w:hAnsi="Calibri" w:cs="Calibri"/>
          <w:sz w:val="22"/>
          <w:szCs w:val="22"/>
        </w:rPr>
        <w:t xml:space="preserve"> 32,949 </w:t>
      </w:r>
      <w:r w:rsidR="001F706B">
        <w:rPr>
          <w:rFonts w:ascii="Calibri" w:eastAsia="Malgun Gothic" w:hAnsi="Calibri" w:cs="Calibri"/>
          <w:sz w:val="22"/>
          <w:szCs w:val="22"/>
        </w:rPr>
        <w:t xml:space="preserve">adults aged 18-64 years and 18,445 older adults aged </w:t>
      </w:r>
      <w:r w:rsidR="001F706B" w:rsidRPr="00ED6C0A">
        <w:rPr>
          <w:rFonts w:ascii="Calibri" w:eastAsia="Malgun Gothic" w:hAnsi="Calibri"/>
          <w:sz w:val="22"/>
          <w:szCs w:val="22"/>
          <w:lang w:val="en-US"/>
        </w:rPr>
        <w:t>≥</w:t>
      </w:r>
      <w:r w:rsidR="001F706B">
        <w:rPr>
          <w:rFonts w:ascii="Calibri" w:eastAsia="Malgun Gothic" w:hAnsi="Calibri"/>
          <w:sz w:val="22"/>
          <w:szCs w:val="22"/>
          <w:lang w:val="en-US"/>
        </w:rPr>
        <w:t xml:space="preserve">65 years were </w:t>
      </w:r>
      <w:r w:rsidR="00A7140B">
        <w:rPr>
          <w:rFonts w:ascii="Calibri" w:eastAsia="Malgun Gothic" w:hAnsi="Calibri" w:cs="Calibri"/>
          <w:sz w:val="22"/>
          <w:szCs w:val="22"/>
        </w:rPr>
        <w:t>vaccinated</w:t>
      </w:r>
      <w:r w:rsidR="00A7140B">
        <w:rPr>
          <w:rFonts w:ascii="Calibri" w:eastAsia="Malgun Gothic" w:hAnsi="Calibri"/>
          <w:sz w:val="22"/>
          <w:szCs w:val="22"/>
          <w:lang w:val="en-US"/>
        </w:rPr>
        <w:t xml:space="preserve">. Among </w:t>
      </w:r>
      <w:r w:rsidR="00BF62A7">
        <w:rPr>
          <w:rFonts w:ascii="Calibri" w:eastAsia="Malgun Gothic" w:hAnsi="Calibri"/>
          <w:sz w:val="22"/>
          <w:szCs w:val="22"/>
          <w:lang w:val="en-US"/>
        </w:rPr>
        <w:t xml:space="preserve">adults aged </w:t>
      </w:r>
      <w:r w:rsidR="00A7140B">
        <w:rPr>
          <w:rFonts w:ascii="Calibri" w:eastAsia="Malgun Gothic" w:hAnsi="Calibri"/>
          <w:sz w:val="22"/>
          <w:szCs w:val="22"/>
          <w:lang w:val="en-US"/>
        </w:rPr>
        <w:t xml:space="preserve">18-64 </w:t>
      </w:r>
      <w:r w:rsidR="00BF62A7">
        <w:rPr>
          <w:rFonts w:ascii="Calibri" w:eastAsia="Malgun Gothic" w:hAnsi="Calibri"/>
          <w:sz w:val="22"/>
          <w:szCs w:val="22"/>
          <w:lang w:val="en-US"/>
        </w:rPr>
        <w:t>years, six</w:t>
      </w:r>
      <w:r w:rsidR="00A7140B">
        <w:rPr>
          <w:rFonts w:ascii="Calibri" w:eastAsia="Malgun Gothic" w:hAnsi="Calibri"/>
          <w:sz w:val="22"/>
          <w:szCs w:val="22"/>
          <w:lang w:val="en-US"/>
        </w:rPr>
        <w:t xml:space="preserve"> SAEs </w:t>
      </w:r>
      <w:r w:rsidR="00BF62A7">
        <w:rPr>
          <w:rFonts w:ascii="Calibri" w:eastAsia="Malgun Gothic" w:hAnsi="Calibri"/>
          <w:sz w:val="22"/>
          <w:szCs w:val="22"/>
          <w:lang w:val="en-US"/>
        </w:rPr>
        <w:t xml:space="preserve">and no deaths were reported, and among older adults </w:t>
      </w:r>
      <w:r w:rsidR="00BF62A7">
        <w:rPr>
          <w:rFonts w:ascii="Calibri" w:eastAsia="Malgun Gothic" w:hAnsi="Calibri" w:cs="Calibri"/>
          <w:sz w:val="22"/>
          <w:szCs w:val="22"/>
        </w:rPr>
        <w:t xml:space="preserve">aged </w:t>
      </w:r>
      <w:r w:rsidR="00BF62A7" w:rsidRPr="00ED6C0A">
        <w:rPr>
          <w:rFonts w:ascii="Calibri" w:eastAsia="Malgun Gothic" w:hAnsi="Calibri"/>
          <w:sz w:val="22"/>
          <w:szCs w:val="22"/>
          <w:lang w:val="en-US"/>
        </w:rPr>
        <w:t>≥</w:t>
      </w:r>
      <w:r w:rsidR="00BF62A7">
        <w:rPr>
          <w:rFonts w:ascii="Calibri" w:eastAsia="Malgun Gothic" w:hAnsi="Calibri"/>
          <w:sz w:val="22"/>
          <w:szCs w:val="22"/>
          <w:lang w:val="en-US"/>
        </w:rPr>
        <w:t>65 years,</w:t>
      </w:r>
      <w:r w:rsidR="003375D8">
        <w:rPr>
          <w:rFonts w:ascii="Calibri" w:eastAsia="Malgun Gothic" w:hAnsi="Calibri"/>
          <w:sz w:val="22"/>
          <w:szCs w:val="22"/>
          <w:lang w:val="en-US"/>
        </w:rPr>
        <w:t xml:space="preserve"> </w:t>
      </w:r>
      <w:r w:rsidR="003043AF">
        <w:rPr>
          <w:rFonts w:ascii="Calibri" w:eastAsia="Malgun Gothic" w:hAnsi="Calibri"/>
          <w:sz w:val="22"/>
          <w:szCs w:val="22"/>
          <w:lang w:val="en-US"/>
        </w:rPr>
        <w:t xml:space="preserve">19 SAEs and </w:t>
      </w:r>
      <w:r w:rsidR="000F4C58">
        <w:rPr>
          <w:rFonts w:ascii="Calibri" w:eastAsia="Malgun Gothic" w:hAnsi="Calibri"/>
          <w:sz w:val="22"/>
          <w:szCs w:val="22"/>
          <w:lang w:val="en-US"/>
        </w:rPr>
        <w:t>one death were reported.</w:t>
      </w:r>
      <w:r w:rsidR="00BF62A7">
        <w:rPr>
          <w:rFonts w:ascii="Calibri" w:eastAsia="Malgun Gothic" w:hAnsi="Calibri"/>
          <w:sz w:val="22"/>
          <w:szCs w:val="22"/>
          <w:lang w:val="en-US"/>
        </w:rPr>
        <w:t xml:space="preserve"> </w:t>
      </w:r>
      <w:r w:rsidR="000F4C58">
        <w:rPr>
          <w:rFonts w:ascii="Calibri" w:eastAsia="Malgun Gothic" w:hAnsi="Calibri"/>
          <w:sz w:val="22"/>
          <w:szCs w:val="22"/>
          <w:lang w:val="en-US"/>
        </w:rPr>
        <w:t xml:space="preserve">Because </w:t>
      </w:r>
      <w:r w:rsidR="00A7140B">
        <w:rPr>
          <w:rFonts w:ascii="Calibri" w:eastAsia="Malgun Gothic" w:hAnsi="Calibri"/>
          <w:sz w:val="22"/>
          <w:szCs w:val="22"/>
          <w:lang w:val="en-US"/>
        </w:rPr>
        <w:t xml:space="preserve">no individuals </w:t>
      </w:r>
      <w:r w:rsidR="003B44B9">
        <w:rPr>
          <w:rFonts w:ascii="Calibri" w:eastAsia="Malgun Gothic" w:hAnsi="Calibri"/>
          <w:sz w:val="22"/>
          <w:szCs w:val="22"/>
          <w:lang w:val="en-US"/>
        </w:rPr>
        <w:t>under</w:t>
      </w:r>
      <w:r w:rsidR="00A7140B">
        <w:rPr>
          <w:rFonts w:ascii="Calibri" w:eastAsia="Malgun Gothic" w:hAnsi="Calibri"/>
          <w:sz w:val="22"/>
          <w:szCs w:val="22"/>
          <w:lang w:val="en-US"/>
        </w:rPr>
        <w:t xml:space="preserve"> 18 years were vaccinated, we assumed that</w:t>
      </w:r>
      <w:r w:rsidR="003B44B9">
        <w:rPr>
          <w:rFonts w:ascii="Calibri" w:eastAsia="Malgun Gothic" w:hAnsi="Calibri"/>
          <w:sz w:val="22"/>
          <w:szCs w:val="22"/>
          <w:lang w:val="en-US"/>
        </w:rPr>
        <w:t xml:space="preserve"> the</w:t>
      </w:r>
      <w:r w:rsidR="00A7140B">
        <w:rPr>
          <w:rFonts w:ascii="Calibri" w:eastAsia="Malgun Gothic" w:hAnsi="Calibri"/>
          <w:sz w:val="22"/>
          <w:szCs w:val="22"/>
          <w:lang w:val="en-US"/>
        </w:rPr>
        <w:t xml:space="preserve"> </w:t>
      </w:r>
      <w:r w:rsidR="003B44B9">
        <w:rPr>
          <w:rFonts w:ascii="Calibri" w:eastAsia="Malgun Gothic" w:hAnsi="Calibri"/>
          <w:sz w:val="22"/>
          <w:szCs w:val="22"/>
          <w:lang w:val="en-US"/>
        </w:rPr>
        <w:t>probabilities</w:t>
      </w:r>
      <w:r w:rsidR="009651B7">
        <w:rPr>
          <w:rFonts w:ascii="Calibri" w:eastAsia="Malgun Gothic" w:hAnsi="Calibri"/>
          <w:sz w:val="22"/>
          <w:szCs w:val="22"/>
          <w:lang w:val="en-US"/>
        </w:rPr>
        <w:t xml:space="preserve"> of SAE and death </w:t>
      </w:r>
      <w:r w:rsidR="003B44B9">
        <w:rPr>
          <w:rFonts w:ascii="Calibri" w:eastAsia="Malgun Gothic" w:hAnsi="Calibri"/>
          <w:sz w:val="22"/>
          <w:szCs w:val="22"/>
          <w:lang w:val="en-US"/>
        </w:rPr>
        <w:t>in individuals aged</w:t>
      </w:r>
      <w:r w:rsidR="00F125DD">
        <w:rPr>
          <w:rFonts w:ascii="Calibri" w:eastAsia="Malgun Gothic" w:hAnsi="Calibri"/>
          <w:sz w:val="22"/>
          <w:szCs w:val="22"/>
          <w:lang w:val="en-US"/>
        </w:rPr>
        <w:t xml:space="preserve"> under 18 years </w:t>
      </w:r>
      <w:r w:rsidR="003B44B9">
        <w:rPr>
          <w:rFonts w:ascii="Calibri" w:eastAsia="Malgun Gothic" w:hAnsi="Calibri"/>
          <w:sz w:val="22"/>
          <w:szCs w:val="22"/>
          <w:lang w:val="en-US"/>
        </w:rPr>
        <w:t>were</w:t>
      </w:r>
      <w:r w:rsidR="00F125DD">
        <w:rPr>
          <w:rFonts w:ascii="Calibri" w:eastAsia="Malgun Gothic" w:hAnsi="Calibri"/>
          <w:sz w:val="22"/>
          <w:szCs w:val="22"/>
          <w:lang w:val="en-US"/>
        </w:rPr>
        <w:t xml:space="preserve"> the same as those observed among </w:t>
      </w:r>
      <w:r w:rsidR="003B44B9">
        <w:rPr>
          <w:rFonts w:ascii="Calibri" w:eastAsia="Malgun Gothic" w:hAnsi="Calibri"/>
          <w:sz w:val="22"/>
          <w:szCs w:val="22"/>
          <w:lang w:val="en-US"/>
        </w:rPr>
        <w:t xml:space="preserve">adults aged </w:t>
      </w:r>
      <w:r w:rsidR="00F125DD">
        <w:rPr>
          <w:rFonts w:ascii="Calibri" w:eastAsia="Malgun Gothic" w:hAnsi="Calibri"/>
          <w:sz w:val="22"/>
          <w:szCs w:val="22"/>
          <w:lang w:val="en-US"/>
        </w:rPr>
        <w:t xml:space="preserve">18-64 years. </w:t>
      </w:r>
    </w:p>
    <w:p w14:paraId="0B507BD2" w14:textId="77777777" w:rsidR="00D963D0" w:rsidRDefault="00D963D0" w:rsidP="00EC3301">
      <w:pPr>
        <w:spacing w:line="360" w:lineRule="auto"/>
        <w:rPr>
          <w:rFonts w:ascii="Calibri" w:eastAsia="Malgun Gothic" w:hAnsi="Calibri" w:cs="Calibri"/>
          <w:sz w:val="22"/>
          <w:szCs w:val="22"/>
        </w:rPr>
      </w:pPr>
    </w:p>
    <w:p w14:paraId="1BBF758F" w14:textId="3557975F" w:rsidR="00D963D0" w:rsidRPr="00EB3C86" w:rsidRDefault="003F48C1" w:rsidP="00EB3C86">
      <w:pPr>
        <w:spacing w:line="360" w:lineRule="auto"/>
        <w:rPr>
          <w:rFonts w:ascii="Calibri" w:eastAsia="Malgun Gothic" w:hAnsi="Calibri" w:cs="Calibri"/>
        </w:rPr>
      </w:pPr>
      <w:r>
        <w:rPr>
          <w:rFonts w:ascii="Calibri" w:eastAsia="Malgun Gothic" w:hAnsi="Calibri" w:cs="Calibri"/>
          <w:sz w:val="22"/>
          <w:szCs w:val="22"/>
        </w:rPr>
        <w:t>We derived a</w:t>
      </w:r>
      <w:commentRangeStart w:id="14"/>
      <w:r w:rsidR="69685F4B" w:rsidRPr="69685F4B">
        <w:rPr>
          <w:rFonts w:ascii="Calibri" w:eastAsia="Malgun Gothic" w:hAnsi="Calibri" w:cs="Calibri"/>
          <w:sz w:val="22"/>
          <w:szCs w:val="22"/>
        </w:rPr>
        <w:t xml:space="preserve">ge-specific case-fatality </w:t>
      </w:r>
      <w:commentRangeEnd w:id="14"/>
      <w:r w:rsidR="00D963D0">
        <w:rPr>
          <w:rStyle w:val="CommentReference"/>
          <w:rFonts w:ascii="Calibri" w:eastAsia="Malgun Gothic" w:hAnsi="Calibri" w:cs="Calibri"/>
          <w:sz w:val="22"/>
          <w:szCs w:val="22"/>
        </w:rPr>
        <w:commentReference w:id="14"/>
      </w:r>
      <w:r>
        <w:rPr>
          <w:rFonts w:ascii="Calibri" w:eastAsia="Malgun Gothic" w:hAnsi="Calibri" w:cs="Calibri"/>
          <w:sz w:val="22"/>
          <w:szCs w:val="22"/>
        </w:rPr>
        <w:t xml:space="preserve">rates </w:t>
      </w:r>
      <w:r w:rsidR="69685F4B" w:rsidRPr="69685F4B">
        <w:rPr>
          <w:rFonts w:ascii="Calibri" w:eastAsia="Malgun Gothic" w:hAnsi="Calibri" w:cs="Calibri"/>
          <w:sz w:val="22"/>
          <w:szCs w:val="22"/>
        </w:rPr>
        <w:t xml:space="preserve">and hospitalisation rates among symptomatic chikungunya cases </w:t>
      </w:r>
      <w:r>
        <w:rPr>
          <w:rFonts w:ascii="Calibri" w:eastAsia="Malgun Gothic" w:hAnsi="Calibri" w:cs="Calibri"/>
          <w:sz w:val="22"/>
          <w:szCs w:val="22"/>
        </w:rPr>
        <w:t>from</w:t>
      </w:r>
      <w:r w:rsidR="69685F4B" w:rsidRPr="69685F4B">
        <w:rPr>
          <w:rFonts w:ascii="Calibri" w:eastAsia="Malgun Gothic" w:hAnsi="Calibri" w:cs="Calibri"/>
          <w:sz w:val="22"/>
          <w:szCs w:val="22"/>
        </w:rPr>
        <w:t xml:space="preserve"> the Brazilian national surveillance system (SINAN)</w:t>
      </w:r>
      <w:r>
        <w:rPr>
          <w:rFonts w:ascii="Calibri" w:eastAsia="Malgun Gothic" w:hAnsi="Calibri" w:cs="Calibri"/>
          <w:sz w:val="22"/>
          <w:szCs w:val="22"/>
        </w:rPr>
        <w:t xml:space="preserve"> </w:t>
      </w:r>
      <w:hyperlink r:id="rId28">
        <w:r w:rsidR="69685F4B" w:rsidRPr="69685F4B">
          <w:rPr>
            <w:rFonts w:ascii="Calibri" w:hAnsi="Calibri" w:cs="Calibri"/>
            <w:sz w:val="22"/>
            <w:szCs w:val="22"/>
          </w:rPr>
          <w:t>[24]</w:t>
        </w:r>
      </w:hyperlink>
      <w:r w:rsidR="69685F4B" w:rsidRPr="69685F4B">
        <w:rPr>
          <w:rFonts w:ascii="Calibri" w:eastAsia="Malgun Gothic" w:hAnsi="Calibri" w:cs="Calibri"/>
          <w:sz w:val="22"/>
          <w:szCs w:val="22"/>
        </w:rPr>
        <w:t>.</w:t>
      </w:r>
      <w:r w:rsidR="001F58EA">
        <w:rPr>
          <w:rFonts w:ascii="Calibri" w:eastAsia="Malgun Gothic" w:hAnsi="Calibri" w:cs="Calibri"/>
          <w:sz w:val="22"/>
          <w:szCs w:val="22"/>
        </w:rPr>
        <w:t xml:space="preserve"> We assumed</w:t>
      </w:r>
      <w:r w:rsidR="69685F4B" w:rsidRPr="69685F4B">
        <w:rPr>
          <w:rFonts w:ascii="Calibri" w:eastAsia="Malgun Gothic" w:hAnsi="Calibri" w:cs="Calibri"/>
          <w:sz w:val="22"/>
          <w:szCs w:val="22"/>
        </w:rPr>
        <w:t xml:space="preserve"> Ixchiq vaccine efficacy</w:t>
      </w:r>
      <w:r w:rsidR="00620F9B">
        <w:rPr>
          <w:rFonts w:ascii="Calibri" w:eastAsia="Malgun Gothic" w:hAnsi="Calibri" w:cs="Calibri"/>
          <w:sz w:val="22"/>
          <w:szCs w:val="22"/>
        </w:rPr>
        <w:t xml:space="preserve"> as</w:t>
      </w:r>
      <w:r w:rsidR="69685F4B" w:rsidRPr="69685F4B">
        <w:rPr>
          <w:rFonts w:ascii="Calibri" w:eastAsia="Malgun Gothic" w:hAnsi="Calibri" w:cs="Calibri"/>
          <w:sz w:val="22"/>
          <w:szCs w:val="22"/>
        </w:rPr>
        <w:t xml:space="preserve"> 98.9% (95% CI 96.7-99.8) </w:t>
      </w:r>
      <w:r w:rsidR="00620F9B">
        <w:rPr>
          <w:rFonts w:ascii="Calibri" w:eastAsia="Malgun Gothic" w:hAnsi="Calibri" w:cs="Calibri"/>
          <w:sz w:val="22"/>
          <w:szCs w:val="22"/>
        </w:rPr>
        <w:t>based on</w:t>
      </w:r>
      <w:r w:rsidR="00620F9B" w:rsidRPr="69685F4B">
        <w:rPr>
          <w:rFonts w:ascii="Calibri" w:eastAsia="Malgun Gothic" w:hAnsi="Calibri" w:cs="Calibri"/>
          <w:sz w:val="22"/>
          <w:szCs w:val="22"/>
        </w:rPr>
        <w:t xml:space="preserve"> Phase 3 trial seroresponse data </w:t>
      </w:r>
      <w:hyperlink r:id="rId29">
        <w:r w:rsidR="69685F4B" w:rsidRPr="69685F4B">
          <w:rPr>
            <w:rFonts w:ascii="Calibri" w:hAnsi="Calibri" w:cs="Calibri"/>
            <w:sz w:val="22"/>
            <w:szCs w:val="22"/>
          </w:rPr>
          <w:t>[11]</w:t>
        </w:r>
      </w:hyperlink>
      <w:r w:rsidR="69685F4B" w:rsidRPr="69685F4B">
        <w:rPr>
          <w:rFonts w:ascii="Calibri" w:eastAsia="Malgun Gothic" w:hAnsi="Calibri" w:cs="Calibri"/>
          <w:sz w:val="22"/>
          <w:szCs w:val="22"/>
        </w:rPr>
        <w:t xml:space="preserve">. </w:t>
      </w:r>
      <w:r w:rsidR="00F202AE">
        <w:rPr>
          <w:rFonts w:ascii="Calibri" w:eastAsia="Malgun Gothic" w:hAnsi="Calibri" w:cs="Calibri"/>
          <w:sz w:val="22"/>
          <w:szCs w:val="22"/>
        </w:rPr>
        <w:t xml:space="preserve">Parameters </w:t>
      </w:r>
      <w:r w:rsidR="000457E8">
        <w:rPr>
          <w:rFonts w:ascii="Calibri" w:eastAsia="Malgun Gothic" w:hAnsi="Calibri" w:cs="Calibri"/>
          <w:sz w:val="22"/>
          <w:szCs w:val="22"/>
          <w:lang w:val="en-US"/>
        </w:rPr>
        <w:t xml:space="preserve">used </w:t>
      </w:r>
      <w:r w:rsidR="00F202AE">
        <w:rPr>
          <w:rFonts w:ascii="Calibri" w:eastAsia="Malgun Gothic" w:hAnsi="Calibri" w:cs="Calibri"/>
          <w:sz w:val="22"/>
          <w:szCs w:val="22"/>
        </w:rPr>
        <w:t xml:space="preserve">to estimate DALYs, including years </w:t>
      </w:r>
      <w:r w:rsidR="000457E8">
        <w:rPr>
          <w:rFonts w:ascii="Calibri" w:eastAsia="Malgun Gothic" w:hAnsi="Calibri" w:cs="Calibri"/>
          <w:sz w:val="22"/>
          <w:szCs w:val="22"/>
        </w:rPr>
        <w:t xml:space="preserve">of life </w:t>
      </w:r>
      <w:r w:rsidR="00F202AE">
        <w:rPr>
          <w:rFonts w:ascii="Calibri" w:eastAsia="Malgun Gothic" w:hAnsi="Calibri" w:cs="Calibri"/>
          <w:sz w:val="22"/>
          <w:szCs w:val="22"/>
        </w:rPr>
        <w:t xml:space="preserve">lost at the age of death, disability weights </w:t>
      </w:r>
      <w:r w:rsidR="004124FF">
        <w:rPr>
          <w:rFonts w:ascii="Calibri" w:eastAsia="Malgun Gothic" w:hAnsi="Calibri" w:cs="Calibri"/>
          <w:sz w:val="22"/>
          <w:szCs w:val="22"/>
        </w:rPr>
        <w:t xml:space="preserve">for chronic, severe, and mild </w:t>
      </w:r>
      <w:r w:rsidR="00EB530C">
        <w:rPr>
          <w:rFonts w:ascii="Calibri" w:eastAsia="Malgun Gothic" w:hAnsi="Calibri" w:cs="Calibri"/>
          <w:sz w:val="22"/>
          <w:szCs w:val="22"/>
        </w:rPr>
        <w:t xml:space="preserve">chikungunya, and </w:t>
      </w:r>
      <w:r w:rsidR="000457E8">
        <w:rPr>
          <w:rFonts w:ascii="Calibri" w:eastAsia="Malgun Gothic" w:hAnsi="Calibri" w:cs="Calibri"/>
          <w:sz w:val="22"/>
          <w:szCs w:val="22"/>
        </w:rPr>
        <w:t xml:space="preserve">the </w:t>
      </w:r>
      <w:r w:rsidR="00EB530C">
        <w:rPr>
          <w:rFonts w:ascii="Calibri" w:eastAsia="Malgun Gothic" w:hAnsi="Calibri" w:cs="Calibri"/>
          <w:sz w:val="22"/>
          <w:szCs w:val="22"/>
        </w:rPr>
        <w:t xml:space="preserve">duration of illness </w:t>
      </w:r>
      <w:r w:rsidR="000457E8">
        <w:rPr>
          <w:rFonts w:ascii="Calibri" w:eastAsia="Malgun Gothic" w:hAnsi="Calibri" w:cs="Calibri"/>
          <w:sz w:val="22"/>
          <w:szCs w:val="22"/>
        </w:rPr>
        <w:t>for</w:t>
      </w:r>
      <w:r w:rsidR="00EB530C">
        <w:rPr>
          <w:rFonts w:ascii="Calibri" w:eastAsia="Malgun Gothic" w:hAnsi="Calibri" w:cs="Calibri"/>
          <w:sz w:val="22"/>
          <w:szCs w:val="22"/>
        </w:rPr>
        <w:t xml:space="preserve"> each health state were </w:t>
      </w:r>
      <w:r w:rsidR="000457E8">
        <w:rPr>
          <w:rFonts w:ascii="Calibri" w:eastAsia="Malgun Gothic" w:hAnsi="Calibri" w:cs="Calibri"/>
          <w:sz w:val="22"/>
          <w:szCs w:val="22"/>
        </w:rPr>
        <w:t>obtained</w:t>
      </w:r>
      <w:r w:rsidR="00EB530C">
        <w:rPr>
          <w:rFonts w:ascii="Calibri" w:eastAsia="Malgun Gothic" w:hAnsi="Calibri" w:cs="Calibri"/>
          <w:sz w:val="22"/>
          <w:szCs w:val="22"/>
        </w:rPr>
        <w:t xml:space="preserve"> from the literature. </w:t>
      </w:r>
    </w:p>
    <w:p w14:paraId="1B0D9F81" w14:textId="77777777" w:rsidR="00D963D0" w:rsidRDefault="00D963D0" w:rsidP="00EB3C86">
      <w:pPr>
        <w:pStyle w:val="Heading4"/>
        <w:spacing w:line="360" w:lineRule="auto"/>
        <w:rPr>
          <w:rStyle w:val="IntenseEmphasis"/>
          <w:rFonts w:eastAsia="Malgun Gothic"/>
        </w:rPr>
      </w:pPr>
      <w:r>
        <w:rPr>
          <w:rStyle w:val="IntenseEmphasis"/>
          <w:rFonts w:eastAsia="Malgun Gothic"/>
        </w:rPr>
        <w:t>T</w:t>
      </w:r>
      <w:r>
        <w:rPr>
          <w:rStyle w:val="IntenseEmphasis"/>
          <w:rFonts w:eastAsia="Malgun Gothic" w:hint="eastAsia"/>
        </w:rPr>
        <w:t>ravel vaccination scenarios</w:t>
      </w:r>
    </w:p>
    <w:p w14:paraId="24D84256" w14:textId="77777777" w:rsidR="00EC3301" w:rsidRPr="00EB3C86" w:rsidRDefault="00EC3301" w:rsidP="00EC3301">
      <w:pPr>
        <w:spacing w:line="360" w:lineRule="auto"/>
        <w:rPr>
          <w:rFonts w:ascii="Calibri" w:eastAsia="Malgun Gothic" w:hAnsi="Calibri" w:cs="Calibri"/>
          <w:sz w:val="22"/>
          <w:szCs w:val="22"/>
        </w:rPr>
      </w:pPr>
      <w:r>
        <w:rPr>
          <w:rFonts w:ascii="Calibri" w:eastAsia="Malgun Gothic" w:hAnsi="Calibri" w:cs="Calibri"/>
          <w:sz w:val="22"/>
          <w:szCs w:val="22"/>
        </w:rPr>
        <w:t>W</w:t>
      </w:r>
      <w:r>
        <w:rPr>
          <w:rFonts w:ascii="Calibri" w:eastAsia="Malgun Gothic" w:hAnsi="Calibri" w:cs="Calibri" w:hint="eastAsia"/>
          <w:sz w:val="22"/>
          <w:szCs w:val="22"/>
        </w:rPr>
        <w:t>e calculated the risk of adverse events due to chikungunya infection among unvaccinated individuals per 10,000 individuals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and risk of adverse events due to chikungunya infection among per 10,000 vaccinated individuals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xml:space="preserve">). </w:t>
      </w:r>
    </w:p>
    <w:p w14:paraId="1775A759" w14:textId="77777777" w:rsidR="00EC3301" w:rsidRPr="00EB3C86" w:rsidRDefault="00EC3301" w:rsidP="00EC3301">
      <w:pPr>
        <w:spacing w:line="360" w:lineRule="auto"/>
        <w:rPr>
          <w:rFonts w:ascii="Calibri" w:eastAsia="Malgun Gothic" w:hAnsi="Calibri" w:cs="Calibri"/>
          <w:sz w:val="22"/>
          <w:szCs w:val="22"/>
        </w:rPr>
      </w:pPr>
    </w:p>
    <w:tbl>
      <w:tblPr>
        <w:tblStyle w:val="TableGrid"/>
        <w:tblW w:w="9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3"/>
        <w:gridCol w:w="2063"/>
      </w:tblGrid>
      <w:tr w:rsidR="00EC3301" w:rsidRPr="00EB3C86" w14:paraId="692CFD2B" w14:textId="77777777">
        <w:trPr>
          <w:trHeight w:val="573"/>
        </w:trPr>
        <w:tc>
          <w:tcPr>
            <w:tcW w:w="7673" w:type="dxa"/>
            <w:vAlign w:val="center"/>
          </w:tcPr>
          <w:p w14:paraId="17A1CD76" w14:textId="77777777" w:rsidR="00EC3301" w:rsidRPr="00EB3C86" w:rsidRDefault="00AA7B66">
            <w:pPr>
              <w:spacing w:line="360" w:lineRule="auto"/>
              <w:jc w:val="center"/>
              <w:rPr>
                <w:rFonts w:ascii="Calibri" w:eastAsia="Malgun Gothic" w:hAnsi="Calibri" w:cs="Calibri"/>
                <w:sz w:val="22"/>
                <w:szCs w:val="22"/>
              </w:rPr>
            </w:pPr>
            <m:oMathPara>
              <m:oMathParaPr>
                <m:jc m:val="center"/>
              </m:oMathParaP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=AR*P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m:t>
                </m:r>
                <m:r>
                  <w:rPr>
                    <w:rFonts w:ascii="Cambria Math" w:eastAsia="Malgun Gothic" w:hAnsi="Cambria Math" w:cs="Calibri"/>
                    <w:sz w:val="22"/>
                    <w:szCs w:val="22"/>
                  </w:rPr>
                  <m:t>)*</m:t>
                </m:r>
                <m:r>
                  <m:rPr>
                    <m:sty m:val="p"/>
                  </m:rPr>
                  <w:rPr>
                    <w:rFonts w:ascii="Cambria Math" w:eastAsia="Malgun Gothic" w:hAnsi="Cambria Math" w:cs="Calibri"/>
                    <w:sz w:val="22"/>
                    <w:szCs w:val="22"/>
                  </w:rPr>
                  <m:t>10,000</m:t>
                </m:r>
              </m:oMath>
            </m:oMathPara>
          </w:p>
          <w:p w14:paraId="3553F053" w14:textId="77777777" w:rsidR="00EC3301" w:rsidRPr="00EB3C86" w:rsidRDefault="00EC3301">
            <w:pPr>
              <w:spacing w:line="360" w:lineRule="auto"/>
              <w:jc w:val="center"/>
              <w:rPr>
                <w:rFonts w:ascii="Calibri" w:eastAsia="Malgun Gothic" w:hAnsi="Calibri" w:cs="Calibri"/>
                <w:sz w:val="22"/>
                <w:szCs w:val="22"/>
              </w:rPr>
            </w:pPr>
          </w:p>
        </w:tc>
        <w:tc>
          <w:tcPr>
            <w:tcW w:w="2063" w:type="dxa"/>
            <w:vAlign w:val="center"/>
          </w:tcPr>
          <w:p w14:paraId="70376C6D" w14:textId="77777777" w:rsidR="00EC3301" w:rsidRPr="00EB3C86" w:rsidRDefault="00EC3301">
            <w:pPr>
              <w:spacing w:line="360" w:lineRule="auto"/>
              <w:jc w:val="center"/>
              <w:rPr>
                <w:rFonts w:ascii="Calibri" w:eastAsia="Malgun Gothic" w:hAnsi="Calibri" w:cs="Calibri"/>
                <w:sz w:val="22"/>
                <w:szCs w:val="22"/>
              </w:rPr>
            </w:pPr>
            <m:oMath>
              <m:r>
                <w:rPr>
                  <w:rFonts w:ascii="Cambria Math" w:eastAsia="Malgun Gothic" w:hAnsi="Cambria Math" w:cs="Calibri"/>
                  <w:sz w:val="22"/>
                  <w:szCs w:val="22"/>
                </w:rPr>
                <m:t>(Eq. 1)</m:t>
              </m:r>
            </m:oMath>
            <w:commentRangeStart w:id="15"/>
            <w:commentRangeEnd w:id="15"/>
            <w:r w:rsidRPr="00EB3C86">
              <w:rPr>
                <w:rStyle w:val="CommentReference"/>
                <w:rFonts w:ascii="Calibri" w:eastAsia="Malgun Gothic" w:hAnsi="Calibri" w:cs="Calibri"/>
                <w:sz w:val="22"/>
                <w:szCs w:val="22"/>
              </w:rPr>
              <w:commentReference w:id="15"/>
            </w:r>
          </w:p>
          <w:p w14:paraId="19478E5B" w14:textId="77777777" w:rsidR="00EC3301" w:rsidRPr="00EB3C86" w:rsidRDefault="00EC3301">
            <w:pPr>
              <w:spacing w:line="360" w:lineRule="auto"/>
              <w:jc w:val="center"/>
              <w:rPr>
                <w:rFonts w:ascii="Calibri" w:eastAsia="Malgun Gothic" w:hAnsi="Calibri" w:cs="Calibri"/>
                <w:sz w:val="22"/>
                <w:szCs w:val="22"/>
              </w:rPr>
            </w:pPr>
          </w:p>
        </w:tc>
      </w:tr>
      <w:tr w:rsidR="00EC3301" w:rsidRPr="00EB3C86" w14:paraId="7E4A2D54" w14:textId="77777777">
        <w:trPr>
          <w:trHeight w:val="573"/>
        </w:trPr>
        <w:tc>
          <w:tcPr>
            <w:tcW w:w="7673" w:type="dxa"/>
            <w:vAlign w:val="center"/>
          </w:tcPr>
          <w:p w14:paraId="7DF938BA" w14:textId="77777777" w:rsidR="00EC3301" w:rsidRPr="00EB3C86" w:rsidRDefault="00AA7B66">
            <w:pPr>
              <w:spacing w:line="360" w:lineRule="auto"/>
              <w:jc w:val="center"/>
              <w:rPr>
                <w:rFonts w:ascii="Calibri" w:eastAsia="Malgun Gothic" w:hAnsi="Calibri" w:cs="Calibri"/>
                <w:sz w:val="22"/>
                <w:szCs w:val="22"/>
              </w:rPr>
            </w:pPr>
            <m:oMathPara>
              <m:oMathParaPr>
                <m:jc m:val="center"/>
              </m:oMathParaP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=AR*</m:t>
                </m:r>
                <m:d>
                  <m:dPr>
                    <m:ctrlPr>
                      <w:rPr>
                        <w:rFonts w:ascii="Cambria Math" w:eastAsia="Malgun Gothic" w:hAnsi="Cambria Math" w:cs="Calibri"/>
                        <w:i/>
                        <w:sz w:val="22"/>
                        <w:szCs w:val="22"/>
                      </w:rPr>
                    </m:ctrlPr>
                  </m:dPr>
                  <m:e>
                    <m:r>
                      <w:rPr>
                        <w:rFonts w:ascii="Cambria Math" w:eastAsia="Malgun Gothic" w:hAnsi="Cambria Math" w:cs="Calibri"/>
                        <w:sz w:val="22"/>
                        <w:szCs w:val="22"/>
                      </w:rPr>
                      <m:t>1-VE</m:t>
                    </m:r>
                  </m:e>
                </m:d>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inf⁡)*10,000</m:t>
                </m:r>
              </m:oMath>
            </m:oMathPara>
          </w:p>
          <w:p w14:paraId="5D023D2A" w14:textId="77777777" w:rsidR="00EC3301" w:rsidRPr="00EB3C86" w:rsidRDefault="00EC3301">
            <w:pPr>
              <w:spacing w:line="360" w:lineRule="auto"/>
              <w:jc w:val="center"/>
              <w:rPr>
                <w:rFonts w:ascii="Calibri" w:eastAsia="Malgun Gothic" w:hAnsi="Calibri" w:cs="Calibri"/>
                <w:sz w:val="22"/>
                <w:szCs w:val="22"/>
              </w:rPr>
            </w:pPr>
          </w:p>
        </w:tc>
        <w:tc>
          <w:tcPr>
            <w:tcW w:w="2063" w:type="dxa"/>
            <w:vAlign w:val="center"/>
          </w:tcPr>
          <w:p w14:paraId="39F16F5E" w14:textId="77777777" w:rsidR="00EC3301" w:rsidRPr="00EB3C86" w:rsidRDefault="00EC3301">
            <w:pPr>
              <w:spacing w:line="360" w:lineRule="auto"/>
              <w:jc w:val="center"/>
              <w:rPr>
                <w:rFonts w:ascii="Calibri" w:eastAsia="Malgun Gothic" w:hAnsi="Calibri" w:cs="Calibri"/>
                <w:sz w:val="22"/>
                <w:szCs w:val="22"/>
              </w:rPr>
            </w:pPr>
            <m:oMath>
              <m:r>
                <w:rPr>
                  <w:rFonts w:ascii="Cambria Math" w:eastAsia="Malgun Gothic" w:hAnsi="Cambria Math" w:cs="Calibri"/>
                  <w:sz w:val="22"/>
                  <w:szCs w:val="22"/>
                </w:rPr>
                <m:t>(Eq. 2)</m:t>
              </m:r>
            </m:oMath>
            <w:commentRangeStart w:id="16"/>
            <w:commentRangeStart w:id="17"/>
            <w:commentRangeEnd w:id="16"/>
            <w:r w:rsidRPr="00EB3C86">
              <w:rPr>
                <w:rStyle w:val="CommentReference"/>
                <w:rFonts w:ascii="Calibri" w:eastAsia="Malgun Gothic" w:hAnsi="Calibri" w:cs="Calibri"/>
                <w:sz w:val="22"/>
                <w:szCs w:val="22"/>
              </w:rPr>
              <w:commentReference w:id="16"/>
            </w:r>
            <w:commentRangeEnd w:id="17"/>
            <w:r w:rsidRPr="00EB3C86">
              <w:rPr>
                <w:rStyle w:val="CommentReference"/>
                <w:rFonts w:ascii="Calibri" w:eastAsia="Malgun Gothic" w:hAnsi="Calibri" w:cs="Calibri"/>
                <w:sz w:val="22"/>
                <w:szCs w:val="22"/>
              </w:rPr>
              <w:commentReference w:id="17"/>
            </w:r>
          </w:p>
        </w:tc>
      </w:tr>
      <w:tr w:rsidR="00EC3301" w:rsidRPr="00EB3C86" w14:paraId="24BEF25F" w14:textId="77777777">
        <w:trPr>
          <w:trHeight w:val="573"/>
        </w:trPr>
        <w:tc>
          <w:tcPr>
            <w:tcW w:w="7673" w:type="dxa"/>
            <w:vAlign w:val="center"/>
          </w:tcPr>
          <w:p w14:paraId="7EB9FAF4" w14:textId="77777777" w:rsidR="00EC3301" w:rsidRPr="00EB3C86" w:rsidRDefault="00AA7B66">
            <w:pPr>
              <w:spacing w:line="360" w:lineRule="auto"/>
              <w:jc w:val="center"/>
              <w:rPr>
                <w:rFonts w:ascii="Calibri" w:eastAsia="Malgun Gothic" w:hAnsi="Calibri" w:cs="Calibri"/>
                <w:sz w:val="22"/>
                <w:szCs w:val="22"/>
              </w:rPr>
            </w:pPr>
            <m:oMathPara>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r>
                  <w:rPr>
                    <w:rFonts w:ascii="Cambria Math" w:eastAsia="Malgun Gothic" w:hAnsi="Cambria Math" w:cs="Calibri"/>
                    <w:sz w:val="22"/>
                    <w:szCs w:val="22"/>
                  </w:rPr>
                  <m:t>=</m:t>
                </m:r>
                <m:r>
                  <m:rPr>
                    <m:sty m:val="p"/>
                  </m:rPr>
                  <w:rPr>
                    <w:rFonts w:ascii="Cambria Math" w:eastAsia="Malgun Gothic" w:hAnsi="Cambria Math" w:cs="Calibri"/>
                    <w:sz w:val="22"/>
                    <w:szCs w:val="22"/>
                  </w:rPr>
                  <m:t>P(AE|vacc)*10,000</m:t>
                </m:r>
              </m:oMath>
            </m:oMathPara>
          </w:p>
        </w:tc>
        <w:tc>
          <w:tcPr>
            <w:tcW w:w="2063" w:type="dxa"/>
            <w:vAlign w:val="center"/>
          </w:tcPr>
          <w:p w14:paraId="3FDD6431" w14:textId="77777777" w:rsidR="00EC3301" w:rsidRPr="00EB3C86" w:rsidRDefault="00EC3301">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3)</m:t>
                </m:r>
              </m:oMath>
            </m:oMathPara>
          </w:p>
          <w:p w14:paraId="2B5987E4" w14:textId="77777777" w:rsidR="00EC3301" w:rsidRPr="00EB3C86" w:rsidRDefault="00EC3301">
            <w:pPr>
              <w:spacing w:line="360" w:lineRule="auto"/>
              <w:jc w:val="center"/>
              <w:rPr>
                <w:rFonts w:ascii="Calibri" w:eastAsia="Malgun Gothic" w:hAnsi="Calibri" w:cs="Calibri"/>
                <w:sz w:val="22"/>
                <w:szCs w:val="22"/>
              </w:rPr>
            </w:pPr>
          </w:p>
        </w:tc>
      </w:tr>
      <w:tr w:rsidR="00EC3301" w:rsidRPr="00EB3C86" w14:paraId="3688A2A9" w14:textId="77777777">
        <w:trPr>
          <w:trHeight w:val="293"/>
        </w:trPr>
        <w:tc>
          <w:tcPr>
            <w:tcW w:w="7673" w:type="dxa"/>
            <w:vAlign w:val="center"/>
          </w:tcPr>
          <w:p w14:paraId="4C64F75C" w14:textId="77777777" w:rsidR="00EC3301" w:rsidRPr="00EB3C86" w:rsidRDefault="00AA7B66">
            <w:pPr>
              <w:spacing w:line="360" w:lineRule="auto"/>
              <w:jc w:val="center"/>
              <w:rPr>
                <w:rFonts w:ascii="Calibri" w:eastAsia="Malgun Gothic" w:hAnsi="Calibri" w:cs="Calibri"/>
                <w:sz w:val="22"/>
                <w:szCs w:val="22"/>
              </w:rPr>
            </w:pPr>
            <m:oMathPara>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total</m:t>
                    </m:r>
                  </m:sup>
                </m:sSubSup>
                <m:r>
                  <w:rPr>
                    <w:rFonts w:ascii="Cambria Math" w:eastAsia="Malgun Gothic" w:hAnsi="Cambria Math" w:cs="Calibri"/>
                    <w:sz w:val="22"/>
                    <w:szCs w:val="22"/>
                  </w:rPr>
                  <m:t>=</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 xml:space="preserve">+ </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oMath>
            </m:oMathPara>
          </w:p>
        </w:tc>
        <w:tc>
          <w:tcPr>
            <w:tcW w:w="2063" w:type="dxa"/>
            <w:vAlign w:val="center"/>
          </w:tcPr>
          <w:p w14:paraId="58725DE3" w14:textId="77777777" w:rsidR="00EC3301" w:rsidRPr="00EB3C86" w:rsidRDefault="00EC3301">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4)</m:t>
                </m:r>
              </m:oMath>
            </m:oMathPara>
          </w:p>
        </w:tc>
      </w:tr>
      <w:tr w:rsidR="00EC3301" w:rsidRPr="00EB3C86" w14:paraId="67011E7F" w14:textId="77777777">
        <w:trPr>
          <w:trHeight w:val="485"/>
        </w:trPr>
        <w:tc>
          <w:tcPr>
            <w:tcW w:w="7673" w:type="dxa"/>
            <w:vAlign w:val="center"/>
          </w:tcPr>
          <w:p w14:paraId="32D4F507" w14:textId="77777777" w:rsidR="00EC3301" w:rsidRPr="00EB3C86" w:rsidRDefault="00EC3301">
            <w:pPr>
              <w:spacing w:line="360" w:lineRule="auto"/>
              <w:jc w:val="center"/>
              <w:rPr>
                <w:rFonts w:ascii="Calibri" w:eastAsia="Malgun Gothic" w:hAnsi="Calibri" w:cs="Calibri"/>
                <w:sz w:val="22"/>
                <w:szCs w:val="22"/>
              </w:rPr>
            </w:pPr>
            <m:oMathPara>
              <m:oMathParaPr>
                <m:jc m:val="center"/>
              </m:oMathParaPr>
              <m:oMath>
                <m:r>
                  <w:rPr>
                    <w:rFonts w:ascii="Cambria Math" w:eastAsia="Malgun Gothic" w:hAnsi="Cambria Math" w:cs="Calibri"/>
                    <w:sz w:val="22"/>
                    <w:szCs w:val="22"/>
                  </w:rPr>
                  <m:t>BRR=</m:t>
                </m:r>
                <m:f>
                  <m:fPr>
                    <m:ctrlPr>
                      <w:rPr>
                        <w:rFonts w:ascii="Cambria Math" w:eastAsia="Malgun Gothic" w:hAnsi="Cambria Math" w:cs="Calibri"/>
                        <w:i/>
                        <w:sz w:val="22"/>
                        <w:szCs w:val="22"/>
                      </w:rPr>
                    </m:ctrlPr>
                  </m:fPr>
                  <m:num>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num>
                  <m:den>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den>
                </m:f>
              </m:oMath>
            </m:oMathPara>
          </w:p>
          <w:p w14:paraId="2EC8D9E5" w14:textId="77777777" w:rsidR="00EC3301" w:rsidRPr="00EB3C86" w:rsidRDefault="00EC3301">
            <w:pPr>
              <w:spacing w:line="360" w:lineRule="auto"/>
              <w:jc w:val="center"/>
              <w:rPr>
                <w:rFonts w:ascii="Calibri" w:eastAsia="Malgun Gothic" w:hAnsi="Calibri" w:cs="Calibri"/>
                <w:sz w:val="22"/>
                <w:szCs w:val="22"/>
              </w:rPr>
            </w:pPr>
          </w:p>
        </w:tc>
        <w:tc>
          <w:tcPr>
            <w:tcW w:w="2063" w:type="dxa"/>
            <w:vAlign w:val="center"/>
          </w:tcPr>
          <w:p w14:paraId="6A5C038D" w14:textId="77777777" w:rsidR="00EC3301" w:rsidRPr="00EB3C86" w:rsidRDefault="00EC3301">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5)</m:t>
                </m:r>
              </m:oMath>
            </m:oMathPara>
          </w:p>
        </w:tc>
      </w:tr>
      <w:tr w:rsidR="00EC3301" w:rsidRPr="00EB3C86" w14:paraId="75FB1792" w14:textId="77777777">
        <w:trPr>
          <w:trHeight w:val="603"/>
        </w:trPr>
        <w:tc>
          <w:tcPr>
            <w:tcW w:w="9736" w:type="dxa"/>
            <w:gridSpan w:val="2"/>
            <w:vAlign w:val="center"/>
          </w:tcPr>
          <w:p w14:paraId="30FBEC04" w14:textId="77777777" w:rsidR="00EC3301" w:rsidRPr="00EB3C86" w:rsidRDefault="00EC3301">
            <w:pPr>
              <w:spacing w:line="360" w:lineRule="auto"/>
              <w:rPr>
                <w:rFonts w:ascii="Calibri" w:eastAsia="Malgun Gothic" w:hAnsi="Calibri" w:cs="Calibri"/>
                <w:sz w:val="18"/>
                <w:szCs w:val="18"/>
              </w:rPr>
            </w:pPr>
            <w:r w:rsidRPr="00EB3C86">
              <w:rPr>
                <w:rFonts w:ascii="Calibri" w:eastAsia="Malgun Gothic" w:hAnsi="Calibri" w:cs="Calibri"/>
                <w:sz w:val="18"/>
                <w:szCs w:val="18"/>
              </w:rPr>
              <w:t xml:space="preserve">(AR: attack rate, AE: </w:t>
            </w:r>
            <w:r w:rsidRPr="00EB3C86">
              <w:rPr>
                <w:rFonts w:ascii="Calibri" w:eastAsia="Malgun Gothic" w:hAnsi="Calibri" w:cs="Calibri" w:hint="eastAsia"/>
                <w:sz w:val="18"/>
                <w:szCs w:val="18"/>
              </w:rPr>
              <w:t xml:space="preserve">all adverse events including death and </w:t>
            </w:r>
            <w:r>
              <w:rPr>
                <w:rFonts w:ascii="Calibri" w:eastAsia="Malgun Gothic" w:hAnsi="Calibri" w:cs="Calibri"/>
                <w:sz w:val="18"/>
                <w:szCs w:val="18"/>
              </w:rPr>
              <w:t>hospitalisation</w:t>
            </w:r>
            <w:r w:rsidRPr="00EB3C86">
              <w:rPr>
                <w:rFonts w:ascii="Calibri" w:eastAsia="Malgun Gothic" w:hAnsi="Calibri" w:cs="Calibri"/>
                <w:sz w:val="18"/>
                <w:szCs w:val="18"/>
              </w:rPr>
              <w:t xml:space="preserve">, </w:t>
            </w:r>
          </w:p>
          <w:p w14:paraId="4B9A3549" w14:textId="77777777" w:rsidR="00EC3301" w:rsidRPr="00EB3C86" w:rsidRDefault="00EC3301">
            <w:pPr>
              <w:spacing w:line="360" w:lineRule="auto"/>
              <w:rPr>
                <w:rFonts w:ascii="Calibri" w:eastAsia="Malgun Gothic" w:hAnsi="Calibri" w:cs="Calibri"/>
                <w:sz w:val="22"/>
                <w:szCs w:val="22"/>
              </w:rPr>
            </w:pPr>
            <w:r w:rsidRPr="00EB3C86">
              <w:rPr>
                <w:rFonts w:ascii="Calibri" w:eastAsia="Malgun Gothic" w:hAnsi="Calibri" w:cs="Calibri"/>
                <w:sz w:val="18"/>
                <w:szCs w:val="18"/>
              </w:rPr>
              <w:t>inf: infection, VE = vaccine efficacy, vacc: vaccination)</w:t>
            </w:r>
          </w:p>
        </w:tc>
      </w:tr>
    </w:tbl>
    <w:p w14:paraId="3CC42504" w14:textId="77777777" w:rsidR="00EC3301" w:rsidRDefault="00EC3301" w:rsidP="00EC3301">
      <w:pPr>
        <w:spacing w:line="360" w:lineRule="auto"/>
        <w:rPr>
          <w:rFonts w:ascii="Calibri" w:eastAsia="Malgun Gothic" w:hAnsi="Calibri" w:cs="Calibri"/>
          <w:sz w:val="22"/>
          <w:szCs w:val="22"/>
        </w:rPr>
      </w:pPr>
    </w:p>
    <w:p w14:paraId="4BCCD05C" w14:textId="77777777" w:rsidR="00EC3301" w:rsidRDefault="00EC3301" w:rsidP="00EC3301">
      <w:pPr>
        <w:spacing w:line="360" w:lineRule="auto"/>
        <w:rPr>
          <w:rFonts w:ascii="Calibri" w:eastAsia="Malgun Gothic" w:hAnsi="Calibri" w:cs="Calibri"/>
          <w:sz w:val="22"/>
          <w:szCs w:val="22"/>
        </w:rPr>
      </w:pPr>
      <w:r w:rsidRPr="00C41E10">
        <w:rPr>
          <w:rFonts w:ascii="Calibri" w:eastAsia="Malgun Gothic" w:hAnsi="Calibri" w:cs="Calibri"/>
          <w:sz w:val="22"/>
          <w:szCs w:val="22"/>
        </w:rPr>
        <w:t>We defined</w:t>
      </w:r>
      <w:r w:rsidRPr="00C41E10" w:rsidDel="00ED40A9">
        <w:rPr>
          <w:rFonts w:ascii="Calibri" w:eastAsia="Malgun Gothic" w:hAnsi="Calibri" w:cs="Calibri"/>
          <w:sz w:val="22"/>
          <w:szCs w:val="22"/>
        </w:rPr>
        <w:t xml:space="preserve"> </w:t>
      </w:r>
      <w:r w:rsidDel="00ED40A9">
        <w:rPr>
          <w:rFonts w:ascii="Calibri" w:eastAsia="Malgun Gothic" w:hAnsi="Calibri" w:cs="Calibri" w:hint="eastAsia"/>
          <w:sz w:val="22"/>
          <w:szCs w:val="22"/>
        </w:rPr>
        <w:t>t</w:t>
      </w:r>
      <w:r w:rsidRPr="009E4FBF" w:rsidDel="00ED40A9">
        <w:rPr>
          <w:rFonts w:ascii="Calibri" w:eastAsia="Malgun Gothic" w:hAnsi="Calibri" w:cs="Calibri"/>
          <w:sz w:val="22"/>
          <w:szCs w:val="22"/>
        </w:rPr>
        <w:t>he</w:t>
      </w:r>
      <w:r w:rsidRPr="009E4FBF">
        <w:rPr>
          <w:rFonts w:ascii="Calibri" w:eastAsia="Malgun Gothic" w:hAnsi="Calibri" w:cs="Calibri"/>
          <w:sz w:val="22"/>
          <w:szCs w:val="22"/>
        </w:rPr>
        <w:t xml:space="preserve"> risk among 10,000 vaccinated individuals</w:t>
      </w:r>
      <w:r>
        <w:rPr>
          <w:rFonts w:ascii="Calibri" w:eastAsia="Malgun Gothic" w:hAnsi="Calibri" w:cs="Calibri"/>
          <w:sz w:val="22"/>
          <w:szCs w:val="22"/>
        </w:rPr>
        <w:t xml:space="preserve"> </w:t>
      </w:r>
      <w:r>
        <w:rPr>
          <w:rFonts w:ascii="Calibri" w:eastAsia="Malgun Gothic" w:hAnsi="Calibri" w:cs="Calibri" w:hint="eastAsia"/>
          <w:sz w:val="22"/>
          <w:szCs w:val="22"/>
        </w:rPr>
        <w:t>(</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total</m:t>
            </m:r>
          </m:sup>
        </m:sSubSup>
      </m:oMath>
      <w:r>
        <w:rPr>
          <w:rFonts w:ascii="Calibri" w:eastAsia="Malgun Gothic" w:hAnsi="Calibri" w:cs="Calibri" w:hint="eastAsia"/>
          <w:sz w:val="22"/>
          <w:szCs w:val="22"/>
        </w:rPr>
        <w:t>)</w:t>
      </w:r>
      <w:r w:rsidRPr="009E4FBF">
        <w:rPr>
          <w:rFonts w:ascii="Calibri" w:eastAsia="Malgun Gothic" w:hAnsi="Calibri" w:cs="Calibri"/>
          <w:sz w:val="22"/>
          <w:szCs w:val="22"/>
        </w:rPr>
        <w:t xml:space="preserve"> as the sum of (i) vaccine-</w:t>
      </w:r>
      <w:r>
        <w:rPr>
          <w:rFonts w:ascii="Calibri" w:eastAsia="Malgun Gothic" w:hAnsi="Calibri" w:cs="Calibri" w:hint="eastAsia"/>
          <w:sz w:val="22"/>
          <w:szCs w:val="22"/>
        </w:rPr>
        <w:t>associated</w:t>
      </w:r>
      <w:r w:rsidRPr="009E4FBF">
        <w:rPr>
          <w:rFonts w:ascii="Calibri" w:eastAsia="Malgun Gothic" w:hAnsi="Calibri" w:cs="Calibri"/>
          <w:sz w:val="22"/>
          <w:szCs w:val="22"/>
        </w:rPr>
        <w:t xml:space="preserve"> adverse events </w:t>
      </w:r>
      <w:r>
        <w:rPr>
          <w:rFonts w:ascii="Calibri" w:eastAsia="Malgun Gothic" w:hAnsi="Calibri" w:cs="Calibri"/>
          <w:sz w:val="22"/>
          <w:szCs w:val="22"/>
        </w:rPr>
        <w:t>(</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oMath>
      <w:r>
        <w:rPr>
          <w:rFonts w:ascii="Calibri" w:eastAsia="Malgun Gothic" w:hAnsi="Calibri" w:cs="Calibri" w:hint="eastAsia"/>
          <w:sz w:val="22"/>
          <w:szCs w:val="22"/>
        </w:rPr>
        <w:t>)</w:t>
      </w:r>
      <w:r>
        <w:rPr>
          <w:rFonts w:ascii="Calibri" w:eastAsia="Malgun Gothic" w:hAnsi="Calibri" w:cs="Calibri"/>
          <w:sz w:val="22"/>
          <w:szCs w:val="22"/>
        </w:rPr>
        <w:t xml:space="preserve"> </w:t>
      </w:r>
      <w:r w:rsidRPr="009E4FBF">
        <w:rPr>
          <w:rFonts w:ascii="Calibri" w:eastAsia="Malgun Gothic" w:hAnsi="Calibri" w:cs="Calibri"/>
          <w:sz w:val="22"/>
          <w:szCs w:val="22"/>
        </w:rPr>
        <w:t>and (ii) adverse events due to infection in vaccine failures</w:t>
      </w:r>
      <w:r>
        <w:rPr>
          <w:rFonts w:ascii="Calibri" w:eastAsia="Malgun Gothic" w:hAnsi="Calibri" w:cs="Calibri" w:hint="eastAsia"/>
          <w:sz w:val="22"/>
          <w:szCs w:val="22"/>
        </w:rPr>
        <w:t xml:space="preserve">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xml:space="preserve">). </w:t>
      </w:r>
    </w:p>
    <w:p w14:paraId="0B624552" w14:textId="77777777" w:rsidR="00EC3301" w:rsidRDefault="00EC3301" w:rsidP="00EC3301">
      <w:pPr>
        <w:spacing w:line="360" w:lineRule="auto"/>
        <w:rPr>
          <w:rFonts w:ascii="Calibri" w:eastAsia="Malgun Gothic" w:hAnsi="Calibri" w:cs="Calibri"/>
          <w:sz w:val="22"/>
          <w:szCs w:val="22"/>
        </w:rPr>
      </w:pPr>
    </w:p>
    <w:p w14:paraId="540A23D8" w14:textId="77777777" w:rsidR="00EC3301" w:rsidRPr="00823D72" w:rsidRDefault="00EC3301" w:rsidP="00EC3301">
      <w:pPr>
        <w:spacing w:line="360" w:lineRule="auto"/>
        <w:rPr>
          <w:rFonts w:ascii="Calibri" w:eastAsia="Malgun Gothic" w:hAnsi="Calibri" w:cs="Calibri"/>
          <w:sz w:val="22"/>
          <w:szCs w:val="22"/>
        </w:rPr>
      </w:pPr>
      <w:r w:rsidRPr="00CD1F7C">
        <w:rPr>
          <w:rFonts w:ascii="Calibri" w:eastAsia="Malgun Gothic" w:hAnsi="Calibri" w:cs="Calibri"/>
          <w:sz w:val="22"/>
          <w:szCs w:val="22"/>
        </w:rPr>
        <w:t>We quantified the benefit</w:t>
      </w:r>
      <w:r>
        <w:rPr>
          <w:rFonts w:ascii="Calibri" w:eastAsia="Malgun Gothic" w:hAnsi="Calibri" w:cs="Calibri" w:hint="eastAsia"/>
          <w:sz w:val="22"/>
          <w:szCs w:val="22"/>
        </w:rPr>
        <w:t>-</w:t>
      </w:r>
      <w:r w:rsidRPr="00CD1F7C">
        <w:rPr>
          <w:rFonts w:ascii="Calibri" w:eastAsia="Malgun Gothic" w:hAnsi="Calibri" w:cs="Calibri"/>
          <w:sz w:val="22"/>
          <w:szCs w:val="22"/>
        </w:rPr>
        <w:t>risk ratio as the number of averted adverse events per unit of excess vaccine-a</w:t>
      </w:r>
      <w:r>
        <w:rPr>
          <w:rFonts w:ascii="Calibri" w:eastAsia="Malgun Gothic" w:hAnsi="Calibri" w:cs="Calibri" w:hint="eastAsia"/>
          <w:sz w:val="22"/>
          <w:szCs w:val="22"/>
        </w:rPr>
        <w:t>ssociated</w:t>
      </w:r>
      <w:r w:rsidRPr="00CD1F7C">
        <w:rPr>
          <w:rFonts w:ascii="Calibri" w:eastAsia="Malgun Gothic" w:hAnsi="Calibri" w:cs="Calibri"/>
          <w:sz w:val="22"/>
          <w:szCs w:val="22"/>
        </w:rPr>
        <w:t xml:space="preserve"> adverse events</w:t>
      </w:r>
      <w:r>
        <w:rPr>
          <w:rFonts w:ascii="Calibri" w:eastAsia="Malgun Gothic" w:hAnsi="Calibri" w:cs="Calibri" w:hint="eastAsia"/>
          <w:sz w:val="22"/>
          <w:szCs w:val="22"/>
        </w:rPr>
        <w:t xml:space="preserve">, where </w:t>
      </w:r>
      <m:oMath>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m:t>
        </m:r>
        <m:r>
          <w:rPr>
            <w:rFonts w:ascii="Cambria Math" w:eastAsia="Malgun Gothic" w:hAnsi="Cambria Math" w:cs="Calibri"/>
            <w:sz w:val="22"/>
            <w:szCs w:val="22"/>
          </w:rPr>
          <m:t>)</m:t>
        </m:r>
      </m:oMath>
      <w:r>
        <w:rPr>
          <w:rFonts w:ascii="Calibri" w:eastAsia="Malgun Gothic" w:hAnsi="Calibri" w:cs="Calibri" w:hint="eastAsia"/>
          <w:sz w:val="22"/>
          <w:szCs w:val="22"/>
        </w:rPr>
        <w:t xml:space="preserve"> is the probability of an adverse event given </w:t>
      </w:r>
      <w:r>
        <w:rPr>
          <w:rFonts w:ascii="Calibri" w:eastAsia="Malgun Gothic" w:hAnsi="Calibri" w:cs="Calibri"/>
          <w:sz w:val="22"/>
          <w:szCs w:val="22"/>
        </w:rPr>
        <w:t xml:space="preserve">an </w:t>
      </w:r>
      <w:r>
        <w:rPr>
          <w:rFonts w:ascii="Calibri" w:eastAsia="Malgun Gothic" w:hAnsi="Calibri" w:cs="Calibri" w:hint="eastAsia"/>
          <w:sz w:val="22"/>
          <w:szCs w:val="22"/>
        </w:rPr>
        <w:t xml:space="preserve">infection, and </w:t>
      </w:r>
      <m:oMath>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vacc</m:t>
        </m:r>
        <m:r>
          <w:rPr>
            <w:rFonts w:ascii="Cambria Math" w:eastAsia="Malgun Gothic" w:hAnsi="Cambria Math" w:cs="Calibri"/>
            <w:sz w:val="22"/>
            <w:szCs w:val="22"/>
          </w:rPr>
          <m:t>)</m:t>
        </m:r>
      </m:oMath>
      <w:r>
        <w:rPr>
          <w:rFonts w:ascii="Calibri" w:eastAsia="Malgun Gothic" w:hAnsi="Calibri" w:cs="Calibri" w:hint="eastAsia"/>
          <w:sz w:val="22"/>
          <w:szCs w:val="22"/>
        </w:rPr>
        <w:t xml:space="preserve"> is the probability of an adverse event following vaccination. </w:t>
      </w:r>
    </w:p>
    <w:p w14:paraId="7F31069D" w14:textId="77777777" w:rsidR="00EC3301" w:rsidRPr="00377C6C" w:rsidRDefault="00EC3301" w:rsidP="00377C6C">
      <w:pPr>
        <w:rPr>
          <w:rFonts w:eastAsia="Malgun Gothic"/>
        </w:rPr>
      </w:pPr>
    </w:p>
    <w:p w14:paraId="74ACE64F" w14:textId="7C56F971" w:rsidR="00D963D0" w:rsidRDefault="00D963D0" w:rsidP="00EB3C86">
      <w:pPr>
        <w:spacing w:line="360" w:lineRule="auto"/>
        <w:rPr>
          <w:rFonts w:ascii="Calibri" w:eastAsia="Malgun Gothic" w:hAnsi="Calibri" w:cs="Calibri"/>
          <w:sz w:val="22"/>
          <w:szCs w:val="22"/>
        </w:rPr>
      </w:pPr>
      <w:commentRangeStart w:id="18"/>
      <w:r w:rsidRPr="2ABB2145">
        <w:rPr>
          <w:rFonts w:ascii="Calibri" w:eastAsia="Malgun Gothic" w:hAnsi="Calibri" w:cs="Calibri"/>
          <w:sz w:val="22"/>
          <w:szCs w:val="22"/>
        </w:rPr>
        <w:t>we explored combinations</w:t>
      </w:r>
      <w:commentRangeEnd w:id="18"/>
      <w:r w:rsidRPr="2ABB2145">
        <w:rPr>
          <w:rStyle w:val="CommentReference"/>
          <w:rFonts w:ascii="Calibri" w:eastAsia="Malgun Gothic" w:hAnsi="Calibri" w:cs="Calibri"/>
          <w:sz w:val="22"/>
          <w:szCs w:val="22"/>
        </w:rPr>
        <w:commentReference w:id="18"/>
      </w:r>
      <w:r w:rsidR="69685F4B" w:rsidRPr="2ABB2145">
        <w:rPr>
          <w:rFonts w:ascii="Calibri" w:eastAsia="Malgun Gothic" w:hAnsi="Calibri" w:cs="Calibri"/>
          <w:sz w:val="22"/>
          <w:szCs w:val="22"/>
        </w:rPr>
        <w:t xml:space="preserve"> of outbreak </w:t>
      </w:r>
      <w:r w:rsidRPr="2ABB2145">
        <w:rPr>
          <w:rFonts w:ascii="Calibri" w:eastAsia="Malgun Gothic" w:hAnsi="Calibri" w:cs="Calibri"/>
          <w:sz w:val="22"/>
          <w:szCs w:val="22"/>
        </w:rPr>
        <w:t>size (total attack rate), traveller age, and travel duration to characterise how the benefit</w:t>
      </w:r>
      <w:r w:rsidR="00032741" w:rsidRPr="2ABB2145">
        <w:rPr>
          <w:rFonts w:ascii="Calibri" w:eastAsia="Malgun Gothic" w:hAnsi="Calibri" w:cs="Calibri"/>
          <w:sz w:val="22"/>
          <w:szCs w:val="22"/>
        </w:rPr>
        <w:t>-</w:t>
      </w:r>
      <w:r w:rsidRPr="2ABB2145">
        <w:rPr>
          <w:rFonts w:ascii="Calibri" w:eastAsia="Malgun Gothic" w:hAnsi="Calibri" w:cs="Calibri"/>
          <w:sz w:val="22"/>
          <w:szCs w:val="22"/>
        </w:rPr>
        <w:t>risk trade-off varies with outbreak exposure. We assumed a total outbreak duration of 9</w:t>
      </w:r>
      <w:r w:rsidR="69685F4B" w:rsidRPr="2ABB2145">
        <w:rPr>
          <w:rFonts w:ascii="Calibri" w:eastAsia="Malgun Gothic" w:hAnsi="Calibri" w:cs="Calibri"/>
          <w:sz w:val="22"/>
          <w:szCs w:val="22"/>
        </w:rPr>
        <w:t xml:space="preserve"> months </w:t>
      </w:r>
      <w:r w:rsidRPr="2ABB2145">
        <w:rPr>
          <w:rFonts w:ascii="Calibri" w:eastAsia="Malgun Gothic" w:hAnsi="Calibri" w:cs="Calibri"/>
          <w:sz w:val="22"/>
          <w:szCs w:val="22"/>
        </w:rPr>
        <w:t xml:space="preserve">(270 days) </w:t>
      </w:r>
      <w:r w:rsidR="69685F4B" w:rsidRPr="2ABB2145">
        <w:rPr>
          <w:rFonts w:ascii="Calibri" w:eastAsia="Malgun Gothic" w:hAnsi="Calibri" w:cs="Calibri"/>
          <w:sz w:val="22"/>
          <w:szCs w:val="22"/>
        </w:rPr>
        <w:t xml:space="preserve">and modelled </w:t>
      </w:r>
      <w:r w:rsidRPr="2ABB2145">
        <w:rPr>
          <w:rFonts w:ascii="Calibri" w:eastAsia="Malgun Gothic" w:hAnsi="Calibri" w:cs="Calibri"/>
          <w:sz w:val="22"/>
          <w:szCs w:val="22"/>
        </w:rPr>
        <w:t xml:space="preserve">the temporal distribution of infection risk assuming an epidemic curve that peaks at approximately </w:t>
      </w:r>
      <w:commentRangeStart w:id="19"/>
      <w:r w:rsidRPr="2ABB2145">
        <w:rPr>
          <w:rFonts w:ascii="Calibri" w:eastAsia="Malgun Gothic" w:hAnsi="Calibri" w:cs="Calibri"/>
          <w:sz w:val="22"/>
          <w:szCs w:val="22"/>
        </w:rPr>
        <w:t>week 18</w:t>
      </w:r>
      <w:commentRangeEnd w:id="19"/>
      <w:r w:rsidRPr="2ABB2145">
        <w:rPr>
          <w:rStyle w:val="CommentReference"/>
          <w:rFonts w:ascii="Calibri" w:eastAsia="Malgun Gothic" w:hAnsi="Calibri" w:cs="Calibri"/>
          <w:sz w:val="22"/>
          <w:szCs w:val="22"/>
        </w:rPr>
        <w:commentReference w:id="19"/>
      </w:r>
      <w:r w:rsidRPr="2ABB2145">
        <w:rPr>
          <w:rFonts w:ascii="Calibri" w:eastAsia="Malgun Gothic" w:hAnsi="Calibri" w:cs="Calibri"/>
          <w:sz w:val="22"/>
          <w:szCs w:val="22"/>
        </w:rPr>
        <w:t xml:space="preserve"> (midway through the outbreak) </w:t>
      </w:r>
      <w:commentRangeStart w:id="20"/>
      <w:r w:rsidRPr="2ABB2145">
        <w:rPr>
          <w:rFonts w:ascii="Calibri" w:eastAsia="Malgun Gothic" w:hAnsi="Calibri" w:cs="Calibri"/>
          <w:sz w:val="22"/>
          <w:szCs w:val="22"/>
        </w:rPr>
        <w:t>based on the reported outbreak data</w:t>
      </w:r>
      <w:commentRangeEnd w:id="20"/>
      <w:r w:rsidRPr="2ABB2145">
        <w:rPr>
          <w:rStyle w:val="CommentReference"/>
          <w:rFonts w:ascii="Calibri" w:eastAsia="Malgun Gothic" w:hAnsi="Calibri" w:cs="Calibri"/>
          <w:sz w:val="22"/>
          <w:szCs w:val="22"/>
        </w:rPr>
        <w:commentReference w:id="20"/>
      </w:r>
      <w:r w:rsidRPr="2ABB2145">
        <w:rPr>
          <w:rFonts w:ascii="Calibri" w:eastAsia="Malgun Gothic" w:hAnsi="Calibri" w:cs="Calibri"/>
          <w:sz w:val="22"/>
          <w:szCs w:val="22"/>
        </w:rPr>
        <w:t xml:space="preserve"> </w:t>
      </w:r>
      <w:hyperlink r:id="rId30">
        <w:r w:rsidR="69685F4B" w:rsidRPr="2ABB2145">
          <w:rPr>
            <w:rFonts w:ascii="Calibri" w:hAnsi="Calibri" w:cs="Calibri"/>
            <w:sz w:val="22"/>
            <w:szCs w:val="22"/>
          </w:rPr>
          <w:t>[25]</w:t>
        </w:r>
      </w:hyperlink>
      <w:r w:rsidRPr="2ABB2145">
        <w:rPr>
          <w:rFonts w:ascii="Calibri" w:eastAsia="Malgun Gothic" w:hAnsi="Calibri" w:cs="Calibri"/>
          <w:sz w:val="22"/>
          <w:szCs w:val="22"/>
        </w:rPr>
        <w:t xml:space="preserve">. For each assumed total outbreak attack rate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total</m:t>
            </m:r>
          </m:sub>
        </m:sSub>
      </m:oMath>
      <w:r w:rsidRPr="2ABB2145">
        <w:rPr>
          <w:rFonts w:ascii="Calibri" w:eastAsia="Malgun Gothic" w:hAnsi="Calibri" w:cs="Calibri"/>
          <w:sz w:val="22"/>
          <w:szCs w:val="22"/>
        </w:rPr>
        <w:t>, we estimated the cumulative force of infection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annual</m:t>
            </m:r>
          </m:sub>
        </m:sSub>
      </m:oMath>
      <w:r w:rsidRPr="2ABB2145">
        <w:rPr>
          <w:rFonts w:ascii="Calibri" w:eastAsia="Malgun Gothic" w:hAnsi="Calibri" w:cs="Calibri"/>
          <w:sz w:val="22"/>
          <w:szCs w:val="22"/>
        </w:rPr>
        <w:t xml:space="preserve">) using a catalytic model: </w:t>
      </w:r>
    </w:p>
    <w:p w14:paraId="280C6BB9" w14:textId="77777777" w:rsidR="00D963D0" w:rsidRDefault="00D963D0" w:rsidP="00EB3C86">
      <w:pPr>
        <w:spacing w:line="360" w:lineRule="auto"/>
        <w:rPr>
          <w:rFonts w:ascii="Calibri" w:eastAsia="Malgun Gothic" w:hAnsi="Calibri" w:cs="Calibri"/>
          <w:sz w:val="22"/>
          <w:szCs w:val="22"/>
        </w:rPr>
      </w:pPr>
    </w:p>
    <w:p w14:paraId="7F8D57F8" w14:textId="77777777" w:rsidR="00D963D0" w:rsidRPr="00162234" w:rsidRDefault="00AA7B66" w:rsidP="00EB3C86">
      <w:pPr>
        <w:spacing w:line="360" w:lineRule="auto"/>
        <w:rPr>
          <w:rFonts w:ascii="Calibri" w:eastAsia="Malgun Gothic" w:hAnsi="Calibri" w:cs="Calibri"/>
          <w:sz w:val="22"/>
          <w:szCs w:val="22"/>
        </w:rPr>
      </w:pPr>
      <m:oMathPara>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outbreak</m:t>
              </m:r>
            </m:sub>
          </m:sSub>
          <m:r>
            <w:rPr>
              <w:rFonts w:ascii="Cambria Math" w:eastAsia="Malgun Gothic" w:hAnsi="Cambria Math" w:cs="Calibri"/>
              <w:sz w:val="22"/>
              <w:szCs w:val="22"/>
            </w:rPr>
            <m:t>=-</m:t>
          </m:r>
          <m:r>
            <m:rPr>
              <m:sty m:val="p"/>
            </m:rPr>
            <w:rPr>
              <w:rFonts w:ascii="Cambria Math" w:eastAsia="Malgun Gothic" w:hAnsi="Cambria Math" w:cs="Calibri"/>
              <w:sz w:val="22"/>
              <w:szCs w:val="22"/>
            </w:rPr>
            <m:t>log⁡</m:t>
          </m:r>
          <m:r>
            <w:rPr>
              <w:rFonts w:ascii="Cambria Math" w:eastAsia="Malgun Gothic" w:hAnsi="Cambria Math" w:cs="Calibri"/>
              <w:sz w:val="22"/>
              <w:szCs w:val="22"/>
            </w:rPr>
            <m:t>(1-A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total</m:t>
              </m:r>
            </m:sub>
          </m:sSub>
          <m:r>
            <w:rPr>
              <w:rFonts w:ascii="Cambria Math" w:eastAsia="Malgun Gothic" w:hAnsi="Cambria Math" w:cs="Calibri"/>
              <w:sz w:val="22"/>
              <w:szCs w:val="22"/>
            </w:rPr>
            <m:t>)</m:t>
          </m:r>
        </m:oMath>
      </m:oMathPara>
    </w:p>
    <w:p w14:paraId="6C74B509" w14:textId="77777777" w:rsidR="00D963D0" w:rsidRPr="00162234" w:rsidRDefault="00D963D0" w:rsidP="00EB3C86">
      <w:pPr>
        <w:spacing w:line="360" w:lineRule="auto"/>
        <w:rPr>
          <w:rFonts w:ascii="Calibri" w:eastAsia="Malgun Gothic" w:hAnsi="Calibri" w:cs="Calibri"/>
          <w:sz w:val="22"/>
          <w:szCs w:val="22"/>
        </w:rPr>
      </w:pPr>
    </w:p>
    <w:p w14:paraId="5452027E" w14:textId="77777777" w:rsidR="00D963D0" w:rsidRDefault="00D963D0" w:rsidP="00EB3C86">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To account for variation in infection risk over time within an outbreak, we distributed this cumulative annual FOI across days assuming a normalised </w:t>
      </w:r>
      <w:r>
        <w:rPr>
          <w:rFonts w:ascii="Calibri" w:eastAsia="Malgun Gothic" w:hAnsi="Calibri" w:cs="Calibri"/>
          <w:sz w:val="22"/>
          <w:szCs w:val="22"/>
        </w:rPr>
        <w:t>sinusoidal</w:t>
      </w:r>
      <w:r>
        <w:rPr>
          <w:rFonts w:ascii="Calibri" w:eastAsia="Malgun Gothic" w:hAnsi="Calibri" w:cs="Calibri" w:hint="eastAsia"/>
          <w:sz w:val="22"/>
          <w:szCs w:val="22"/>
        </w:rPr>
        <w:t xml:space="preserve"> weighting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w</m:t>
            </m:r>
          </m:e>
          <m:sub>
            <m:r>
              <w:rPr>
                <w:rFonts w:ascii="Cambria Math" w:eastAsia="Malgun Gothic" w:hAnsi="Cambria Math" w:cs="Calibri"/>
                <w:sz w:val="22"/>
                <w:szCs w:val="22"/>
              </w:rPr>
              <m:t>t</m:t>
            </m:r>
          </m:sub>
        </m:sSub>
        <m:r>
          <w:rPr>
            <w:rFonts w:ascii="Cambria Math" w:eastAsia="Malgun Gothic" w:hAnsi="Cambria Math" w:cs="Calibri"/>
            <w:sz w:val="22"/>
            <w:szCs w:val="22"/>
          </w:rPr>
          <m:t>)</m:t>
        </m:r>
      </m:oMath>
      <w:r w:rsidRPr="00BC27FF">
        <w:rPr>
          <w:rFonts w:ascii="Calibri" w:eastAsia="Malgun Gothic" w:hAnsi="Calibri" w:cs="Calibri" w:hint="eastAsia"/>
          <w:sz w:val="22"/>
          <w:szCs w:val="22"/>
        </w:rPr>
        <w:t xml:space="preserve"> </w:t>
      </w:r>
      <w:r>
        <w:rPr>
          <w:rFonts w:ascii="Calibri" w:eastAsia="Malgun Gothic" w:hAnsi="Calibri" w:cs="Calibri"/>
          <w:sz w:val="22"/>
          <w:szCs w:val="22"/>
        </w:rPr>
        <w:t>with a</w:t>
      </w:r>
      <w:r>
        <w:rPr>
          <w:rFonts w:ascii="Calibri" w:eastAsia="Malgun Gothic" w:hAnsi="Calibri" w:cs="Calibri" w:hint="eastAsia"/>
          <w:sz w:val="22"/>
          <w:szCs w:val="22"/>
        </w:rPr>
        <w:t xml:space="preserve"> single peak in the midway of the outbreak</w:t>
      </w:r>
      <w:r>
        <w:rPr>
          <w:rFonts w:ascii="Calibri" w:eastAsia="Malgun Gothic" w:hAnsi="Calibri" w:cs="Calibri"/>
          <w:sz w:val="22"/>
          <w:szCs w:val="22"/>
        </w:rPr>
        <w:t xml:space="preserve">. </w:t>
      </w:r>
      <w:r>
        <w:rPr>
          <w:rFonts w:ascii="Calibri" w:eastAsia="Malgun Gothic" w:hAnsi="Calibri" w:cs="Calibri" w:hint="eastAsia"/>
          <w:sz w:val="22"/>
          <w:szCs w:val="22"/>
        </w:rPr>
        <w:t xml:space="preserve">The daily FOI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oMath>
      <w:r>
        <w:rPr>
          <w:rFonts w:ascii="Calibri" w:eastAsia="Malgun Gothic" w:hAnsi="Calibri" w:cs="Calibri" w:hint="eastAsia"/>
          <w:sz w:val="22"/>
          <w:szCs w:val="22"/>
        </w:rPr>
        <w:t xml:space="preserve">on day </w:t>
      </w:r>
      <m:oMath>
        <m:r>
          <w:rPr>
            <w:rFonts w:ascii="Cambria Math" w:eastAsia="Malgun Gothic" w:hAnsi="Cambria Math" w:cs="Calibri"/>
            <w:sz w:val="22"/>
            <w:szCs w:val="22"/>
          </w:rPr>
          <m:t>t</m:t>
        </m:r>
      </m:oMath>
      <w:r>
        <w:rPr>
          <w:rFonts w:ascii="Calibri" w:eastAsia="Malgun Gothic" w:hAnsi="Calibri" w:cs="Calibri" w:hint="eastAsia"/>
          <w:sz w:val="22"/>
          <w:szCs w:val="22"/>
        </w:rPr>
        <w:t xml:space="preserve"> is then defined as:</w:t>
      </w:r>
    </w:p>
    <w:p w14:paraId="69368F16" w14:textId="77777777" w:rsidR="00D963D0" w:rsidRPr="00E87B3C" w:rsidRDefault="00D963D0" w:rsidP="00EB3C86">
      <w:pPr>
        <w:spacing w:line="360" w:lineRule="auto"/>
        <w:rPr>
          <w:rFonts w:ascii="Calibri" w:eastAsia="Malgun Gothic" w:hAnsi="Calibri" w:cs="Calibri"/>
          <w:sz w:val="22"/>
          <w:szCs w:val="22"/>
        </w:rPr>
      </w:pPr>
      <w:r w:rsidRPr="00E87B3C">
        <w:rPr>
          <w:rFonts w:ascii="Cambria Math" w:hAnsi="Cambria Math"/>
        </w:rPr>
        <w:br/>
      </w:r>
      <m:oMathPara>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outbreak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6D1C2DBC" w14:textId="77777777" w:rsidR="00D963D0" w:rsidRDefault="00D963D0" w:rsidP="00EB3C86">
      <w:pPr>
        <w:spacing w:line="360" w:lineRule="auto"/>
        <w:rPr>
          <w:rFonts w:ascii="Calibri" w:eastAsia="Malgun Gothic" w:hAnsi="Calibri" w:cs="Calibri"/>
          <w:sz w:val="22"/>
          <w:szCs w:val="22"/>
        </w:rPr>
      </w:pPr>
    </w:p>
    <w:p w14:paraId="6D1370F7" w14:textId="77777777" w:rsidR="00D963D0" w:rsidRDefault="00D963D0" w:rsidP="00EB3C86">
      <w:pPr>
        <w:spacing w:line="360" w:lineRule="auto"/>
        <w:rPr>
          <w:rFonts w:ascii="Calibri" w:eastAsia="Malgun Gothic" w:hAnsi="Calibri" w:cs="Calibri"/>
          <w:sz w:val="22"/>
          <w:szCs w:val="22"/>
        </w:rPr>
      </w:pPr>
      <w:r w:rsidRPr="00622BB3">
        <w:rPr>
          <w:rFonts w:ascii="Calibri" w:eastAsia="Malgun Gothic" w:hAnsi="Calibri" w:cs="Calibri"/>
          <w:sz w:val="22"/>
          <w:szCs w:val="22"/>
        </w:rPr>
        <w:t>For each traveller</w:t>
      </w:r>
      <w:r>
        <w:rPr>
          <w:rFonts w:ascii="Calibri" w:eastAsia="Malgun Gothic" w:hAnsi="Calibri" w:cs="Calibri" w:hint="eastAsia"/>
          <w:sz w:val="22"/>
          <w:szCs w:val="22"/>
        </w:rPr>
        <w:t>,</w:t>
      </w:r>
      <w:r w:rsidRPr="00622BB3">
        <w:rPr>
          <w:rFonts w:ascii="Calibri" w:eastAsia="Malgun Gothic" w:hAnsi="Calibri" w:cs="Calibri"/>
          <w:sz w:val="22"/>
          <w:szCs w:val="22"/>
        </w:rPr>
        <w:t xml:space="preserve"> </w:t>
      </w:r>
      <w:commentRangeStart w:id="21"/>
      <w:commentRangeStart w:id="22"/>
      <w:r>
        <w:rPr>
          <w:rFonts w:ascii="Calibri" w:eastAsia="Malgun Gothic" w:hAnsi="Calibri" w:cs="Calibri" w:hint="eastAsia"/>
          <w:sz w:val="22"/>
          <w:szCs w:val="22"/>
        </w:rPr>
        <w:t xml:space="preserve">an entry day </w:t>
      </w:r>
      <m:oMath>
        <m:r>
          <w:rPr>
            <w:rFonts w:ascii="Cambria Math" w:eastAsia="Malgun Gothic" w:hAnsi="Cambria Math" w:cs="Calibri"/>
            <w:sz w:val="22"/>
            <w:szCs w:val="22"/>
          </w:rPr>
          <m:t>e</m:t>
        </m:r>
      </m:oMath>
      <w:r>
        <w:rPr>
          <w:rFonts w:ascii="Calibri" w:eastAsia="Malgun Gothic" w:hAnsi="Calibri" w:cs="Calibri" w:hint="eastAsia"/>
          <w:sz w:val="22"/>
          <w:szCs w:val="22"/>
        </w:rPr>
        <w:t xml:space="preserve"> was sampled uniformly at random from outbreak period from day</w:t>
      </w:r>
      <w:commentRangeEnd w:id="21"/>
      <w:r>
        <w:rPr>
          <w:rStyle w:val="CommentReference"/>
          <w:rFonts w:ascii="Calibri" w:eastAsia="Malgun Gothic" w:hAnsi="Calibri" w:cs="Calibri" w:hint="eastAsia"/>
          <w:sz w:val="22"/>
          <w:szCs w:val="22"/>
        </w:rPr>
        <w:commentReference w:id="21"/>
      </w:r>
      <w:commentRangeEnd w:id="22"/>
      <w:r>
        <w:rPr>
          <w:rStyle w:val="CommentReference"/>
          <w:rFonts w:ascii="Calibri" w:eastAsia="Malgun Gothic" w:hAnsi="Calibri" w:cs="Calibri" w:hint="eastAsia"/>
          <w:sz w:val="22"/>
          <w:szCs w:val="22"/>
        </w:rPr>
        <w:commentReference w:id="22"/>
      </w:r>
      <w:r>
        <w:rPr>
          <w:rFonts w:ascii="Calibri" w:eastAsia="Malgun Gothic" w:hAnsi="Calibri" w:cs="Calibri" w:hint="eastAsia"/>
          <w:sz w:val="22"/>
          <w:szCs w:val="22"/>
        </w:rPr>
        <w:t xml:space="preserve"> 1 to </w:t>
      </w:r>
      <m:oMath>
        <m:r>
          <w:rPr>
            <w:rFonts w:ascii="Cambria Math" w:eastAsia="Malgun Gothic" w:hAnsi="Cambria Math" w:cs="Calibri"/>
            <w:sz w:val="22"/>
            <w:szCs w:val="22"/>
          </w:rPr>
          <m:t>(L-D+1</m:t>
        </m:r>
      </m:oMath>
      <w:r>
        <w:rPr>
          <w:rFonts w:ascii="Calibri" w:eastAsia="Malgun Gothic" w:hAnsi="Calibri" w:cs="Calibri" w:hint="eastAsia"/>
          <w:sz w:val="22"/>
          <w:szCs w:val="22"/>
        </w:rPr>
        <w:t xml:space="preserve">). Given a travel duration of </w:t>
      </w:r>
      <m:oMath>
        <m:r>
          <w:rPr>
            <w:rFonts w:ascii="Cambria Math" w:eastAsia="Malgun Gothic" w:hAnsi="Cambria Math" w:cs="Calibri"/>
            <w:sz w:val="22"/>
            <w:szCs w:val="22"/>
          </w:rPr>
          <m:t>D</m:t>
        </m:r>
      </m:oMath>
      <w:r>
        <w:rPr>
          <w:rFonts w:ascii="Calibri" w:eastAsia="Malgun Gothic" w:hAnsi="Calibri" w:cs="Calibri" w:hint="eastAsia"/>
          <w:sz w:val="22"/>
          <w:szCs w:val="22"/>
        </w:rPr>
        <w:t xml:space="preserve"> days, the cumulative FOI experienced during travel was estimated as:</w:t>
      </w:r>
    </w:p>
    <w:p w14:paraId="1DE1B4AF" w14:textId="77777777" w:rsidR="00D963D0" w:rsidRDefault="00D963D0" w:rsidP="00EB3C86">
      <w:pPr>
        <w:spacing w:line="360" w:lineRule="auto"/>
        <w:rPr>
          <w:rFonts w:ascii="Calibri" w:eastAsia="Malgun Gothic" w:hAnsi="Calibri" w:cs="Calibri"/>
          <w:sz w:val="22"/>
          <w:szCs w:val="22"/>
        </w:rPr>
      </w:pPr>
    </w:p>
    <w:p w14:paraId="76DD6846" w14:textId="77777777" w:rsidR="00D963D0" w:rsidRPr="007412EE" w:rsidRDefault="00AA7B66" w:rsidP="00EB3C86">
      <w:pPr>
        <w:spacing w:line="360" w:lineRule="auto"/>
        <w:rPr>
          <w:rFonts w:ascii="Calibri" w:eastAsia="Malgun Gothic" w:hAnsi="Calibri" w:cs="Calibri"/>
          <w:i/>
          <w:sz w:val="22"/>
          <w:szCs w:val="22"/>
        </w:rPr>
      </w:pPr>
      <m:oMathPara>
        <m:oMath>
          <m:sSub>
            <m:sSubPr>
              <m:ctrlPr>
                <w:rPr>
                  <w:rFonts w:ascii="Cambria Math" w:hAnsi="Cambria Math"/>
                </w:rPr>
              </m:ctrlPr>
            </m:sSubPr>
            <m:e>
              <m:r>
                <w:rPr>
                  <w:rFonts w:ascii="Cambria Math" w:hAnsi="Cambria Math"/>
                </w:rPr>
                <m:t>λ</m:t>
              </m:r>
            </m:e>
            <m:sub>
              <m:r>
                <w:rPr>
                  <w:rFonts w:ascii="Cambria Math" w:hAnsi="Cambria Math"/>
                </w:rPr>
                <m:t>tr</m:t>
              </m:r>
              <m:r>
                <w:rPr>
                  <w:rFonts w:ascii="Cambria Math" w:eastAsia="Malgun Gothic" w:hAnsi="Cambria Math"/>
                </w:rPr>
                <m:t>avel</m:t>
              </m:r>
            </m:sub>
          </m:sSub>
          <m:r>
            <w:rPr>
              <w:rFonts w:ascii="Cambria Math" w:hAnsi="Cambria Math"/>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t=e</m:t>
              </m:r>
            </m:sub>
            <m:sup>
              <m:r>
                <w:rPr>
                  <w:rFonts w:ascii="Cambria Math" w:eastAsia="Malgun Gothic" w:hAnsi="Cambria Math" w:cs="Calibri"/>
                  <w:sz w:val="22"/>
                  <w:szCs w:val="22"/>
                </w:rPr>
                <m:t>e+D-1</m:t>
              </m:r>
            </m:sup>
            <m:e>
              <m:sSub>
                <m:sSubPr>
                  <m:ctrlPr>
                    <w:rPr>
                      <w:rFonts w:ascii="Cambria Math" w:hAnsi="Cambria Math"/>
                    </w:rPr>
                  </m:ctrlPr>
                </m:sSubPr>
                <m:e>
                  <m:r>
                    <w:rPr>
                      <w:rFonts w:ascii="Cambria Math" w:hAnsi="Cambria Math"/>
                    </w:rPr>
                    <m:t>λ</m:t>
                  </m:r>
                </m:e>
                <m:sub>
                  <m:r>
                    <w:rPr>
                      <w:rFonts w:ascii="Cambria Math" w:hAnsi="Cambria Math"/>
                    </w:rPr>
                    <m:t>t</m:t>
                  </m:r>
                </m:sub>
              </m:sSub>
            </m:e>
          </m:nary>
        </m:oMath>
      </m:oMathPara>
    </w:p>
    <w:p w14:paraId="26F6494E" w14:textId="77777777" w:rsidR="00D963D0" w:rsidRDefault="00D963D0" w:rsidP="00EB3C86">
      <w:pPr>
        <w:spacing w:line="360" w:lineRule="auto"/>
        <w:rPr>
          <w:rFonts w:ascii="Calibri" w:eastAsia="Malgun Gothic" w:hAnsi="Calibri" w:cs="Calibri"/>
          <w:sz w:val="22"/>
          <w:szCs w:val="22"/>
        </w:rPr>
      </w:pPr>
      <w:commentRangeStart w:id="23"/>
      <w:r w:rsidRPr="2ABB2145">
        <w:rPr>
          <w:rFonts w:ascii="Calibri" w:eastAsia="Malgun Gothic" w:hAnsi="Calibri" w:cs="Calibri"/>
          <w:sz w:val="22"/>
          <w:szCs w:val="22"/>
        </w:rPr>
        <w:t>The individual attack rate during travel was then estimated as:</w:t>
      </w:r>
      <w:commentRangeEnd w:id="23"/>
      <w:r>
        <w:rPr>
          <w:rStyle w:val="CommentReference"/>
          <w:rFonts w:ascii="Calibri" w:eastAsia="Malgun Gothic" w:hAnsi="Calibri" w:cs="Calibri"/>
          <w:sz w:val="22"/>
          <w:szCs w:val="22"/>
        </w:rPr>
        <w:commentReference w:id="23"/>
      </w:r>
    </w:p>
    <w:p w14:paraId="59A0737B" w14:textId="77777777" w:rsidR="00E071D4" w:rsidRDefault="00E071D4" w:rsidP="00EB3C86">
      <w:pPr>
        <w:spacing w:line="360" w:lineRule="auto"/>
        <w:rPr>
          <w:rFonts w:ascii="Calibri" w:eastAsia="Malgun Gothic" w:hAnsi="Calibri" w:cs="Calibri"/>
          <w:sz w:val="22"/>
          <w:szCs w:val="22"/>
        </w:rPr>
      </w:pPr>
    </w:p>
    <w:p w14:paraId="51670330" w14:textId="59BA42C5" w:rsidR="00D963D0" w:rsidRDefault="00E071D4" w:rsidP="00EB3C86">
      <w:pPr>
        <w:spacing w:line="360" w:lineRule="auto"/>
        <w:rPr>
          <w:rFonts w:ascii="Calibri" w:eastAsia="Malgun Gothic" w:hAnsi="Calibri" w:cs="Calibri"/>
          <w:sz w:val="22"/>
          <w:szCs w:val="22"/>
        </w:rPr>
      </w:pPr>
      <w:r w:rsidRPr="00E071D4">
        <w:rPr>
          <w:rFonts w:ascii="Calibri" w:eastAsia="Malgun Gothic" w:hAnsi="Calibri" w:cs="Calibri"/>
          <w:sz w:val="22"/>
          <w:szCs w:val="22"/>
        </w:rPr>
        <w:t>we assume travellers have the same risk of exposure to CHIKV infection as local residents</w:t>
      </w:r>
    </w:p>
    <w:p w14:paraId="77F217B5" w14:textId="77777777" w:rsidR="00D963D0" w:rsidRPr="00EC5829" w:rsidRDefault="00D963D0" w:rsidP="00EB3C86">
      <w:pPr>
        <w:spacing w:line="360" w:lineRule="auto"/>
        <w:rPr>
          <w:rFonts w:ascii="Calibri" w:eastAsia="Malgun Gothic" w:hAnsi="Calibri" w:cs="Calibri"/>
          <w:i/>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 xml:space="preserve">travel </m:t>
              </m:r>
            </m:sub>
          </m:sSub>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hAnsi="Cambria Math"/>
                </w:rPr>
              </m:ctrlPr>
            </m:sSubPr>
            <m:e>
              <m:r>
                <w:rPr>
                  <w:rFonts w:ascii="Cambria Math" w:hAnsi="Cambria Math"/>
                </w:rPr>
                <m:t>λ</m:t>
              </m:r>
            </m:e>
            <m:sub>
              <m:r>
                <w:rPr>
                  <w:rFonts w:ascii="Cambria Math" w:hAnsi="Cambria Math"/>
                </w:rPr>
                <m:t>tr</m:t>
              </m:r>
              <m:r>
                <w:rPr>
                  <w:rFonts w:ascii="Cambria Math" w:eastAsia="Malgun Gothic" w:hAnsi="Cambria Math"/>
                </w:rPr>
                <m:t>avel</m:t>
              </m:r>
            </m:sub>
          </m:sSub>
          <m:r>
            <w:rPr>
              <w:rFonts w:ascii="Cambria Math" w:eastAsia="Malgun Gothic" w:hAnsi="Cambria Math"/>
            </w:rPr>
            <m:t>)</m:t>
          </m:r>
        </m:oMath>
      </m:oMathPara>
    </w:p>
    <w:p w14:paraId="1D8481B4" w14:textId="77777777" w:rsidR="00D963D0" w:rsidRDefault="00D963D0" w:rsidP="00EB3C86">
      <w:pPr>
        <w:spacing w:line="360" w:lineRule="auto"/>
        <w:rPr>
          <w:rFonts w:ascii="Calibri" w:eastAsia="Malgun Gothic" w:hAnsi="Calibri" w:cs="Calibri"/>
          <w:sz w:val="22"/>
          <w:szCs w:val="22"/>
        </w:rPr>
      </w:pPr>
    </w:p>
    <w:p w14:paraId="7F708F1C" w14:textId="31B74A49" w:rsidR="00D963D0" w:rsidRPr="00622BB3" w:rsidRDefault="00D963D0" w:rsidP="00EB3C86">
      <w:pPr>
        <w:spacing w:line="360" w:lineRule="auto"/>
        <w:rPr>
          <w:rFonts w:ascii="Calibri" w:eastAsia="Malgun Gothic" w:hAnsi="Calibri" w:cs="Calibri"/>
          <w:sz w:val="22"/>
          <w:szCs w:val="22"/>
        </w:rPr>
      </w:pPr>
      <w:r w:rsidRPr="00622BB3">
        <w:rPr>
          <w:rFonts w:ascii="Calibri" w:eastAsia="Malgun Gothic" w:hAnsi="Calibri" w:cs="Calibri"/>
          <w:sz w:val="22"/>
          <w:szCs w:val="22"/>
        </w:rPr>
        <w:t xml:space="preserve">We examined </w:t>
      </w:r>
      <w:r>
        <w:rPr>
          <w:rFonts w:ascii="Calibri" w:eastAsia="Malgun Gothic" w:hAnsi="Calibri" w:cs="Calibri" w:hint="eastAsia"/>
          <w:sz w:val="22"/>
          <w:szCs w:val="22"/>
        </w:rPr>
        <w:t>total attack rate</w:t>
      </w:r>
      <w:r w:rsidRPr="00622BB3">
        <w:rPr>
          <w:rFonts w:ascii="Calibri" w:eastAsia="Malgun Gothic" w:hAnsi="Calibri" w:cs="Calibri"/>
          <w:sz w:val="22"/>
          <w:szCs w:val="22"/>
        </w:rPr>
        <w:t xml:space="preserve"> continuously from 1% to 80% (increments of 0.5%), two age groups (18</w:t>
      </w:r>
      <w:r w:rsidR="00032741">
        <w:rPr>
          <w:rFonts w:ascii="Calibri" w:eastAsia="Malgun Gothic" w:hAnsi="Calibri" w:cs="Calibri" w:hint="eastAsia"/>
          <w:sz w:val="22"/>
          <w:szCs w:val="22"/>
        </w:rPr>
        <w:t>-</w:t>
      </w:r>
      <w:r w:rsidRPr="00622BB3">
        <w:rPr>
          <w:rFonts w:ascii="Calibri" w:eastAsia="Malgun Gothic" w:hAnsi="Calibri" w:cs="Calibri"/>
          <w:sz w:val="22"/>
          <w:szCs w:val="22"/>
        </w:rPr>
        <w:t>64 years; ≥65 years), and travel durations of 7, 14, 30 and 90 days.</w:t>
      </w:r>
      <w:r>
        <w:rPr>
          <w:rFonts w:ascii="Calibri" w:eastAsia="Malgun Gothic" w:hAnsi="Calibri" w:cs="Calibri" w:hint="eastAsia"/>
          <w:sz w:val="22"/>
          <w:szCs w:val="22"/>
        </w:rPr>
        <w:t xml:space="preserve"> </w:t>
      </w:r>
    </w:p>
    <w:p w14:paraId="1C2F1245" w14:textId="77777777" w:rsidR="00D963D0" w:rsidRDefault="00D963D0" w:rsidP="00EB3C86">
      <w:pPr>
        <w:pStyle w:val="Heading4"/>
        <w:spacing w:line="360" w:lineRule="auto"/>
        <w:rPr>
          <w:rStyle w:val="IntenseEmphasis"/>
          <w:rFonts w:eastAsia="Malgun Gothic"/>
        </w:rPr>
      </w:pPr>
      <w:r>
        <w:rPr>
          <w:rStyle w:val="IntenseEmphasis"/>
          <w:rFonts w:eastAsia="Malgun Gothic" w:hint="eastAsia"/>
        </w:rPr>
        <w:t>Outbreak response immunisation strategies</w:t>
      </w:r>
    </w:p>
    <w:p w14:paraId="54DCA686" w14:textId="192A9915" w:rsidR="00D963D0" w:rsidRPr="00043C6C" w:rsidRDefault="00D963D0" w:rsidP="00EB3C86">
      <w:pPr>
        <w:spacing w:line="360" w:lineRule="auto"/>
        <w:rPr>
          <w:rFonts w:ascii="Calibri" w:eastAsia="Malgun Gothic" w:hAnsi="Calibri" w:cs="Calibri"/>
          <w:sz w:val="22"/>
          <w:szCs w:val="22"/>
        </w:rPr>
      </w:pPr>
      <w:r w:rsidRPr="0042504B">
        <w:rPr>
          <w:rFonts w:ascii="Calibri" w:eastAsia="Malgun Gothic" w:hAnsi="Calibri" w:cs="Calibri"/>
          <w:sz w:val="22"/>
          <w:szCs w:val="22"/>
        </w:rPr>
        <w:t>To evaluate age-targeted outbreak response strategies we used the health-impact outputs (deaths averted and hospitalisations averted) from our previous</w:t>
      </w:r>
      <w:r>
        <w:rPr>
          <w:rFonts w:ascii="Calibri" w:eastAsia="Malgun Gothic" w:hAnsi="Calibri" w:cs="Calibri"/>
          <w:sz w:val="22"/>
          <w:szCs w:val="22"/>
        </w:rPr>
        <w:t xml:space="preserve"> outbreak response immunisation</w:t>
      </w:r>
      <w:r w:rsidRPr="0042504B">
        <w:rPr>
          <w:rFonts w:ascii="Calibri" w:eastAsia="Malgun Gothic" w:hAnsi="Calibri" w:cs="Calibri"/>
          <w:sz w:val="22"/>
          <w:szCs w:val="22"/>
        </w:rPr>
        <w:t xml:space="preserve"> modelling study </w:t>
      </w:r>
      <w:r>
        <w:rPr>
          <w:rFonts w:ascii="Calibri" w:eastAsia="Malgun Gothic" w:hAnsi="Calibri" w:cs="Calibri"/>
          <w:sz w:val="22"/>
          <w:szCs w:val="22"/>
        </w:rPr>
        <w:t xml:space="preserve">in Brazil </w:t>
      </w:r>
      <w:r w:rsidRPr="0042504B">
        <w:rPr>
          <w:rFonts w:ascii="Calibri" w:eastAsia="Malgun Gothic" w:hAnsi="Calibri" w:cs="Calibri"/>
          <w:sz w:val="22"/>
          <w:szCs w:val="22"/>
        </w:rPr>
        <w:t xml:space="preserve">for the four </w:t>
      </w:r>
      <w:r>
        <w:rPr>
          <w:rFonts w:ascii="Calibri" w:eastAsia="Malgun Gothic" w:hAnsi="Calibri" w:cs="Calibri" w:hint="eastAsia"/>
          <w:sz w:val="22"/>
          <w:szCs w:val="22"/>
        </w:rPr>
        <w:t>targeted age groups</w:t>
      </w:r>
      <w:r w:rsidRPr="0042504B">
        <w:rPr>
          <w:rFonts w:ascii="Calibri" w:eastAsia="Malgun Gothic" w:hAnsi="Calibri" w:cs="Calibri"/>
          <w:sz w:val="22"/>
          <w:szCs w:val="22"/>
        </w:rPr>
        <w:t xml:space="preserve"> (1</w:t>
      </w:r>
      <w:r w:rsidR="00032741">
        <w:rPr>
          <w:rFonts w:ascii="Calibri" w:eastAsia="Malgun Gothic" w:hAnsi="Calibri" w:cs="Calibri" w:hint="eastAsia"/>
          <w:sz w:val="22"/>
          <w:szCs w:val="22"/>
        </w:rPr>
        <w:t>-</w:t>
      </w:r>
      <w:r w:rsidRPr="0042504B">
        <w:rPr>
          <w:rFonts w:ascii="Calibri" w:eastAsia="Malgun Gothic" w:hAnsi="Calibri" w:cs="Calibri"/>
          <w:sz w:val="22"/>
          <w:szCs w:val="22"/>
        </w:rPr>
        <w:t>11, 12</w:t>
      </w:r>
      <w:r w:rsidR="00032741">
        <w:rPr>
          <w:rFonts w:ascii="Calibri" w:eastAsia="Malgun Gothic" w:hAnsi="Calibri" w:cs="Calibri" w:hint="eastAsia"/>
          <w:sz w:val="22"/>
          <w:szCs w:val="22"/>
        </w:rPr>
        <w:t>-</w:t>
      </w:r>
      <w:r w:rsidRPr="0042504B">
        <w:rPr>
          <w:rFonts w:ascii="Calibri" w:eastAsia="Malgun Gothic" w:hAnsi="Calibri" w:cs="Calibri"/>
          <w:sz w:val="22"/>
          <w:szCs w:val="22"/>
        </w:rPr>
        <w:t>17, 18</w:t>
      </w:r>
      <w:r w:rsidR="00032741">
        <w:rPr>
          <w:rFonts w:ascii="Calibri" w:eastAsia="Malgun Gothic" w:hAnsi="Calibri" w:cs="Calibri" w:hint="eastAsia"/>
          <w:sz w:val="22"/>
          <w:szCs w:val="22"/>
        </w:rPr>
        <w:t>-</w:t>
      </w:r>
      <w:r w:rsidRPr="0042504B">
        <w:rPr>
          <w:rFonts w:ascii="Calibri" w:eastAsia="Malgun Gothic" w:hAnsi="Calibri" w:cs="Calibri"/>
          <w:sz w:val="22"/>
          <w:szCs w:val="22"/>
        </w:rPr>
        <w:t>59, ≥60 years) under two vaccine protection mechanisms: (i) vaccine protects against disease only and (ii) vaccine protects against both disease and infection.</w:t>
      </w:r>
      <w:r>
        <w:rPr>
          <w:rFonts w:ascii="Calibri" w:eastAsia="Malgun Gothic" w:hAnsi="Calibri" w:cs="Calibri" w:hint="eastAsia"/>
          <w:sz w:val="22"/>
          <w:szCs w:val="22"/>
        </w:rPr>
        <w:t xml:space="preserve"> Across all strategies, we assumed a vaccine coverage of 50% and </w:t>
      </w:r>
      <w:r>
        <w:rPr>
          <w:rFonts w:ascii="Calibri" w:eastAsia="Malgun Gothic" w:hAnsi="Calibri" w:cs="Calibri"/>
          <w:sz w:val="22"/>
          <w:szCs w:val="22"/>
        </w:rPr>
        <w:t>estimated</w:t>
      </w:r>
      <w:r>
        <w:rPr>
          <w:rFonts w:ascii="Calibri" w:eastAsia="Malgun Gothic" w:hAnsi="Calibri" w:cs="Calibri" w:hint="eastAsia"/>
          <w:sz w:val="22"/>
          <w:szCs w:val="22"/>
        </w:rPr>
        <w:t xml:space="preserve"> the vaccine risk following the equations (1)-(</w:t>
      </w:r>
      <w:r>
        <w:rPr>
          <w:rFonts w:ascii="Calibri" w:eastAsia="Malgun Gothic" w:hAnsi="Calibri" w:cs="Calibri"/>
          <w:sz w:val="22"/>
          <w:szCs w:val="22"/>
        </w:rPr>
        <w:t>5</w:t>
      </w:r>
      <w:r>
        <w:rPr>
          <w:rFonts w:ascii="Calibri" w:eastAsia="Malgun Gothic" w:hAnsi="Calibri" w:cs="Calibri" w:hint="eastAsia"/>
          <w:sz w:val="22"/>
          <w:szCs w:val="22"/>
        </w:rPr>
        <w:t xml:space="preserve">). </w:t>
      </w:r>
    </w:p>
    <w:p w14:paraId="2FED4B22" w14:textId="77777777" w:rsidR="00D963D0" w:rsidRDefault="00D963D0" w:rsidP="00EB3C86">
      <w:pPr>
        <w:spacing w:line="360" w:lineRule="auto"/>
        <w:rPr>
          <w:rFonts w:ascii="Calibri" w:eastAsia="Malgun Gothic" w:hAnsi="Calibri" w:cs="Calibri"/>
          <w:sz w:val="22"/>
          <w:szCs w:val="22"/>
        </w:rPr>
      </w:pPr>
    </w:p>
    <w:p w14:paraId="3D6812C5" w14:textId="77777777" w:rsidR="00D963D0" w:rsidRDefault="00D963D0" w:rsidP="00EB3C86">
      <w:pPr>
        <w:pStyle w:val="Heading4"/>
        <w:spacing w:line="360" w:lineRule="auto"/>
        <w:rPr>
          <w:rStyle w:val="IntenseEmphasis"/>
          <w:rFonts w:eastAsia="Malgun Gothic"/>
        </w:rPr>
      </w:pPr>
      <w:r>
        <w:rPr>
          <w:rStyle w:val="IntenseEmphasis"/>
          <w:rFonts w:eastAsia="Malgun Gothic" w:hint="eastAsia"/>
        </w:rPr>
        <w:t>Uncertainty and sensitivity analysis</w:t>
      </w:r>
    </w:p>
    <w:p w14:paraId="5CA4EAFA" w14:textId="3337C144" w:rsidR="00D963D0" w:rsidRDefault="00D963D0" w:rsidP="00EB3C86">
      <w:pPr>
        <w:spacing w:line="360" w:lineRule="auto"/>
        <w:rPr>
          <w:rFonts w:ascii="Calibri" w:eastAsia="Malgun Gothic" w:hAnsi="Calibri" w:cs="Calibri"/>
          <w:sz w:val="22"/>
          <w:szCs w:val="22"/>
        </w:rPr>
      </w:pPr>
      <w:r w:rsidRPr="007A47A1">
        <w:rPr>
          <w:rFonts w:ascii="Calibri" w:eastAsia="Malgun Gothic" w:hAnsi="Calibri" w:cs="Calibri"/>
          <w:sz w:val="22"/>
          <w:szCs w:val="22"/>
        </w:rPr>
        <w:t>We propagated parameter uncertainty using probabilistic sensitivity analysis implemented by Latin hypercube sampling (1,000 iterations). Uncertain parameters included vaccine efficacy, vaccine-</w:t>
      </w:r>
      <w:r>
        <w:rPr>
          <w:rFonts w:ascii="Calibri" w:eastAsia="Malgun Gothic" w:hAnsi="Calibri" w:cs="Calibri" w:hint="eastAsia"/>
          <w:sz w:val="22"/>
          <w:szCs w:val="22"/>
        </w:rPr>
        <w:t>associated</w:t>
      </w:r>
      <w:r w:rsidRPr="007A47A1">
        <w:rPr>
          <w:rFonts w:ascii="Calibri" w:eastAsia="Malgun Gothic" w:hAnsi="Calibri" w:cs="Calibri"/>
          <w:sz w:val="22"/>
          <w:szCs w:val="22"/>
        </w:rPr>
        <w:t xml:space="preserve"> </w:t>
      </w:r>
      <w:r>
        <w:rPr>
          <w:rFonts w:ascii="Calibri" w:eastAsia="Malgun Gothic" w:hAnsi="Calibri" w:cs="Calibri" w:hint="eastAsia"/>
          <w:sz w:val="22"/>
          <w:szCs w:val="22"/>
        </w:rPr>
        <w:t>adverse event</w:t>
      </w:r>
      <w:r w:rsidRPr="007A47A1">
        <w:rPr>
          <w:rFonts w:ascii="Calibri" w:eastAsia="Malgun Gothic" w:hAnsi="Calibri" w:cs="Calibri"/>
          <w:sz w:val="22"/>
          <w:szCs w:val="22"/>
        </w:rPr>
        <w:t xml:space="preserve"> probabilities, infection-specific </w:t>
      </w:r>
      <w:r>
        <w:rPr>
          <w:rFonts w:ascii="Calibri" w:eastAsia="Malgun Gothic" w:hAnsi="Calibri" w:cs="Calibri" w:hint="eastAsia"/>
          <w:sz w:val="22"/>
          <w:szCs w:val="22"/>
        </w:rPr>
        <w:t>adverse event</w:t>
      </w:r>
      <w:r w:rsidRPr="007A47A1">
        <w:rPr>
          <w:rFonts w:ascii="Calibri" w:eastAsia="Malgun Gothic" w:hAnsi="Calibri" w:cs="Calibri"/>
          <w:sz w:val="22"/>
          <w:szCs w:val="22"/>
        </w:rPr>
        <w:t xml:space="preserve"> probabilities, </w:t>
      </w:r>
      <w:r>
        <w:rPr>
          <w:rFonts w:ascii="Calibri" w:eastAsia="Malgun Gothic" w:hAnsi="Calibri" w:cs="Calibri"/>
          <w:sz w:val="22"/>
          <w:szCs w:val="22"/>
        </w:rPr>
        <w:t xml:space="preserve">disability weights, duration of illness, remaining life years, </w:t>
      </w:r>
      <w:r w:rsidRPr="007A47A1">
        <w:rPr>
          <w:rFonts w:ascii="Calibri" w:eastAsia="Malgun Gothic" w:hAnsi="Calibri" w:cs="Calibri"/>
          <w:sz w:val="22"/>
          <w:szCs w:val="22"/>
        </w:rPr>
        <w:t>outbreak duration, and travel duration.</w:t>
      </w:r>
      <w:r>
        <w:rPr>
          <w:rFonts w:ascii="Calibri" w:eastAsia="Malgun Gothic" w:hAnsi="Calibri" w:cs="Calibri" w:hint="eastAsia"/>
          <w:sz w:val="22"/>
          <w:szCs w:val="22"/>
        </w:rPr>
        <w:t xml:space="preserve"> </w:t>
      </w:r>
      <w:r w:rsidRPr="005106EE">
        <w:rPr>
          <w:rFonts w:ascii="Calibri" w:eastAsia="Malgun Gothic" w:hAnsi="Calibri" w:cs="Calibri"/>
          <w:sz w:val="22"/>
          <w:szCs w:val="22"/>
        </w:rPr>
        <w:t xml:space="preserve">Primary outcomes are the estimated risks of death and </w:t>
      </w:r>
      <w:r w:rsidR="1A86D1E2" w:rsidRPr="1F0663E9">
        <w:rPr>
          <w:rFonts w:ascii="Calibri" w:eastAsia="Malgun Gothic" w:hAnsi="Calibri" w:cs="Calibri"/>
          <w:sz w:val="22"/>
          <w:szCs w:val="22"/>
        </w:rPr>
        <w:t>hospitalisation</w:t>
      </w:r>
      <w:r w:rsidRPr="005106EE">
        <w:rPr>
          <w:rFonts w:ascii="Calibri" w:eastAsia="Malgun Gothic" w:hAnsi="Calibri" w:cs="Calibri"/>
          <w:sz w:val="22"/>
          <w:szCs w:val="22"/>
        </w:rPr>
        <w:t xml:space="preserve"> (per 10,000 individuals) for vaccinated and unvaccinated states, and the </w:t>
      </w:r>
      <w:r>
        <w:rPr>
          <w:rFonts w:ascii="Calibri" w:eastAsia="Malgun Gothic" w:hAnsi="Calibri" w:cs="Calibri" w:hint="eastAsia"/>
          <w:sz w:val="22"/>
          <w:szCs w:val="22"/>
        </w:rPr>
        <w:t>benefit risk ratio</w:t>
      </w:r>
      <w:r w:rsidRPr="005106EE">
        <w:rPr>
          <w:rFonts w:ascii="Calibri" w:eastAsia="Malgun Gothic" w:hAnsi="Calibri" w:cs="Calibri"/>
          <w:sz w:val="22"/>
          <w:szCs w:val="22"/>
        </w:rPr>
        <w:t xml:space="preserve"> across scenarios for pre-travel and outbreak response vaccination strategies.</w:t>
      </w:r>
    </w:p>
    <w:p w14:paraId="3DD769BD" w14:textId="77777777" w:rsidR="00D963D0" w:rsidRDefault="00D963D0" w:rsidP="00EB3C86">
      <w:pPr>
        <w:spacing w:line="360" w:lineRule="auto"/>
        <w:rPr>
          <w:rStyle w:val="IntenseEmphasis"/>
          <w:rFonts w:eastAsia="Malgun Gothic"/>
        </w:rPr>
      </w:pPr>
    </w:p>
    <w:p w14:paraId="0C00473D" w14:textId="77777777" w:rsidR="00D963D0" w:rsidRPr="0018548A" w:rsidRDefault="00D963D0" w:rsidP="00EB3C86">
      <w:pPr>
        <w:spacing w:line="360" w:lineRule="auto"/>
        <w:rPr>
          <w:rFonts w:ascii="Calibri" w:eastAsia="Malgun Gothic" w:hAnsi="Calibri" w:cstheme="minorBidi"/>
          <w:color w:val="0F4761" w:themeColor="accent1" w:themeShade="BF"/>
          <w:szCs w:val="28"/>
        </w:rPr>
      </w:pPr>
      <w:r w:rsidRPr="006B7C87">
        <w:rPr>
          <w:rStyle w:val="IntenseEmphasis"/>
          <w:sz w:val="24"/>
          <w:szCs w:val="28"/>
        </w:rPr>
        <w:t>Results</w:t>
      </w:r>
    </w:p>
    <w:p w14:paraId="0263AA2C"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Across 11 Brazilian outbreak settings (total attack rates ranging from &lt;5% to 15%), outbreak response immunisation had a more favourable benefit–risk profile than traveller vaccination, with higher benefit–risk ratios for DALYs, deaths, and SAEs across all age groups (1–11, 12–17, 18–64, and ≥65 years). For example, in settings where the total attack rate was ≥10%, the benefit–risk ratio for DALYs among children aged 1–11 years was 31.03 [0.98–1902.05] for outbreak response immunisation, compared with at most 3.91 [0.31–23.40] for traveller vaccination conditional on a 90-day travel duration (Tables 1–2).</w:t>
      </w:r>
    </w:p>
    <w:p w14:paraId="44841241" w14:textId="77777777" w:rsidR="006B7C87" w:rsidRPr="006B7C87" w:rsidRDefault="006B7C87" w:rsidP="006B7C87">
      <w:pPr>
        <w:spacing w:line="360" w:lineRule="auto"/>
        <w:rPr>
          <w:rFonts w:ascii="Calibri" w:eastAsia="Malgun Gothic" w:hAnsi="Calibri" w:cs="Calibri"/>
          <w:sz w:val="22"/>
          <w:szCs w:val="22"/>
          <w:lang w:val="en-US"/>
        </w:rPr>
      </w:pPr>
    </w:p>
    <w:p w14:paraId="19BD3144"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Traveller vaccination was generally unfavourable (BRR &lt;1) for trips shorter than 90 days, and only conditionally favourable (BRR &gt;1) for prolonged travel (90 days), depending on attack rate and age group. Under 90-day travel, traveller vaccination was favourable for DALYs across all age groups when the total attack rate was ≥5%, with the highest benefit–risk ratio among adults aged 18–64 years (2.65 [0.17–62.13]). Spatial patterns showed that the probability that vaccination had a favourable benefit–risk profile for DALYs remained &lt;40% when travel duration was &lt;30 days across all states. The probability exceeded 80% in settings where total attack rates were ≥10% (Ceará and Alagoas) when travel duration was 90 days (Figure 1).</w:t>
      </w:r>
    </w:p>
    <w:p w14:paraId="0A17CC88" w14:textId="77777777" w:rsidR="006B7C87" w:rsidRPr="006B7C87" w:rsidRDefault="006B7C87" w:rsidP="006B7C87">
      <w:pPr>
        <w:spacing w:line="360" w:lineRule="auto"/>
        <w:rPr>
          <w:rFonts w:ascii="Calibri" w:eastAsia="Malgun Gothic" w:hAnsi="Calibri" w:cs="Calibri"/>
          <w:sz w:val="22"/>
          <w:szCs w:val="22"/>
          <w:lang w:val="en-US"/>
        </w:rPr>
      </w:pPr>
    </w:p>
    <w:p w14:paraId="4E0E342E"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The age group with the highest benefit–risk ratio differed by health outcome. For DALYs in settings with total attack rates ≥10%, adults aged 18–64 years had the highest median benefit–risk ratio (6.04 [0.24–178.72]), and other age groups had similar benefit–risk ratios given wide uncertainty. For deaths, the median benefit–risk ratio was highest in older adults aged ≥65 years (1.34 [0.10–17.89]) when the total attack rate was ≥10%, followed by adults aged 18–64 years, children aged 1–11 years, and adolescents aged 12–17 years. However, 95% UIs overlapped for age groups under 65 years. For SAEs, the benefit–risk ratio was highest in children aged 1–11 years (5.23 [0.54–18.45]), followed by adolescents aged 12–17 years, adults aged 18–64 years, and older adults aged ≥65 years. The higher benefit–risk ratios in children aged 1–11 years reflected more SAEs averted due to vaccination, whereas lower benefit–risk ratios in older adults aged ≥65 years reflected higher vaccine-associated SAE risk (10.8 SAEs per 10,000 vaccinated) compared with individuals aged 12–64 years (2.2 SAEs per 10,000 vaccinated), despite higher averted SAEs.</w:t>
      </w:r>
    </w:p>
    <w:p w14:paraId="11F49A16" w14:textId="77777777" w:rsidR="006B7C87" w:rsidRPr="006B7C87" w:rsidRDefault="006B7C87" w:rsidP="006B7C87">
      <w:pPr>
        <w:spacing w:line="360" w:lineRule="auto"/>
        <w:rPr>
          <w:rFonts w:ascii="Calibri" w:eastAsia="Malgun Gothic" w:hAnsi="Calibri" w:cs="Calibri"/>
          <w:sz w:val="22"/>
          <w:szCs w:val="22"/>
          <w:lang w:val="en-US"/>
        </w:rPr>
      </w:pPr>
    </w:p>
    <w:p w14:paraId="6FC7FB81"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For outbreak response immunisation, benefit–risk also varied by age group and attack rate. Across outcomes, children aged 1–11 years consistently had the most favourable benefit–risk ratios, whereas older adults aged ≥65 years had the least favourable benefit–risk ratios. The probability that outbreak response immunisation had a favourable benefit–risk profile for DALYs was &gt;80% for all age groups when the total attack rate was ≥10%, whereas in settings with total attack rates &lt;5%, it fell to &lt;60% (Figure 2).</w:t>
      </w:r>
    </w:p>
    <w:p w14:paraId="660888EF" w14:textId="77777777" w:rsidR="006B7C87" w:rsidRPr="006B7C87" w:rsidRDefault="006B7C87" w:rsidP="006B7C87">
      <w:pPr>
        <w:spacing w:line="360" w:lineRule="auto"/>
        <w:rPr>
          <w:rFonts w:ascii="Calibri" w:eastAsia="Malgun Gothic" w:hAnsi="Calibri" w:cs="Calibri"/>
          <w:sz w:val="22"/>
          <w:szCs w:val="22"/>
          <w:lang w:val="en-US"/>
        </w:rPr>
      </w:pPr>
    </w:p>
    <w:p w14:paraId="707A2970"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Under vaccine protection against disease but not infection, outbreak response immunisation was favourable for DALYs in individuals aged &lt;65 years once total attack rates exceeded 5%, whereas in adults aged ≥65 years it was favourable only when attack rates were ≥10% (BRR 2.19 [0.04–33.39]). In settings where attack rates were 5–10%, the DALY benefit–risk ratio was highest in children aged 1–11 years (BRR 2.61 [0.12–159.65]) and remained favourable in adolescents aged 12–17 years and adults aged 18–64 years. For deaths, outbreak response immunisation was favourable only for children aged 1–11 years and only at attack rates ≥10% (BRR 2.58 [0.09–1791.32]), while other age groups remained unfavourable across outbreak settings. For SAEs, outbreak response immunisation was unfavourable for adults aged ≥65 years across all settings, whereas it was favourable for children (1–11 years) and adolescents (12–17 years) when attack rates exceeded 5%, and for adults aged 18–64 years when attack rates were ≥10% (BRR 2.54 [0.14–21.27]).</w:t>
      </w:r>
    </w:p>
    <w:p w14:paraId="1994AE1E" w14:textId="77777777" w:rsidR="006B7C87" w:rsidRPr="006B7C87" w:rsidRDefault="006B7C87" w:rsidP="006B7C87">
      <w:pPr>
        <w:spacing w:line="360" w:lineRule="auto"/>
        <w:rPr>
          <w:rFonts w:ascii="Calibri" w:eastAsia="Malgun Gothic" w:hAnsi="Calibri" w:cs="Calibri"/>
          <w:sz w:val="22"/>
          <w:szCs w:val="22"/>
          <w:lang w:val="en-US"/>
        </w:rPr>
      </w:pPr>
    </w:p>
    <w:p w14:paraId="77E8751C" w14:textId="77777777" w:rsidR="006B7C87" w:rsidRPr="006B7C87" w:rsidRDefault="006B7C87" w:rsidP="006B7C87">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Under vaccine protection against both disease and infection, benefit–risk ratios increased across all age groups and outbreak settings. For DALYs at attack rates ≥10%, benefit–risk ratios were similar in children and adolescents (BRR 29.87 [1.02–1835.78] and 31.03 [0.98–1902.05], respectively). In older adults aged ≥65 years, the DALY benefit–risk ratio became favourable when attack rates exceeded 5% (BRR 4.87 [0.24–57.46]). A similar pattern was observed for SAEs. In settings where attack rates were ≥10%, children were the most favourable age group for vaccination (BRR 41.02 [4.24–259.51]) and adults aged ≥65 years were the least favourable (BRR 3.20 [0.13–26.22]). For deaths, vaccination was favourable for individuals aged &lt;65 years when attack rates exceeded 5%, whereas for adults aged ≥65 years it was favourable only when attack rates were ≥10% (BRR 1.24 [0.04–26.66]).</w:t>
      </w:r>
    </w:p>
    <w:p w14:paraId="2BE1A690" w14:textId="77777777" w:rsidR="006B7C87" w:rsidRPr="006B7C87" w:rsidRDefault="006B7C87" w:rsidP="006B7C87">
      <w:pPr>
        <w:spacing w:line="360" w:lineRule="auto"/>
        <w:rPr>
          <w:rFonts w:ascii="Calibri" w:eastAsia="Malgun Gothic" w:hAnsi="Calibri" w:cs="Calibri"/>
          <w:sz w:val="22"/>
          <w:szCs w:val="22"/>
          <w:lang w:val="en-US"/>
        </w:rPr>
      </w:pPr>
    </w:p>
    <w:p w14:paraId="63EAED00" w14:textId="4906D5D0" w:rsidR="008C5045" w:rsidRDefault="006B7C87" w:rsidP="008C5045">
      <w:pPr>
        <w:spacing w:line="360" w:lineRule="auto"/>
        <w:rPr>
          <w:rFonts w:ascii="Calibri" w:eastAsia="Malgun Gothic" w:hAnsi="Calibri" w:cs="Calibri"/>
          <w:sz w:val="22"/>
          <w:szCs w:val="22"/>
          <w:lang w:val="en-US"/>
        </w:rPr>
      </w:pPr>
      <w:r w:rsidRPr="006B7C87">
        <w:rPr>
          <w:rFonts w:ascii="Calibri" w:eastAsia="Malgun Gothic" w:hAnsi="Calibri" w:cs="Calibri"/>
          <w:sz w:val="22"/>
          <w:szCs w:val="22"/>
          <w:lang w:val="en-US"/>
        </w:rPr>
        <w:t>Overall, outbreak response immunisation was more favourable than traveller vaccination across age groups and health outcomes. For outbreak response immunisation, prioritising children aged 1–11 years and adolescents aged 12–17 years to avert DALYs, deaths, and SAEs, while reserving vaccination in older adults aged ≥65 years for high-attack-rate settings where the total attack rate was ≥10%. For traveller vaccination, prioritisation of age groups differed by outcome: adults aged 18–64 years to avert DALYs, children aged 1–11 years to avert SAEs, and older adults aged ≥65 years to avert deaths.</w:t>
      </w:r>
    </w:p>
    <w:p w14:paraId="1F92B6C6" w14:textId="77777777" w:rsidR="006B7C87" w:rsidRPr="0086440A" w:rsidRDefault="006B7C87" w:rsidP="008C5045">
      <w:pPr>
        <w:spacing w:line="360" w:lineRule="auto"/>
        <w:rPr>
          <w:rFonts w:ascii="Calibri" w:eastAsia="Malgun Gothic" w:hAnsi="Calibri" w:cs="Calibri"/>
          <w:sz w:val="22"/>
          <w:szCs w:val="22"/>
          <w:lang w:val="en-US"/>
        </w:rPr>
      </w:pPr>
    </w:p>
    <w:p w14:paraId="283E439A" w14:textId="77777777" w:rsidR="00D963D0" w:rsidRPr="0018548A" w:rsidRDefault="00D963D0" w:rsidP="00EB3C86">
      <w:pPr>
        <w:spacing w:line="360" w:lineRule="auto"/>
        <w:rPr>
          <w:rStyle w:val="IntenseEmphasis"/>
          <w:rFonts w:eastAsia="Malgun Gothic" w:cs="Calibri"/>
        </w:rPr>
      </w:pPr>
      <w:r>
        <w:rPr>
          <w:rStyle w:val="IntenseEmphasis"/>
        </w:rPr>
        <w:t>Discussion</w:t>
      </w:r>
    </w:p>
    <w:p w14:paraId="77B436FF" w14:textId="72EC92AF" w:rsidR="00D963D0" w:rsidRPr="00BC27FF" w:rsidRDefault="00D963D0" w:rsidP="00EB3C86">
      <w:pPr>
        <w:spacing w:line="360" w:lineRule="auto"/>
        <w:rPr>
          <w:rFonts w:ascii="Calibri" w:eastAsia="Malgun Gothic" w:hAnsi="Calibri" w:cs="Calibri"/>
          <w:sz w:val="22"/>
          <w:szCs w:val="22"/>
        </w:rPr>
      </w:pPr>
      <w:commentRangeStart w:id="24"/>
      <w:r>
        <w:rPr>
          <w:rFonts w:ascii="Calibri" w:eastAsia="Malgun Gothic" w:hAnsi="Calibri" w:cs="Calibri" w:hint="eastAsia"/>
          <w:sz w:val="22"/>
          <w:szCs w:val="22"/>
        </w:rPr>
        <w:t xml:space="preserve">Our study provides a </w:t>
      </w:r>
      <w:r>
        <w:rPr>
          <w:rFonts w:ascii="Calibri" w:eastAsia="Malgun Gothic" w:hAnsi="Calibri" w:cs="Calibri"/>
          <w:sz w:val="22"/>
          <w:szCs w:val="22"/>
        </w:rPr>
        <w:t>scenario-based</w:t>
      </w:r>
      <w:r>
        <w:rPr>
          <w:rFonts w:ascii="Calibri" w:eastAsia="Malgun Gothic" w:hAnsi="Calibri" w:cs="Calibri" w:hint="eastAsia"/>
          <w:sz w:val="22"/>
          <w:szCs w:val="22"/>
        </w:rPr>
        <w:t xml:space="preserve"> assessment of the benefit-risk profile of the live attenuated chikungunya vaccine (Ixchiq) across heterogeneous exposure settings </w:t>
      </w:r>
      <w:r w:rsidRPr="00BC27FF">
        <w:rPr>
          <w:rFonts w:ascii="Calibri" w:eastAsia="Malgun Gothic" w:hAnsi="Calibri" w:cs="Calibri"/>
          <w:sz w:val="22"/>
          <w:szCs w:val="22"/>
        </w:rPr>
        <w:t>and vaccine use case scenarios</w:t>
      </w:r>
      <w:r>
        <w:rPr>
          <w:rFonts w:ascii="Calibri" w:eastAsia="Malgun Gothic" w:hAnsi="Calibri" w:cs="Calibri" w:hint="eastAsia"/>
          <w:sz w:val="22"/>
          <w:szCs w:val="22"/>
        </w:rPr>
        <w:t xml:space="preserve">. </w:t>
      </w:r>
      <w:r w:rsidRPr="00BC27FF">
        <w:rPr>
          <w:rFonts w:ascii="Calibri" w:eastAsia="Malgun Gothic" w:hAnsi="Calibri" w:cs="Calibri"/>
          <w:sz w:val="22"/>
          <w:szCs w:val="22"/>
        </w:rPr>
        <w:t>I</w:t>
      </w:r>
      <w:commentRangeStart w:id="25"/>
      <w:r w:rsidRPr="00BC27FF">
        <w:rPr>
          <w:rFonts w:ascii="Calibri" w:eastAsia="Malgun Gothic" w:hAnsi="Calibri" w:cs="Calibri"/>
          <w:sz w:val="22"/>
          <w:szCs w:val="22"/>
        </w:rPr>
        <w:t xml:space="preserve">xchiq is the first licensed live attenuated chikungunya vaccine and was approved via an accelerated pathway based on immunogenicity data using a surrogate endpoint rather than on clinical efficacy against disease endpoints </w:t>
      </w:r>
      <w:hyperlink r:id="rId31">
        <w:r w:rsidR="0D189698" w:rsidRPr="160CE707">
          <w:rPr>
            <w:rFonts w:ascii="Calibri" w:hAnsi="Calibri" w:cs="Calibri"/>
            <w:sz w:val="22"/>
            <w:szCs w:val="22"/>
          </w:rPr>
          <w:t>[5,26]</w:t>
        </w:r>
      </w:hyperlink>
      <w:commentRangeEnd w:id="24"/>
      <w:r w:rsidRPr="160CE707">
        <w:rPr>
          <w:rStyle w:val="CommentReference"/>
          <w:rFonts w:ascii="Calibri" w:eastAsia="Malgun Gothic" w:hAnsi="Calibri" w:cs="Calibri"/>
          <w:sz w:val="22"/>
          <w:szCs w:val="22"/>
        </w:rPr>
        <w:commentReference w:id="24"/>
      </w:r>
      <w:commentRangeEnd w:id="25"/>
      <w:r w:rsidRPr="160CE707">
        <w:rPr>
          <w:rStyle w:val="CommentReference"/>
          <w:rFonts w:ascii="Calibri" w:eastAsia="Malgun Gothic" w:hAnsi="Calibri" w:cs="Calibri"/>
          <w:sz w:val="22"/>
          <w:szCs w:val="22"/>
        </w:rPr>
        <w:commentReference w:id="25"/>
      </w:r>
      <w:r w:rsidR="0D189698" w:rsidRPr="160CE707">
        <w:rPr>
          <w:rFonts w:ascii="Calibri" w:eastAsia="Malgun Gothic" w:hAnsi="Calibri" w:cs="Calibri"/>
          <w:sz w:val="22"/>
          <w:szCs w:val="22"/>
        </w:rPr>
        <w:t>.</w:t>
      </w:r>
      <w:r w:rsidRPr="00BC27FF">
        <w:rPr>
          <w:rFonts w:ascii="Calibri" w:eastAsia="Malgun Gothic" w:hAnsi="Calibri" w:cs="Calibri"/>
          <w:sz w:val="22"/>
          <w:szCs w:val="22"/>
        </w:rPr>
        <w:t xml:space="preserve"> In </w:t>
      </w:r>
      <w:r w:rsidRPr="4FE08882">
        <w:rPr>
          <w:rFonts w:ascii="Calibri" w:eastAsia="Malgun Gothic" w:hAnsi="Calibri" w:cs="Calibri"/>
          <w:sz w:val="22"/>
          <w:szCs w:val="22"/>
        </w:rPr>
        <w:t>th</w:t>
      </w:r>
      <w:r w:rsidR="3410AAC7" w:rsidRPr="4FE08882">
        <w:rPr>
          <w:rFonts w:ascii="Calibri" w:eastAsia="Malgun Gothic" w:hAnsi="Calibri" w:cs="Calibri"/>
          <w:sz w:val="22"/>
          <w:szCs w:val="22"/>
        </w:rPr>
        <w:t>e</w:t>
      </w:r>
      <w:r w:rsidRPr="00BC27FF">
        <w:rPr>
          <w:rFonts w:ascii="Calibri" w:eastAsia="Malgun Gothic" w:hAnsi="Calibri" w:cs="Calibri"/>
          <w:sz w:val="22"/>
          <w:szCs w:val="22"/>
        </w:rPr>
        <w:t xml:space="preserve"> context of inherent </w:t>
      </w:r>
      <w:r w:rsidRPr="2164B699">
        <w:rPr>
          <w:rFonts w:ascii="Calibri" w:eastAsia="Malgun Gothic" w:hAnsi="Calibri" w:cs="Calibri"/>
          <w:sz w:val="22"/>
          <w:szCs w:val="22"/>
        </w:rPr>
        <w:t>uncertainty</w:t>
      </w:r>
      <w:r w:rsidR="50E5C153" w:rsidRPr="30A9F65B">
        <w:rPr>
          <w:rFonts w:ascii="Calibri" w:eastAsia="Malgun Gothic" w:hAnsi="Calibri" w:cs="Calibri"/>
          <w:sz w:val="22"/>
          <w:szCs w:val="22"/>
        </w:rPr>
        <w:t xml:space="preserve"> about</w:t>
      </w:r>
      <w:r w:rsidR="50E5C153" w:rsidRPr="3291E0DC">
        <w:rPr>
          <w:rFonts w:ascii="Calibri" w:eastAsia="Malgun Gothic" w:hAnsi="Calibri" w:cs="Calibri"/>
          <w:sz w:val="22"/>
          <w:szCs w:val="22"/>
        </w:rPr>
        <w:t xml:space="preserve"> </w:t>
      </w:r>
      <w:r w:rsidR="50E5C153" w:rsidRPr="79A63DD3">
        <w:rPr>
          <w:rFonts w:ascii="Calibri" w:eastAsia="Malgun Gothic" w:hAnsi="Calibri" w:cs="Calibri"/>
          <w:sz w:val="22"/>
          <w:szCs w:val="22"/>
        </w:rPr>
        <w:t xml:space="preserve">clinical </w:t>
      </w:r>
      <w:r w:rsidR="50E5C153" w:rsidRPr="02B8527C">
        <w:rPr>
          <w:rFonts w:ascii="Calibri" w:eastAsia="Malgun Gothic" w:hAnsi="Calibri" w:cs="Calibri"/>
          <w:sz w:val="22"/>
          <w:szCs w:val="22"/>
        </w:rPr>
        <w:t xml:space="preserve">efficacy against </w:t>
      </w:r>
      <w:r w:rsidR="50E5C153" w:rsidRPr="042659FA">
        <w:rPr>
          <w:rFonts w:ascii="Calibri" w:eastAsia="Malgun Gothic" w:hAnsi="Calibri" w:cs="Calibri"/>
          <w:sz w:val="22"/>
          <w:szCs w:val="22"/>
        </w:rPr>
        <w:t>disease endpo</w:t>
      </w:r>
      <w:r w:rsidR="77514D11" w:rsidRPr="042659FA">
        <w:rPr>
          <w:rFonts w:ascii="Calibri" w:eastAsia="Malgun Gothic" w:hAnsi="Calibri" w:cs="Calibri"/>
          <w:sz w:val="22"/>
          <w:szCs w:val="22"/>
        </w:rPr>
        <w:t>ints</w:t>
      </w:r>
      <w:r w:rsidRPr="00BC27FF">
        <w:rPr>
          <w:rFonts w:ascii="Calibri" w:eastAsia="Malgun Gothic" w:hAnsi="Calibri" w:cs="Calibri"/>
          <w:sz w:val="22"/>
          <w:szCs w:val="22"/>
        </w:rPr>
        <w:t>, our analysis</w:t>
      </w:r>
      <w:r>
        <w:rPr>
          <w:rFonts w:ascii="Calibri" w:eastAsia="Malgun Gothic" w:hAnsi="Calibri" w:cs="Calibri" w:hint="eastAsia"/>
          <w:sz w:val="22"/>
          <w:szCs w:val="22"/>
        </w:rPr>
        <w:t xml:space="preserve"> demonstrate</w:t>
      </w:r>
      <w:r>
        <w:rPr>
          <w:rFonts w:ascii="Calibri" w:eastAsia="Malgun Gothic" w:hAnsi="Calibri" w:cs="Calibri"/>
          <w:sz w:val="22"/>
          <w:szCs w:val="22"/>
        </w:rPr>
        <w:t>s</w:t>
      </w:r>
      <w:r>
        <w:rPr>
          <w:rFonts w:ascii="Calibri" w:eastAsia="Malgun Gothic" w:hAnsi="Calibri" w:cs="Calibri" w:hint="eastAsia"/>
          <w:sz w:val="22"/>
          <w:szCs w:val="22"/>
        </w:rPr>
        <w:t xml:space="preserve"> that vaccine</w:t>
      </w:r>
      <w:r>
        <w:rPr>
          <w:rFonts w:ascii="Calibri" w:eastAsia="Malgun Gothic" w:hAnsi="Calibri" w:cs="Calibri"/>
          <w:sz w:val="22"/>
          <w:szCs w:val="22"/>
        </w:rPr>
        <w:t xml:space="preserve"> </w:t>
      </w:r>
      <w:r>
        <w:rPr>
          <w:rFonts w:ascii="Calibri" w:eastAsia="Malgun Gothic" w:hAnsi="Calibri" w:cs="Calibri" w:hint="eastAsia"/>
          <w:sz w:val="22"/>
          <w:szCs w:val="22"/>
        </w:rPr>
        <w:t xml:space="preserve">benefits and risks </w:t>
      </w:r>
      <w:r>
        <w:rPr>
          <w:rFonts w:ascii="Calibri" w:eastAsia="Malgun Gothic" w:hAnsi="Calibri" w:cs="Calibri"/>
          <w:sz w:val="22"/>
          <w:szCs w:val="22"/>
        </w:rPr>
        <w:t>are highly context dependent, varying systematically by age group</w:t>
      </w:r>
      <w:r>
        <w:rPr>
          <w:rFonts w:ascii="Calibri" w:eastAsia="Malgun Gothic" w:hAnsi="Calibri" w:cs="Calibri" w:hint="eastAsia"/>
          <w:sz w:val="22"/>
          <w:szCs w:val="22"/>
        </w:rPr>
        <w:t xml:space="preserve">, </w:t>
      </w:r>
      <w:r>
        <w:rPr>
          <w:rFonts w:ascii="Calibri" w:eastAsia="Malgun Gothic" w:hAnsi="Calibri" w:cs="Calibri"/>
          <w:sz w:val="22"/>
          <w:szCs w:val="22"/>
        </w:rPr>
        <w:t xml:space="preserve">epidemiological </w:t>
      </w:r>
      <w:r>
        <w:rPr>
          <w:rFonts w:ascii="Calibri" w:eastAsia="Malgun Gothic" w:hAnsi="Calibri" w:cs="Calibri" w:hint="eastAsia"/>
          <w:sz w:val="22"/>
          <w:szCs w:val="22"/>
        </w:rPr>
        <w:t xml:space="preserve">conditions, and vaccination use case. Therefore, rather </w:t>
      </w:r>
      <w:r>
        <w:rPr>
          <w:rFonts w:ascii="Calibri" w:eastAsia="Malgun Gothic" w:hAnsi="Calibri" w:cs="Calibri"/>
          <w:sz w:val="22"/>
          <w:szCs w:val="22"/>
        </w:rPr>
        <w:t>than</w:t>
      </w:r>
      <w:r>
        <w:rPr>
          <w:rFonts w:ascii="Calibri" w:eastAsia="Malgun Gothic" w:hAnsi="Calibri" w:cs="Calibri" w:hint="eastAsia"/>
          <w:sz w:val="22"/>
          <w:szCs w:val="22"/>
        </w:rPr>
        <w:t xml:space="preserve"> </w:t>
      </w:r>
      <w:r>
        <w:rPr>
          <w:rFonts w:ascii="Calibri" w:eastAsia="Malgun Gothic" w:hAnsi="Calibri" w:cs="Calibri"/>
          <w:sz w:val="22"/>
          <w:szCs w:val="22"/>
        </w:rPr>
        <w:t xml:space="preserve">supporting </w:t>
      </w:r>
      <w:r>
        <w:rPr>
          <w:rFonts w:ascii="Calibri" w:eastAsia="Malgun Gothic" w:hAnsi="Calibri" w:cs="Calibri" w:hint="eastAsia"/>
          <w:sz w:val="22"/>
          <w:szCs w:val="22"/>
        </w:rPr>
        <w:t xml:space="preserve">a uniform recommendation, our findings suggest </w:t>
      </w:r>
      <w:r>
        <w:rPr>
          <w:rFonts w:ascii="Calibri" w:eastAsia="Malgun Gothic" w:hAnsi="Calibri" w:cs="Calibri"/>
          <w:sz w:val="22"/>
          <w:szCs w:val="22"/>
        </w:rPr>
        <w:t>that</w:t>
      </w:r>
      <w:r>
        <w:rPr>
          <w:rFonts w:ascii="Calibri" w:eastAsia="Malgun Gothic" w:hAnsi="Calibri" w:cs="Calibri" w:hint="eastAsia"/>
          <w:sz w:val="22"/>
          <w:szCs w:val="22"/>
        </w:rPr>
        <w:t xml:space="preserve"> the vaccination recommendation should depend on exposure duration, outbreak intensity, and age group. </w:t>
      </w:r>
      <w:r>
        <w:rPr>
          <w:rFonts w:ascii="Calibri" w:eastAsia="Malgun Gothic" w:hAnsi="Calibri" w:cs="Calibri"/>
          <w:sz w:val="22"/>
          <w:szCs w:val="22"/>
        </w:rPr>
        <w:t xml:space="preserve"> </w:t>
      </w:r>
    </w:p>
    <w:p w14:paraId="57AEBC7C" w14:textId="77777777" w:rsidR="00D963D0" w:rsidRDefault="00D963D0" w:rsidP="00EB3C86">
      <w:pPr>
        <w:spacing w:line="360" w:lineRule="auto"/>
        <w:rPr>
          <w:rFonts w:ascii="Calibri" w:eastAsia="Malgun Gothic" w:hAnsi="Calibri" w:cs="Calibri"/>
          <w:sz w:val="22"/>
          <w:szCs w:val="22"/>
        </w:rPr>
      </w:pPr>
    </w:p>
    <w:p w14:paraId="6581D7F5" w14:textId="5986D2AC" w:rsidR="00D963D0" w:rsidRDefault="00D963D0" w:rsidP="00EB3C86">
      <w:pPr>
        <w:spacing w:line="360" w:lineRule="auto"/>
        <w:rPr>
          <w:rFonts w:ascii="Calibri" w:eastAsia="Malgun Gothic" w:hAnsi="Calibri" w:cs="Calibri"/>
          <w:sz w:val="22"/>
          <w:szCs w:val="22"/>
        </w:rPr>
      </w:pPr>
      <w:r w:rsidRPr="36366F4A">
        <w:rPr>
          <w:rFonts w:ascii="Calibri" w:eastAsia="Malgun Gothic" w:hAnsi="Calibri" w:cs="Calibri"/>
          <w:sz w:val="22"/>
          <w:szCs w:val="22"/>
        </w:rPr>
        <w:t xml:space="preserve">We show that while benefit-risk for travel vaccination is primarily driven by duration of exposure and outbreak intensity, benefit-risk for outbreak response immunisation depends more strongly on the targeted age group and on whether the vaccine confers protection </w:t>
      </w:r>
      <w:r w:rsidR="66BFAC1B" w:rsidRPr="36366F4A">
        <w:rPr>
          <w:rFonts w:ascii="Calibri" w:eastAsia="Malgun Gothic" w:hAnsi="Calibri" w:cs="Calibri"/>
          <w:sz w:val="22"/>
          <w:szCs w:val="22"/>
        </w:rPr>
        <w:t xml:space="preserve">against disease-only or </w:t>
      </w:r>
      <w:commentRangeStart w:id="26"/>
      <w:r w:rsidR="66BFAC1B" w:rsidRPr="36366F4A">
        <w:rPr>
          <w:rFonts w:ascii="Calibri" w:eastAsia="Malgun Gothic" w:hAnsi="Calibri" w:cs="Calibri"/>
          <w:sz w:val="22"/>
          <w:szCs w:val="22"/>
        </w:rPr>
        <w:t>infection and disease</w:t>
      </w:r>
      <w:commentRangeEnd w:id="26"/>
      <w:r w:rsidRPr="36366F4A">
        <w:rPr>
          <w:rStyle w:val="CommentReference"/>
          <w:rFonts w:ascii="Calibri" w:eastAsia="Malgun Gothic" w:hAnsi="Calibri" w:cs="Calibri"/>
          <w:sz w:val="22"/>
          <w:szCs w:val="22"/>
        </w:rPr>
        <w:commentReference w:id="26"/>
      </w:r>
      <w:r w:rsidRPr="36366F4A">
        <w:rPr>
          <w:rFonts w:ascii="Calibri" w:eastAsia="Malgun Gothic" w:hAnsi="Calibri" w:cs="Calibri"/>
          <w:sz w:val="22"/>
          <w:szCs w:val="22"/>
        </w:rPr>
        <w:t>. For short-duration travel, our results show substantial uncertainty on whether vaccine benefits outweigh risks, even under large outbreak scenarios. This reflects the relatively low case fatality rate of chikungunya combined with limited time window for infection risk to accumulate for vaccine benefits to offset vaccine associated risks. As a live attenuated vaccine, Ixchiq is associated with early onset of adverse events, resulting in immediate post-vaccination risk, with a median onset of chikungunya</w:t>
      </w:r>
      <w:r w:rsidR="3DA1C37D" w:rsidRPr="32367F3F">
        <w:rPr>
          <w:rFonts w:ascii="Calibri" w:eastAsia="Malgun Gothic" w:hAnsi="Calibri" w:cs="Calibri"/>
          <w:sz w:val="22"/>
          <w:szCs w:val="22"/>
        </w:rPr>
        <w:t>-</w:t>
      </w:r>
      <w:r w:rsidRPr="36366F4A">
        <w:rPr>
          <w:rFonts w:ascii="Calibri" w:eastAsia="Malgun Gothic" w:hAnsi="Calibri" w:cs="Calibri"/>
          <w:sz w:val="22"/>
          <w:szCs w:val="22"/>
        </w:rPr>
        <w:t xml:space="preserve">like adverse symptom occurring </w:t>
      </w:r>
      <w:r w:rsidR="7A573824" w:rsidRPr="160CE707">
        <w:rPr>
          <w:rFonts w:ascii="Calibri" w:eastAsia="Malgun Gothic" w:hAnsi="Calibri" w:cs="Calibri"/>
          <w:sz w:val="22"/>
          <w:szCs w:val="22"/>
        </w:rPr>
        <w:t>three</w:t>
      </w:r>
      <w:r w:rsidRPr="36366F4A">
        <w:rPr>
          <w:rFonts w:ascii="Calibri" w:eastAsia="Malgun Gothic" w:hAnsi="Calibri" w:cs="Calibri"/>
          <w:sz w:val="22"/>
          <w:szCs w:val="22"/>
        </w:rPr>
        <w:t xml:space="preserve"> days after vaccination </w:t>
      </w:r>
      <w:r w:rsidR="08302F0A" w:rsidRPr="72F7ABD0">
        <w:rPr>
          <w:rFonts w:ascii="Calibri" w:hAnsi="Calibri" w:cs="Calibri"/>
          <w:sz w:val="22"/>
          <w:szCs w:val="22"/>
        </w:rPr>
        <w:t>[23]</w:t>
      </w:r>
      <w:r w:rsidRPr="72F7ABD0">
        <w:rPr>
          <w:rFonts w:ascii="Calibri" w:hAnsi="Calibri" w:cs="Calibri"/>
          <w:sz w:val="22"/>
          <w:szCs w:val="22"/>
        </w:rPr>
        <w:t>.</w:t>
      </w:r>
      <w:r w:rsidRPr="0348EA6E">
        <w:rPr>
          <w:rFonts w:ascii="Calibri" w:eastAsia="Malgun Gothic" w:hAnsi="Calibri" w:cs="Calibri"/>
          <w:sz w:val="22"/>
          <w:szCs w:val="22"/>
        </w:rPr>
        <w:t xml:space="preserve"> This temporal mismatch between early vaccine associated risk and delayed accumulation of infection risk results in unfavourable </w:t>
      </w:r>
      <w:commentRangeStart w:id="27"/>
      <w:r w:rsidRPr="160CE707">
        <w:rPr>
          <w:rFonts w:ascii="Calibri" w:eastAsia="Malgun Gothic" w:hAnsi="Calibri" w:cs="Calibri"/>
          <w:sz w:val="22"/>
          <w:szCs w:val="22"/>
        </w:rPr>
        <w:t xml:space="preserve">or uncertain </w:t>
      </w:r>
      <w:commentRangeEnd w:id="27"/>
      <w:r w:rsidRPr="160CE707">
        <w:rPr>
          <w:rStyle w:val="CommentReference"/>
          <w:rFonts w:ascii="Calibri" w:eastAsia="Malgun Gothic" w:hAnsi="Calibri" w:cs="Calibri"/>
          <w:sz w:val="22"/>
          <w:szCs w:val="22"/>
        </w:rPr>
        <w:commentReference w:id="27"/>
      </w:r>
      <w:r w:rsidRPr="160CE707">
        <w:rPr>
          <w:rFonts w:ascii="Calibri" w:eastAsia="Malgun Gothic" w:hAnsi="Calibri" w:cs="Calibri"/>
          <w:sz w:val="22"/>
          <w:szCs w:val="22"/>
        </w:rPr>
        <w:t xml:space="preserve">benefit-risk for short-term travel. As travel duration increases, benefits increase with sustained exposure, leading to more favourable benefit-risk ratios. This pattern is consistent across age groups and outcomes, underscoring exposure duration as a key determinant </w:t>
      </w:r>
      <w:r w:rsidR="73D61ECF" w:rsidRPr="1A20FD1D">
        <w:rPr>
          <w:rFonts w:ascii="Calibri" w:eastAsia="Malgun Gothic" w:hAnsi="Calibri" w:cs="Calibri"/>
          <w:sz w:val="22"/>
          <w:szCs w:val="22"/>
        </w:rPr>
        <w:t>of</w:t>
      </w:r>
      <w:r w:rsidRPr="36366F4A">
        <w:rPr>
          <w:rFonts w:ascii="Calibri" w:eastAsia="Malgun Gothic" w:hAnsi="Calibri" w:cs="Calibri"/>
          <w:sz w:val="22"/>
          <w:szCs w:val="22"/>
        </w:rPr>
        <w:t xml:space="preserve">vaccine benefit-risk. Our findings suggest that vaccination for  </w:t>
      </w:r>
      <w:commentRangeStart w:id="28"/>
      <w:r w:rsidRPr="36366F4A">
        <w:rPr>
          <w:rFonts w:ascii="Calibri" w:eastAsia="Malgun Gothic" w:hAnsi="Calibri" w:cs="Calibri"/>
          <w:sz w:val="22"/>
          <w:szCs w:val="22"/>
        </w:rPr>
        <w:t xml:space="preserve">short-term travel </w:t>
      </w:r>
      <w:commentRangeEnd w:id="28"/>
      <w:r w:rsidRPr="36366F4A">
        <w:rPr>
          <w:rStyle w:val="CommentReference"/>
          <w:rFonts w:ascii="Calibri" w:eastAsia="Malgun Gothic" w:hAnsi="Calibri" w:cs="Calibri"/>
          <w:sz w:val="22"/>
          <w:szCs w:val="22"/>
        </w:rPr>
        <w:commentReference w:id="28"/>
      </w:r>
      <w:r w:rsidRPr="36366F4A">
        <w:rPr>
          <w:rFonts w:ascii="Calibri" w:eastAsia="Malgun Gothic" w:hAnsi="Calibri" w:cs="Calibri"/>
          <w:sz w:val="22"/>
          <w:szCs w:val="22"/>
        </w:rPr>
        <w:t xml:space="preserve">should </w:t>
      </w:r>
      <w:r w:rsidR="1BCB6850" w:rsidRPr="2284B06D">
        <w:rPr>
          <w:rFonts w:ascii="Calibri" w:eastAsia="Malgun Gothic" w:hAnsi="Calibri" w:cs="Calibri"/>
          <w:sz w:val="22"/>
          <w:szCs w:val="22"/>
        </w:rPr>
        <w:t>be limited to situations in which</w:t>
      </w:r>
      <w:r w:rsidRPr="36366F4A">
        <w:rPr>
          <w:rFonts w:ascii="Calibri" w:eastAsia="Malgun Gothic" w:hAnsi="Calibri" w:cs="Calibri"/>
          <w:sz w:val="22"/>
          <w:szCs w:val="22"/>
        </w:rPr>
        <w:t xml:space="preserve"> </w:t>
      </w:r>
      <w:r w:rsidR="5E74B2BE" w:rsidRPr="36366F4A">
        <w:rPr>
          <w:rFonts w:ascii="Calibri" w:eastAsia="Malgun Gothic" w:hAnsi="Calibri" w:cs="Calibri"/>
          <w:sz w:val="22"/>
          <w:szCs w:val="22"/>
        </w:rPr>
        <w:t xml:space="preserve">exposure to an </w:t>
      </w:r>
      <w:r w:rsidR="7948371B" w:rsidRPr="36366F4A">
        <w:rPr>
          <w:rFonts w:ascii="Calibri" w:eastAsia="Malgun Gothic" w:hAnsi="Calibri" w:cs="Calibri"/>
          <w:sz w:val="22"/>
          <w:szCs w:val="22"/>
        </w:rPr>
        <w:t>ongoing large</w:t>
      </w:r>
      <w:r w:rsidRPr="36366F4A">
        <w:rPr>
          <w:rFonts w:ascii="Calibri" w:eastAsia="Malgun Gothic" w:hAnsi="Calibri" w:cs="Calibri"/>
          <w:sz w:val="22"/>
          <w:szCs w:val="22"/>
        </w:rPr>
        <w:t xml:space="preserve"> outbreak is </w:t>
      </w:r>
      <w:commentRangeStart w:id="29"/>
      <w:commentRangeEnd w:id="29"/>
      <w:r w:rsidRPr="36366F4A">
        <w:rPr>
          <w:rStyle w:val="CommentReference"/>
          <w:rFonts w:ascii="Calibri" w:eastAsia="Malgun Gothic" w:hAnsi="Calibri" w:cs="Calibri"/>
          <w:sz w:val="22"/>
          <w:szCs w:val="22"/>
        </w:rPr>
        <w:commentReference w:id="29"/>
      </w:r>
      <w:r w:rsidR="22F55FB4" w:rsidRPr="36366F4A">
        <w:rPr>
          <w:rFonts w:ascii="Calibri" w:eastAsia="Malgun Gothic" w:hAnsi="Calibri" w:cs="Calibri"/>
          <w:sz w:val="22"/>
          <w:szCs w:val="22"/>
        </w:rPr>
        <w:t>possible</w:t>
      </w:r>
      <w:r w:rsidRPr="36366F4A">
        <w:rPr>
          <w:rFonts w:ascii="Calibri" w:eastAsia="Malgun Gothic" w:hAnsi="Calibri" w:cs="Calibri"/>
          <w:sz w:val="22"/>
          <w:szCs w:val="22"/>
        </w:rPr>
        <w:t xml:space="preserve"> and should be </w:t>
      </w:r>
      <w:r w:rsidR="08302F0A" w:rsidRPr="672AA608">
        <w:rPr>
          <w:rFonts w:ascii="Calibri" w:eastAsia="Malgun Gothic" w:hAnsi="Calibri" w:cs="Calibri"/>
          <w:sz w:val="22"/>
          <w:szCs w:val="22"/>
        </w:rPr>
        <w:t xml:space="preserve">guided </w:t>
      </w:r>
      <w:r w:rsidR="08302F0A" w:rsidRPr="56FF1253">
        <w:rPr>
          <w:rFonts w:ascii="Calibri" w:eastAsia="Malgun Gothic" w:hAnsi="Calibri" w:cs="Calibri"/>
          <w:sz w:val="22"/>
          <w:szCs w:val="22"/>
        </w:rPr>
        <w:t xml:space="preserve">by the </w:t>
      </w:r>
      <w:r w:rsidR="08302F0A" w:rsidRPr="7261F494">
        <w:rPr>
          <w:rFonts w:ascii="Calibri" w:eastAsia="Malgun Gothic" w:hAnsi="Calibri" w:cs="Calibri"/>
          <w:sz w:val="22"/>
          <w:szCs w:val="22"/>
        </w:rPr>
        <w:t>traveller’s age</w:t>
      </w:r>
      <w:r w:rsidRPr="36366F4A">
        <w:rPr>
          <w:rFonts w:ascii="Calibri" w:eastAsia="Malgun Gothic" w:hAnsi="Calibri" w:cs="Calibri"/>
          <w:sz w:val="22"/>
          <w:szCs w:val="22"/>
        </w:rPr>
        <w:t xml:space="preserve"> </w:t>
      </w:r>
      <w:r w:rsidR="355DEF1A" w:rsidRPr="6ECDBA34">
        <w:rPr>
          <w:rFonts w:ascii="Calibri" w:eastAsia="Malgun Gothic" w:hAnsi="Calibri" w:cs="Calibri"/>
          <w:sz w:val="22"/>
          <w:szCs w:val="22"/>
        </w:rPr>
        <w:t>.</w:t>
      </w:r>
    </w:p>
    <w:p w14:paraId="4146B5F5" w14:textId="77777777" w:rsidR="00D963D0" w:rsidRDefault="00D963D0" w:rsidP="00EB3C86">
      <w:pPr>
        <w:spacing w:line="360" w:lineRule="auto"/>
        <w:rPr>
          <w:rFonts w:ascii="Calibri" w:eastAsia="Malgun Gothic" w:hAnsi="Calibri" w:cs="Calibri"/>
          <w:sz w:val="22"/>
          <w:szCs w:val="22"/>
        </w:rPr>
      </w:pPr>
    </w:p>
    <w:p w14:paraId="50BF5DAE" w14:textId="77777777" w:rsidR="00D963D0" w:rsidRPr="00A32BCB" w:rsidRDefault="00D963D0" w:rsidP="00EB3C86">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Across all scenarios, benefit-risk ratios were consistently lower among individuals aged 65 years and older compared with those aged 18-64 years. This pattern is driven by higher underlying case fatality rates in older adults and higher observed vaccine-associated risks relative to 18-64 years old. </w:t>
      </w:r>
      <w:r>
        <w:rPr>
          <w:rFonts w:ascii="Calibri" w:eastAsia="Malgun Gothic" w:hAnsi="Calibri" w:cs="Calibri"/>
          <w:sz w:val="22"/>
          <w:szCs w:val="22"/>
        </w:rPr>
        <w:t>These findings are</w:t>
      </w:r>
      <w:r>
        <w:rPr>
          <w:rFonts w:ascii="Calibri" w:eastAsia="Malgun Gothic" w:hAnsi="Calibri" w:cs="Calibri" w:hint="eastAsia"/>
          <w:sz w:val="22"/>
          <w:szCs w:val="22"/>
        </w:rPr>
        <w:t xml:space="preserve"> </w:t>
      </w:r>
      <w:r>
        <w:rPr>
          <w:rFonts w:ascii="Calibri" w:eastAsia="Malgun Gothic" w:hAnsi="Calibri" w:cs="Calibri"/>
          <w:sz w:val="22"/>
          <w:szCs w:val="22"/>
        </w:rPr>
        <w:t xml:space="preserve">consistent </w:t>
      </w:r>
      <w:r>
        <w:rPr>
          <w:rFonts w:ascii="Calibri" w:eastAsia="Malgun Gothic" w:hAnsi="Calibri" w:cs="Calibri" w:hint="eastAsia"/>
          <w:sz w:val="22"/>
          <w:szCs w:val="22"/>
        </w:rPr>
        <w:t xml:space="preserve">with post-authorisation safety considerations and recent regulatory decisions </w:t>
      </w:r>
      <w:r>
        <w:rPr>
          <w:rFonts w:ascii="Calibri" w:eastAsia="Malgun Gothic" w:hAnsi="Calibri" w:cs="Calibri"/>
          <w:sz w:val="22"/>
          <w:szCs w:val="22"/>
        </w:rPr>
        <w:t>regarding</w:t>
      </w:r>
      <w:r>
        <w:rPr>
          <w:rFonts w:ascii="Calibri" w:eastAsia="Malgun Gothic" w:hAnsi="Calibri" w:cs="Calibri" w:hint="eastAsia"/>
          <w:sz w:val="22"/>
          <w:szCs w:val="22"/>
        </w:rPr>
        <w:t xml:space="preserve"> Ixchiq use in older adults.</w:t>
      </w:r>
      <w:r w:rsidRPr="00BC27FF">
        <w:rPr>
          <w:rFonts w:ascii="Calibri" w:eastAsia="Malgun Gothic" w:hAnsi="Calibri" w:cs="Calibri"/>
          <w:sz w:val="22"/>
          <w:szCs w:val="22"/>
        </w:rPr>
        <w:t xml:space="preserve"> </w:t>
      </w:r>
      <w:commentRangeStart w:id="30"/>
      <w:r w:rsidRPr="00BC27FF">
        <w:rPr>
          <w:rFonts w:ascii="Calibri" w:eastAsia="Malgun Gothic" w:hAnsi="Calibri" w:cs="Calibri"/>
          <w:sz w:val="22"/>
          <w:szCs w:val="22"/>
        </w:rPr>
        <w:t>Precautionary</w:t>
      </w:r>
      <w:r>
        <w:rPr>
          <w:rFonts w:ascii="Calibri" w:eastAsia="Malgun Gothic" w:hAnsi="Calibri" w:cs="Calibri" w:hint="eastAsia"/>
          <w:sz w:val="22"/>
          <w:szCs w:val="22"/>
        </w:rPr>
        <w:t xml:space="preserve"> restrictions or recommendations against </w:t>
      </w:r>
      <w:r>
        <w:rPr>
          <w:rFonts w:ascii="Calibri" w:eastAsia="Malgun Gothic" w:hAnsi="Calibri" w:cs="Calibri"/>
          <w:sz w:val="22"/>
          <w:szCs w:val="22"/>
        </w:rPr>
        <w:t>vaccination</w:t>
      </w:r>
      <w:r>
        <w:rPr>
          <w:rFonts w:ascii="Calibri" w:eastAsia="Malgun Gothic" w:hAnsi="Calibri" w:cs="Calibri" w:hint="eastAsia"/>
          <w:sz w:val="22"/>
          <w:szCs w:val="22"/>
        </w:rPr>
        <w:t xml:space="preserve"> in </w:t>
      </w:r>
      <w:r>
        <w:rPr>
          <w:rFonts w:ascii="Calibri" w:eastAsia="Malgun Gothic" w:hAnsi="Calibri" w:cs="Calibri"/>
          <w:sz w:val="22"/>
          <w:szCs w:val="22"/>
        </w:rPr>
        <w:t>individuals</w:t>
      </w:r>
      <w:r>
        <w:rPr>
          <w:rFonts w:ascii="Calibri" w:eastAsia="Malgun Gothic" w:hAnsi="Calibri" w:cs="Calibri" w:hint="eastAsia"/>
          <w:sz w:val="22"/>
          <w:szCs w:val="22"/>
        </w:rPr>
        <w:t xml:space="preserve"> aged 65 years and older by regulatory authorities</w:t>
      </w:r>
      <w:r>
        <w:rPr>
          <w:rFonts w:ascii="Calibri" w:eastAsia="Malgun Gothic" w:hAnsi="Calibri" w:cs="Calibri"/>
          <w:sz w:val="22"/>
          <w:szCs w:val="22"/>
        </w:rPr>
        <w:t>,</w:t>
      </w:r>
      <w:r>
        <w:rPr>
          <w:rFonts w:ascii="Calibri" w:eastAsia="Malgun Gothic" w:hAnsi="Calibri" w:cs="Calibri" w:hint="eastAsia"/>
          <w:sz w:val="22"/>
          <w:szCs w:val="22"/>
        </w:rPr>
        <w:t xml:space="preserve"> such as Health Canada, the European Medicines Agency, and the US FDA</w:t>
      </w:r>
      <w:r>
        <w:rPr>
          <w:rFonts w:ascii="Calibri" w:eastAsia="Malgun Gothic" w:hAnsi="Calibri" w:cs="Calibri"/>
          <w:sz w:val="22"/>
          <w:szCs w:val="22"/>
        </w:rPr>
        <w:t xml:space="preserve">, align closely </w:t>
      </w:r>
      <w:r>
        <w:rPr>
          <w:rFonts w:ascii="Calibri" w:eastAsia="Malgun Gothic" w:hAnsi="Calibri" w:cs="Calibri" w:hint="eastAsia"/>
          <w:sz w:val="22"/>
          <w:szCs w:val="22"/>
        </w:rPr>
        <w:t xml:space="preserve">with our </w:t>
      </w:r>
      <w:r>
        <w:rPr>
          <w:rFonts w:ascii="Calibri" w:eastAsia="Malgun Gothic" w:hAnsi="Calibri" w:cs="Calibri"/>
          <w:sz w:val="22"/>
          <w:szCs w:val="22"/>
        </w:rPr>
        <w:t xml:space="preserve">age-specific benefit-risk patterns observed in our analysis. </w:t>
      </w:r>
      <w:commentRangeEnd w:id="30"/>
      <w:r w:rsidRPr="00A32BCB">
        <w:rPr>
          <w:rStyle w:val="CommentReference"/>
          <w:rFonts w:ascii="Calibri" w:eastAsia="Malgun Gothic" w:hAnsi="Calibri" w:cs="Calibri"/>
          <w:sz w:val="22"/>
          <w:szCs w:val="22"/>
        </w:rPr>
        <w:commentReference w:id="30"/>
      </w:r>
    </w:p>
    <w:p w14:paraId="5879C8B5" w14:textId="77777777" w:rsidR="00D963D0" w:rsidRDefault="00D963D0" w:rsidP="00EB3C86">
      <w:pPr>
        <w:spacing w:line="360" w:lineRule="auto"/>
        <w:rPr>
          <w:rFonts w:ascii="Calibri" w:eastAsia="Malgun Gothic" w:hAnsi="Calibri" w:cs="Calibri"/>
          <w:sz w:val="22"/>
          <w:szCs w:val="22"/>
        </w:rPr>
      </w:pPr>
    </w:p>
    <w:p w14:paraId="5315A231" w14:textId="77777777" w:rsidR="00D963D0" w:rsidRDefault="00D963D0" w:rsidP="00EB3C86">
      <w:pPr>
        <w:spacing w:line="360" w:lineRule="auto"/>
        <w:rPr>
          <w:rFonts w:ascii="Calibri" w:eastAsia="Malgun Gothic" w:hAnsi="Calibri" w:cs="Calibri"/>
          <w:sz w:val="22"/>
          <w:szCs w:val="22"/>
        </w:rPr>
      </w:pPr>
      <w:r>
        <w:rPr>
          <w:rFonts w:ascii="Calibri" w:eastAsia="Malgun Gothic" w:hAnsi="Calibri" w:cs="Calibri" w:hint="eastAsia"/>
          <w:sz w:val="22"/>
          <w:szCs w:val="22"/>
        </w:rPr>
        <w:t>O</w:t>
      </w:r>
      <w:commentRangeStart w:id="31"/>
      <w:r>
        <w:rPr>
          <w:rFonts w:ascii="Calibri" w:eastAsia="Malgun Gothic" w:hAnsi="Calibri" w:cs="Calibri" w:hint="eastAsia"/>
          <w:sz w:val="22"/>
          <w:szCs w:val="22"/>
        </w:rPr>
        <w:t xml:space="preserve">ur findings further suggest that vaccination decisions should be informed by both </w:t>
      </w:r>
      <w:r>
        <w:rPr>
          <w:rFonts w:ascii="Calibri" w:eastAsia="Malgun Gothic" w:hAnsi="Calibri" w:cs="Calibri"/>
          <w:sz w:val="22"/>
          <w:szCs w:val="22"/>
        </w:rPr>
        <w:t>chikungunya</w:t>
      </w:r>
      <w:r>
        <w:rPr>
          <w:rFonts w:ascii="Calibri" w:eastAsia="Malgun Gothic" w:hAnsi="Calibri" w:cs="Calibri" w:hint="eastAsia"/>
          <w:sz w:val="22"/>
          <w:szCs w:val="22"/>
        </w:rPr>
        <w:t xml:space="preserve"> related death and </w:t>
      </w:r>
      <w:r>
        <w:rPr>
          <w:rFonts w:ascii="Calibri" w:eastAsia="Malgun Gothic" w:hAnsi="Calibri" w:cs="Calibri"/>
          <w:sz w:val="22"/>
          <w:szCs w:val="22"/>
        </w:rPr>
        <w:t>hospitalisations</w:t>
      </w:r>
      <w:r>
        <w:rPr>
          <w:rFonts w:ascii="Calibri" w:eastAsia="Malgun Gothic" w:hAnsi="Calibri" w:cs="Calibri" w:hint="eastAsia"/>
          <w:sz w:val="22"/>
          <w:szCs w:val="22"/>
        </w:rPr>
        <w:t xml:space="preserve">. </w:t>
      </w:r>
      <w:commentRangeEnd w:id="31"/>
      <w:r>
        <w:rPr>
          <w:rStyle w:val="CommentReference"/>
          <w:rFonts w:ascii="Calibri" w:eastAsia="Malgun Gothic" w:hAnsi="Calibri" w:cs="Calibri" w:hint="eastAsia"/>
          <w:sz w:val="22"/>
          <w:szCs w:val="22"/>
        </w:rPr>
        <w:commentReference w:id="31"/>
      </w:r>
      <w:r>
        <w:rPr>
          <w:rFonts w:ascii="Calibri" w:eastAsia="Malgun Gothic" w:hAnsi="Calibri" w:cs="Calibri" w:hint="eastAsia"/>
          <w:sz w:val="22"/>
          <w:szCs w:val="22"/>
        </w:rPr>
        <w:t xml:space="preserve">While benefit-risk ratios </w:t>
      </w:r>
      <w:r>
        <w:rPr>
          <w:rFonts w:ascii="Calibri" w:eastAsia="Malgun Gothic" w:hAnsi="Calibri" w:cs="Calibri"/>
          <w:sz w:val="22"/>
          <w:szCs w:val="22"/>
        </w:rPr>
        <w:t>for</w:t>
      </w:r>
      <w:r>
        <w:rPr>
          <w:rFonts w:ascii="Calibri" w:eastAsia="Malgun Gothic" w:hAnsi="Calibri" w:cs="Calibri" w:hint="eastAsia"/>
          <w:sz w:val="22"/>
          <w:szCs w:val="22"/>
        </w:rPr>
        <w:t xml:space="preserve"> deaths were consistently lower than </w:t>
      </w:r>
      <w:r>
        <w:rPr>
          <w:rFonts w:ascii="Calibri" w:eastAsia="Malgun Gothic" w:hAnsi="Calibri" w:cs="Calibri"/>
          <w:sz w:val="22"/>
          <w:szCs w:val="22"/>
        </w:rPr>
        <w:t>for</w:t>
      </w:r>
      <w:r>
        <w:rPr>
          <w:rFonts w:ascii="Calibri" w:eastAsia="Malgun Gothic" w:hAnsi="Calibri" w:cs="Calibri" w:hint="eastAsia"/>
          <w:sz w:val="22"/>
          <w:szCs w:val="22"/>
        </w:rPr>
        <w:t xml:space="preserve"> </w:t>
      </w:r>
      <w:r>
        <w:rPr>
          <w:rFonts w:ascii="Calibri" w:eastAsia="Malgun Gothic" w:hAnsi="Calibri" w:cs="Calibri"/>
          <w:sz w:val="22"/>
          <w:szCs w:val="22"/>
        </w:rPr>
        <w:t>hospitalisation</w:t>
      </w:r>
      <w:r>
        <w:rPr>
          <w:rFonts w:ascii="Calibri" w:eastAsia="Malgun Gothic" w:hAnsi="Calibri" w:cs="Calibri" w:hint="eastAsia"/>
          <w:sz w:val="22"/>
          <w:szCs w:val="22"/>
        </w:rPr>
        <w:t xml:space="preserve">, making decisions </w:t>
      </w:r>
      <w:r>
        <w:rPr>
          <w:rFonts w:ascii="Calibri" w:eastAsia="Malgun Gothic" w:hAnsi="Calibri" w:cs="Calibri"/>
          <w:sz w:val="22"/>
          <w:szCs w:val="22"/>
        </w:rPr>
        <w:t>solely</w:t>
      </w:r>
      <w:r>
        <w:rPr>
          <w:rFonts w:ascii="Calibri" w:eastAsia="Malgun Gothic" w:hAnsi="Calibri" w:cs="Calibri" w:hint="eastAsia"/>
          <w:sz w:val="22"/>
          <w:szCs w:val="22"/>
        </w:rPr>
        <w:t xml:space="preserve"> based on death can underestimate the potential benefit of vaccine</w:t>
      </w:r>
      <w:r>
        <w:rPr>
          <w:rFonts w:ascii="Calibri" w:eastAsia="Malgun Gothic" w:hAnsi="Calibri" w:cs="Calibri"/>
          <w:sz w:val="22"/>
          <w:szCs w:val="22"/>
        </w:rPr>
        <w:t>. Preventing hospitalisation</w:t>
      </w:r>
      <w:r w:rsidRPr="004D6925">
        <w:rPr>
          <w:rFonts w:ascii="Calibri" w:eastAsia="Malgun Gothic" w:hAnsi="Calibri" w:cs="Calibri"/>
          <w:sz w:val="22"/>
          <w:szCs w:val="22"/>
        </w:rPr>
        <w:t xml:space="preserve"> </w:t>
      </w:r>
      <w:r>
        <w:rPr>
          <w:rFonts w:ascii="Calibri" w:eastAsia="Malgun Gothic" w:hAnsi="Calibri" w:cs="Calibri"/>
          <w:sz w:val="22"/>
          <w:szCs w:val="22"/>
        </w:rPr>
        <w:t xml:space="preserve">is critical given their potential to result in chronic sequelae, which are not captured solely based on death. </w:t>
      </w:r>
    </w:p>
    <w:p w14:paraId="7FFC14DA" w14:textId="77777777" w:rsidR="00D963D0" w:rsidRDefault="00D963D0" w:rsidP="00EB3C86">
      <w:pPr>
        <w:spacing w:line="360" w:lineRule="auto"/>
        <w:rPr>
          <w:rFonts w:ascii="Calibri" w:eastAsia="Malgun Gothic" w:hAnsi="Calibri" w:cs="Calibri"/>
          <w:sz w:val="22"/>
          <w:szCs w:val="22"/>
        </w:rPr>
      </w:pPr>
    </w:p>
    <w:p w14:paraId="04B8F459" w14:textId="77777777" w:rsidR="00D963D0" w:rsidRPr="00BC27FF" w:rsidRDefault="00D963D0" w:rsidP="00EB3C86">
      <w:pPr>
        <w:spacing w:line="360" w:lineRule="auto"/>
        <w:rPr>
          <w:rFonts w:ascii="Calibri" w:eastAsia="Malgun Gothic" w:hAnsi="Calibri" w:cs="Calibri"/>
          <w:sz w:val="22"/>
          <w:szCs w:val="22"/>
        </w:rPr>
      </w:pPr>
      <w:r w:rsidRPr="36366F4A">
        <w:rPr>
          <w:rFonts w:ascii="Calibri" w:eastAsia="Malgun Gothic" w:hAnsi="Calibri" w:cs="Calibri"/>
          <w:sz w:val="22"/>
          <w:szCs w:val="22"/>
        </w:rPr>
        <w:t>In contrast to travel vaccination, benefit-risk for outbreak response immunisation was strongly driven by the age group targeted and by the vaccine protection mechanism. Targeting children aged 1-11 years old resulted in the highest benefit risk ratios for both death and hospitalisation, driven by the largest number of outcomes averted. Conversely, targeting individuals aged 65 years and older resulted in the least favourable benefit-risk outcomes. This result is in line with the previous modelling stud</w:t>
      </w:r>
      <w:commentRangeStart w:id="32"/>
      <w:r w:rsidRPr="36366F4A">
        <w:rPr>
          <w:rFonts w:ascii="Calibri" w:eastAsia="Malgun Gothic" w:hAnsi="Calibri" w:cs="Calibri"/>
          <w:sz w:val="22"/>
          <w:szCs w:val="22"/>
        </w:rPr>
        <w:t>y</w:t>
      </w:r>
      <w:commentRangeEnd w:id="32"/>
      <w:r w:rsidRPr="36366F4A">
        <w:rPr>
          <w:rStyle w:val="CommentReference"/>
          <w:rFonts w:ascii="Calibri" w:eastAsia="Malgun Gothic" w:hAnsi="Calibri" w:cs="Calibri"/>
          <w:sz w:val="22"/>
          <w:szCs w:val="22"/>
        </w:rPr>
        <w:commentReference w:id="32"/>
      </w:r>
      <w:r w:rsidRPr="36366F4A">
        <w:rPr>
          <w:rFonts w:ascii="Calibri" w:eastAsia="Malgun Gothic" w:hAnsi="Calibri" w:cs="Calibri"/>
          <w:sz w:val="22"/>
          <w:szCs w:val="22"/>
        </w:rPr>
        <w:t xml:space="preserve"> which simulated age specific outbreak response immunisation strategies, showing that vaccinating children aged 1-11 years required the least number needed to vaccinate. </w:t>
      </w:r>
    </w:p>
    <w:p w14:paraId="4682A544" w14:textId="77777777" w:rsidR="00D963D0" w:rsidRDefault="00D963D0" w:rsidP="00EB3C86">
      <w:pPr>
        <w:spacing w:line="360" w:lineRule="auto"/>
        <w:rPr>
          <w:rFonts w:ascii="Calibri" w:eastAsia="Malgun Gothic" w:hAnsi="Calibri" w:cs="Calibri"/>
          <w:sz w:val="22"/>
          <w:szCs w:val="22"/>
        </w:rPr>
      </w:pPr>
    </w:p>
    <w:p w14:paraId="1D0AFE9E" w14:textId="77777777" w:rsidR="00D963D0" w:rsidRDefault="69685F4B" w:rsidP="00EB3C86">
      <w:pPr>
        <w:spacing w:line="360" w:lineRule="auto"/>
      </w:pPr>
      <w:r w:rsidRPr="36366F4A">
        <w:rPr>
          <w:rFonts w:ascii="Calibri" w:eastAsia="Malgun Gothic" w:hAnsi="Calibri" w:cs="Calibri"/>
          <w:sz w:val="22"/>
          <w:szCs w:val="22"/>
        </w:rPr>
        <w:t>Our results underscore the importance of continued post-authorisation surveillance to refine benefit-risk assessments, particularly in older adults and other vulnerable populations with comorbidities. In this analysis, we used data from US Vaccine Adverse Event Reporting System (VAERS) to approximate vaccine-associated risks of death and hospitalisations out of 51,394 vaccinated individuals globally, of whom 36% were aged 65 years and olde</w:t>
      </w:r>
      <w:commentRangeStart w:id="33"/>
      <w:r w:rsidRPr="36366F4A">
        <w:rPr>
          <w:rFonts w:ascii="Calibri" w:eastAsia="Malgun Gothic" w:hAnsi="Calibri" w:cs="Calibri"/>
          <w:sz w:val="22"/>
          <w:szCs w:val="22"/>
        </w:rPr>
        <w:t>r</w:t>
      </w:r>
      <w:commentRangeEnd w:id="33"/>
      <w:r w:rsidRPr="36366F4A">
        <w:rPr>
          <w:rStyle w:val="CommentReference"/>
          <w:rFonts w:ascii="Calibri" w:eastAsia="Malgun Gothic" w:hAnsi="Calibri" w:cs="Calibri"/>
          <w:sz w:val="22"/>
          <w:szCs w:val="22"/>
        </w:rPr>
        <w:commentReference w:id="33"/>
      </w:r>
      <w:r w:rsidRPr="36366F4A">
        <w:rPr>
          <w:rFonts w:ascii="Calibri" w:eastAsia="Malgun Gothic" w:hAnsi="Calibri" w:cs="Calibri"/>
          <w:sz w:val="22"/>
          <w:szCs w:val="22"/>
        </w:rPr>
        <w:t xml:space="preserve">. As more real-world data to refine vaccine associated adverse event rates become available, the vaccine associated risks for adverse events across different age groups should be updated to inform better assessment of benefit-risk of Ixchiq.  </w:t>
      </w:r>
    </w:p>
    <w:p w14:paraId="49E93618" w14:textId="20B37021" w:rsidR="69685F4B" w:rsidRDefault="69685F4B" w:rsidP="69685F4B">
      <w:pPr>
        <w:spacing w:line="360" w:lineRule="auto"/>
        <w:rPr>
          <w:rFonts w:ascii="Calibri" w:eastAsia="Malgun Gothic" w:hAnsi="Calibri" w:cs="Calibri"/>
          <w:sz w:val="22"/>
          <w:szCs w:val="22"/>
        </w:rPr>
      </w:pPr>
    </w:p>
    <w:p w14:paraId="16DEE6EB" w14:textId="45A4993F" w:rsidR="69685F4B" w:rsidRDefault="69685F4B" w:rsidP="00C33A29">
      <w:pPr>
        <w:spacing w:line="300" w:lineRule="auto"/>
        <w:rPr>
          <w:rFonts w:ascii="Segoe UI" w:eastAsia="Segoe UI" w:hAnsi="Segoe UI" w:cs="Segoe UI"/>
          <w:color w:val="000000" w:themeColor="text1"/>
          <w:sz w:val="21"/>
          <w:szCs w:val="21"/>
        </w:rPr>
      </w:pPr>
      <w:r w:rsidRPr="36366F4A">
        <w:rPr>
          <w:rFonts w:ascii="Segoe UI" w:eastAsia="Segoe UI" w:hAnsi="Segoe UI" w:cs="Segoe UI"/>
          <w:color w:val="000000" w:themeColor="text1"/>
          <w:sz w:val="21"/>
          <w:szCs w:val="21"/>
        </w:rPr>
        <w:t xml:space="preserve">These findings are relevant to groups making time-sensitive vaccination decisions under uncertainty, including national immunisation advisory bodies, outbreak incident management teams, and travel medicine providers. </w:t>
      </w:r>
      <w:commentRangeStart w:id="34"/>
      <w:commentRangeStart w:id="35"/>
      <w:r w:rsidRPr="36366F4A">
        <w:rPr>
          <w:rFonts w:ascii="Segoe UI" w:eastAsia="Segoe UI" w:hAnsi="Segoe UI" w:cs="Segoe UI"/>
          <w:color w:val="000000" w:themeColor="text1"/>
          <w:sz w:val="21"/>
          <w:szCs w:val="21"/>
        </w:rPr>
        <w:t>The results support a move away from uniform recommendations towards context-specific guidance that accounts for exposure duration, outbreak intensity, and age group.</w:t>
      </w:r>
      <w:commentRangeEnd w:id="34"/>
      <w:r>
        <w:rPr>
          <w:rStyle w:val="CommentReference"/>
          <w:rFonts w:ascii="Segoe UI" w:eastAsia="Segoe UI" w:hAnsi="Segoe UI" w:cs="Segoe UI"/>
          <w:color w:val="000000" w:themeColor="text1"/>
          <w:sz w:val="21"/>
          <w:szCs w:val="21"/>
        </w:rPr>
        <w:commentReference w:id="34"/>
      </w:r>
      <w:commentRangeEnd w:id="35"/>
      <w:r>
        <w:rPr>
          <w:rStyle w:val="CommentReference"/>
          <w:rFonts w:ascii="Segoe UI" w:eastAsia="Segoe UI" w:hAnsi="Segoe UI" w:cs="Segoe UI"/>
          <w:color w:val="000000" w:themeColor="text1"/>
          <w:sz w:val="21"/>
          <w:szCs w:val="21"/>
        </w:rPr>
        <w:commentReference w:id="35"/>
      </w:r>
    </w:p>
    <w:p w14:paraId="4A135C39" w14:textId="104DF106" w:rsidR="69685F4B" w:rsidRDefault="69685F4B" w:rsidP="69685F4B">
      <w:pPr>
        <w:spacing w:line="360" w:lineRule="auto"/>
        <w:rPr>
          <w:rFonts w:ascii="Calibri" w:eastAsia="Malgun Gothic" w:hAnsi="Calibri" w:cs="Calibri"/>
          <w:sz w:val="22"/>
          <w:szCs w:val="22"/>
        </w:rPr>
      </w:pPr>
    </w:p>
    <w:p w14:paraId="49D6AFDE" w14:textId="77777777" w:rsidR="00D963D0" w:rsidRDefault="00D963D0" w:rsidP="00EB3C86">
      <w:pPr>
        <w:spacing w:line="360" w:lineRule="auto"/>
        <w:rPr>
          <w:rFonts w:ascii="Calibri" w:eastAsia="Malgun Gothic" w:hAnsi="Calibri" w:cs="Calibri"/>
          <w:sz w:val="22"/>
          <w:szCs w:val="22"/>
        </w:rPr>
      </w:pPr>
    </w:p>
    <w:p w14:paraId="4C25A187" w14:textId="27BFA931" w:rsidR="00D963D0" w:rsidRDefault="69685F4B" w:rsidP="00EB3C86">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Our analysis has </w:t>
      </w:r>
      <w:commentRangeStart w:id="36"/>
      <w:r w:rsidRPr="69685F4B">
        <w:rPr>
          <w:rFonts w:ascii="Calibri" w:eastAsia="Malgun Gothic" w:hAnsi="Calibri" w:cs="Calibri"/>
          <w:sz w:val="22"/>
          <w:szCs w:val="22"/>
        </w:rPr>
        <w:t>some limitations</w:t>
      </w:r>
      <w:commentRangeEnd w:id="36"/>
      <w:r w:rsidR="00D963D0" w:rsidRPr="69685F4B">
        <w:rPr>
          <w:rStyle w:val="CommentReference"/>
          <w:rFonts w:ascii="Calibri" w:eastAsia="Malgun Gothic" w:hAnsi="Calibri" w:cs="Calibri"/>
          <w:sz w:val="22"/>
          <w:szCs w:val="22"/>
        </w:rPr>
        <w:commentReference w:id="36"/>
      </w:r>
      <w:r w:rsidRPr="69685F4B">
        <w:rPr>
          <w:rFonts w:ascii="Calibri" w:eastAsia="Malgun Gothic" w:hAnsi="Calibri" w:cs="Calibri"/>
          <w:sz w:val="22"/>
          <w:szCs w:val="22"/>
        </w:rPr>
        <w:t>. We did not incorporate underlying comorbidities, which may modify the current benefit-risk profiles when comorbidities are considered. Future studies should estimate vaccine-associated adverse event risks separately for individuals with specific comorbidities to assess whether benefit-risk profiles differ from those observed in otherwise healthy populations. Second, for the traveller vaccination scenario, we converted annual force of infection into daily force of infection using epidemiological information from the recent outbreak in La Réunion, including outbreak duration and epidemic peak. While this approach provides a plausible approximation of short-term exposure, outbreak characteristics vary substantially across settings. Future work could refine these estimates by deriving setting-specific daily force of infection from local surveillance data.</w:t>
      </w:r>
    </w:p>
    <w:p w14:paraId="5AB295A1" w14:textId="77777777" w:rsidR="00D963D0" w:rsidRDefault="00D963D0" w:rsidP="00EB3C86">
      <w:pPr>
        <w:spacing w:line="360" w:lineRule="auto"/>
        <w:rPr>
          <w:rFonts w:ascii="Calibri" w:eastAsia="Malgun Gothic" w:hAnsi="Calibri" w:cs="Calibri"/>
          <w:sz w:val="22"/>
          <w:szCs w:val="22"/>
        </w:rPr>
      </w:pPr>
    </w:p>
    <w:p w14:paraId="1023164F" w14:textId="5E798DAD" w:rsidR="00D963D0" w:rsidRDefault="69685F4B" w:rsidP="00EB3C86">
      <w:pPr>
        <w:spacing w:line="360" w:lineRule="auto"/>
      </w:pPr>
      <w:r w:rsidRPr="36366F4A">
        <w:rPr>
          <w:rFonts w:ascii="Calibri" w:eastAsia="Malgun Gothic" w:hAnsi="Calibri" w:cs="Calibri"/>
          <w:sz w:val="22"/>
          <w:szCs w:val="22"/>
        </w:rPr>
        <w:t xml:space="preserve"> In the setting of accelerated approval and evolving safety signals, scenario-based benefit–risk assessment is essential for chikungunya vaccination decisions. Our study presents a series of scenario-based benefit-risk assessments across distinct vaccine use cases, age groups, and outbreak conditions showing that Ixchiq use should be selective and situation-dependent. In the absence of true efficacy estimates and with limited post-authorisation safety data across age groups, the benefit-risk profile of Ixchiq vaccination remains highly context dependent. For travellers, </w:t>
      </w:r>
      <w:r w:rsidR="0B4E188E" w:rsidRPr="36366F4A">
        <w:rPr>
          <w:rFonts w:ascii="Calibri" w:eastAsia="Malgun Gothic" w:hAnsi="Calibri" w:cs="Calibri"/>
          <w:sz w:val="22"/>
          <w:szCs w:val="22"/>
        </w:rPr>
        <w:t xml:space="preserve">the decision to </w:t>
      </w:r>
      <w:r w:rsidRPr="36366F4A">
        <w:rPr>
          <w:rFonts w:ascii="Calibri" w:eastAsia="Malgun Gothic" w:hAnsi="Calibri" w:cs="Calibri"/>
          <w:sz w:val="22"/>
          <w:szCs w:val="22"/>
        </w:rPr>
        <w:t>vaccinat</w:t>
      </w:r>
      <w:r w:rsidR="65EF1698" w:rsidRPr="36366F4A">
        <w:rPr>
          <w:rFonts w:ascii="Calibri" w:eastAsia="Malgun Gothic" w:hAnsi="Calibri" w:cs="Calibri"/>
          <w:sz w:val="22"/>
          <w:szCs w:val="22"/>
        </w:rPr>
        <w:t>e</w:t>
      </w:r>
      <w:r w:rsidRPr="36366F4A">
        <w:rPr>
          <w:rFonts w:ascii="Calibri" w:eastAsia="Malgun Gothic" w:hAnsi="Calibri" w:cs="Calibri"/>
          <w:sz w:val="22"/>
          <w:szCs w:val="22"/>
        </w:rPr>
        <w:t xml:space="preserve"> should account for travel duration and outbreak size, and age, whereas for outbreak response immunisation, prioritising younger age groups would maximise public health benefit. As real-world post-authorisation data accumulates, our modelling approaches can be updated and adapted with refined vaccine associated risk information to provide evidence-based chikungunya vaccination policy across various epidemiological settings </w:t>
      </w:r>
      <w:hyperlink r:id="rId32">
        <w:r w:rsidRPr="36366F4A">
          <w:rPr>
            <w:rFonts w:ascii="Calibri" w:hAnsi="Calibri" w:cs="Calibri"/>
            <w:sz w:val="22"/>
            <w:szCs w:val="22"/>
          </w:rPr>
          <w:t>[27]</w:t>
        </w:r>
      </w:hyperlink>
      <w:r w:rsidRPr="36366F4A">
        <w:rPr>
          <w:rFonts w:ascii="Calibri" w:eastAsia="Malgun Gothic" w:hAnsi="Calibri" w:cs="Calibri"/>
          <w:sz w:val="22"/>
          <w:szCs w:val="22"/>
        </w:rPr>
        <w:t>. Our approach offers a decision-ready template for revising guidance as real-world safety and effectiveness data expand.</w:t>
      </w:r>
    </w:p>
    <w:p w14:paraId="2D1B9FDB" w14:textId="77777777" w:rsidR="00D963D0" w:rsidRPr="00AB70E2" w:rsidRDefault="00D963D0" w:rsidP="00EB3C86">
      <w:pPr>
        <w:pStyle w:val="ListParagraph"/>
        <w:spacing w:line="360" w:lineRule="auto"/>
        <w:rPr>
          <w:rStyle w:val="IntenseEmphasis"/>
          <w:rFonts w:eastAsia="Malgun Gothic"/>
        </w:rPr>
        <w:sectPr w:rsidR="00D963D0" w:rsidRPr="00AB70E2" w:rsidSect="00D963D0">
          <w:pgSz w:w="11906" w:h="16838"/>
          <w:pgMar w:top="1440" w:right="1440" w:bottom="1440" w:left="1440" w:header="706" w:footer="706" w:gutter="0"/>
          <w:lnNumType w:countBy="5" w:restart="continuous"/>
          <w:cols w:space="708"/>
          <w:docGrid w:linePitch="360"/>
        </w:sectPr>
      </w:pPr>
    </w:p>
    <w:p w14:paraId="44DA5462" w14:textId="0B778B34" w:rsidR="00D963D0" w:rsidRPr="00D963D0" w:rsidRDefault="00D963D0" w:rsidP="00D963D0">
      <w:pPr>
        <w:spacing w:line="360" w:lineRule="auto"/>
        <w:rPr>
          <w:rFonts w:ascii="Calibri" w:eastAsia="Malgun Gothic" w:hAnsi="Calibri"/>
          <w:iCs/>
          <w:color w:val="0F4761" w:themeColor="accent1" w:themeShade="BF"/>
          <w:sz w:val="22"/>
        </w:rPr>
      </w:pPr>
      <w:r w:rsidRPr="004B3947">
        <w:rPr>
          <w:rStyle w:val="IntenseEmphasis"/>
        </w:rPr>
        <w:t>References</w:t>
      </w:r>
    </w:p>
    <w:p w14:paraId="06E40E7E" w14:textId="77777777" w:rsidR="00D963D0" w:rsidRPr="00D963D0" w:rsidRDefault="00D963D0" w:rsidP="00D963D0">
      <w:pPr>
        <w:pStyle w:val="NormalWeb"/>
        <w:spacing w:afterLines="100" w:after="240" w:line="220" w:lineRule="auto"/>
        <w:ind w:left="640" w:hanging="640"/>
        <w:rPr>
          <w:rFonts w:ascii="Calibri" w:eastAsiaTheme="minorEastAsia" w:hAnsi="Calibri" w:cs="Calibri"/>
          <w:color w:val="000000"/>
          <w:sz w:val="22"/>
        </w:rPr>
      </w:pPr>
      <w:hyperlink r:id="rId33" w:history="1">
        <w:r w:rsidRPr="00D963D0">
          <w:rPr>
            <w:rStyle w:val="csl-left-margin"/>
            <w:rFonts w:ascii="Calibri" w:eastAsiaTheme="majorEastAsia" w:hAnsi="Calibri" w:cs="Calibri"/>
            <w:color w:val="000000"/>
            <w:sz w:val="22"/>
          </w:rPr>
          <w:t>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Bartholomeeusen K, Daniel M, LaBeaud DA,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Chikungunya fever. </w:t>
        </w:r>
        <w:r w:rsidRPr="00D963D0">
          <w:rPr>
            <w:rStyle w:val="csl-right-inline"/>
            <w:rFonts w:ascii="Calibri" w:eastAsiaTheme="majorEastAsia" w:hAnsi="Calibri" w:cs="Calibri"/>
            <w:i/>
            <w:iCs/>
            <w:color w:val="000000"/>
            <w:sz w:val="22"/>
          </w:rPr>
          <w:t>Nat Rev Dis Primers</w:t>
        </w:r>
        <w:r w:rsidRPr="00D963D0">
          <w:rPr>
            <w:rStyle w:val="csl-right-inline"/>
            <w:rFonts w:ascii="Calibri" w:eastAsiaTheme="majorEastAsia" w:hAnsi="Calibri" w:cs="Calibri"/>
            <w:color w:val="000000"/>
            <w:sz w:val="22"/>
          </w:rPr>
          <w:t xml:space="preserve"> 2023;</w:t>
        </w:r>
        <w:r w:rsidRPr="00D963D0">
          <w:rPr>
            <w:rStyle w:val="csl-right-inline"/>
            <w:rFonts w:ascii="Calibri" w:eastAsiaTheme="majorEastAsia" w:hAnsi="Calibri" w:cs="Calibri"/>
            <w:b/>
            <w:bCs/>
            <w:color w:val="000000"/>
            <w:sz w:val="22"/>
          </w:rPr>
          <w:t>9</w:t>
        </w:r>
        <w:r w:rsidRPr="00D963D0">
          <w:rPr>
            <w:rStyle w:val="csl-right-inline"/>
            <w:rFonts w:ascii="Calibri" w:eastAsiaTheme="majorEastAsia" w:hAnsi="Calibri" w:cs="Calibri"/>
            <w:color w:val="000000"/>
            <w:sz w:val="22"/>
          </w:rPr>
          <w:t>:17. doi:10.1038/s41572-023-00429-2</w:t>
        </w:r>
      </w:hyperlink>
    </w:p>
    <w:p w14:paraId="760CB7E9"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4" w:history="1">
        <w:r w:rsidRPr="00D963D0">
          <w:rPr>
            <w:rStyle w:val="csl-left-margin"/>
            <w:rFonts w:ascii="Calibri" w:eastAsiaTheme="majorEastAsia" w:hAnsi="Calibri" w:cs="Calibri"/>
            <w:color w:val="000000"/>
            <w:sz w:val="22"/>
          </w:rPr>
          <w:t>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Kang H, Auzenbergs M, Clapham H,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Chikungunya seroprevalence, force of infection, and prevalence of chronic disability after infection in endemic and epidemic settings: a systematic review, meta-analysis, and modelling study.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2024;</w:t>
        </w:r>
        <w:r w:rsidRPr="00D963D0">
          <w:rPr>
            <w:rStyle w:val="csl-right-inline"/>
            <w:rFonts w:ascii="Calibri" w:eastAsiaTheme="majorEastAsia" w:hAnsi="Calibri" w:cs="Calibri"/>
            <w:b/>
            <w:bCs/>
            <w:color w:val="000000"/>
            <w:sz w:val="22"/>
          </w:rPr>
          <w:t>24</w:t>
        </w:r>
        <w:r w:rsidRPr="00D963D0">
          <w:rPr>
            <w:rStyle w:val="csl-right-inline"/>
            <w:rFonts w:ascii="Calibri" w:eastAsiaTheme="majorEastAsia" w:hAnsi="Calibri" w:cs="Calibri"/>
            <w:color w:val="000000"/>
            <w:sz w:val="22"/>
          </w:rPr>
          <w:t>:488–503. doi:10.1016/S1473-3099(23)00810-1</w:t>
        </w:r>
      </w:hyperlink>
    </w:p>
    <w:p w14:paraId="60F85210"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5" w:history="1">
        <w:r w:rsidRPr="00D963D0">
          <w:rPr>
            <w:rStyle w:val="csl-left-margin"/>
            <w:rFonts w:ascii="Calibri" w:eastAsiaTheme="majorEastAsia" w:hAnsi="Calibri" w:cs="Calibri"/>
            <w:color w:val="000000"/>
            <w:sz w:val="22"/>
          </w:rPr>
          <w:t>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O’Driscoll M, Salje H, Chang AY,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Arthralgia resolution rate following chikungunya virus infection. </w:t>
        </w:r>
        <w:r w:rsidRPr="00D963D0">
          <w:rPr>
            <w:rStyle w:val="csl-right-inline"/>
            <w:rFonts w:ascii="Calibri" w:eastAsiaTheme="majorEastAsia" w:hAnsi="Calibri" w:cs="Calibri"/>
            <w:i/>
            <w:iCs/>
            <w:color w:val="000000"/>
            <w:sz w:val="22"/>
          </w:rPr>
          <w:t>Int J Infect Dis</w:t>
        </w:r>
        <w:r w:rsidRPr="00D963D0">
          <w:rPr>
            <w:rStyle w:val="csl-right-inline"/>
            <w:rFonts w:ascii="Calibri" w:eastAsiaTheme="majorEastAsia" w:hAnsi="Calibri" w:cs="Calibri"/>
            <w:color w:val="000000"/>
            <w:sz w:val="22"/>
          </w:rPr>
          <w:t xml:space="preserve"> 2021;</w:t>
        </w:r>
        <w:r w:rsidRPr="00D963D0">
          <w:rPr>
            <w:rStyle w:val="csl-right-inline"/>
            <w:rFonts w:ascii="Calibri" w:eastAsiaTheme="majorEastAsia" w:hAnsi="Calibri" w:cs="Calibri"/>
            <w:b/>
            <w:bCs/>
            <w:color w:val="000000"/>
            <w:sz w:val="22"/>
          </w:rPr>
          <w:t>112</w:t>
        </w:r>
        <w:r w:rsidRPr="00D963D0">
          <w:rPr>
            <w:rStyle w:val="csl-right-inline"/>
            <w:rFonts w:ascii="Calibri" w:eastAsiaTheme="majorEastAsia" w:hAnsi="Calibri" w:cs="Calibri"/>
            <w:color w:val="000000"/>
            <w:sz w:val="22"/>
          </w:rPr>
          <w:t>:1–7. doi:10.1016/j.ijid.2021.08.066</w:t>
        </w:r>
      </w:hyperlink>
    </w:p>
    <w:p w14:paraId="317129B9"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6" w:history="1">
        <w:r w:rsidRPr="00D963D0">
          <w:rPr>
            <w:rStyle w:val="csl-left-margin"/>
            <w:rFonts w:ascii="Calibri" w:eastAsiaTheme="majorEastAsia" w:hAnsi="Calibri" w:cs="Calibri"/>
            <w:color w:val="000000"/>
            <w:sz w:val="22"/>
          </w:rPr>
          <w:t>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Nyamwaya DK, Otiende M, Mwango L,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Incidence of chikungunya virus infections among Kenyan children with neurological disease, 2014-2018: A cohort study. </w:t>
        </w:r>
        <w:r w:rsidRPr="00D963D0">
          <w:rPr>
            <w:rStyle w:val="csl-right-inline"/>
            <w:rFonts w:ascii="Calibri" w:eastAsiaTheme="majorEastAsia" w:hAnsi="Calibri" w:cs="Calibri"/>
            <w:i/>
            <w:iCs/>
            <w:color w:val="000000"/>
            <w:sz w:val="22"/>
          </w:rPr>
          <w:t>PLoS Med</w:t>
        </w:r>
        <w:r w:rsidRPr="00D963D0">
          <w:rPr>
            <w:rStyle w:val="csl-right-inline"/>
            <w:rFonts w:ascii="Calibri" w:eastAsiaTheme="majorEastAsia" w:hAnsi="Calibri" w:cs="Calibri"/>
            <w:color w:val="000000"/>
            <w:sz w:val="22"/>
          </w:rPr>
          <w:t xml:space="preserve"> 2022;</w:t>
        </w:r>
        <w:r w:rsidRPr="00D963D0">
          <w:rPr>
            <w:rStyle w:val="csl-right-inline"/>
            <w:rFonts w:ascii="Calibri" w:eastAsiaTheme="majorEastAsia" w:hAnsi="Calibri" w:cs="Calibri"/>
            <w:b/>
            <w:bCs/>
            <w:color w:val="000000"/>
            <w:sz w:val="22"/>
          </w:rPr>
          <w:t>19</w:t>
        </w:r>
        <w:r w:rsidRPr="00D963D0">
          <w:rPr>
            <w:rStyle w:val="csl-right-inline"/>
            <w:rFonts w:ascii="Calibri" w:eastAsiaTheme="majorEastAsia" w:hAnsi="Calibri" w:cs="Calibri"/>
            <w:color w:val="000000"/>
            <w:sz w:val="22"/>
          </w:rPr>
          <w:t>:e1003994. doi:10.1371/journal.pmed.1003994</w:t>
        </w:r>
      </w:hyperlink>
    </w:p>
    <w:p w14:paraId="5D5A65FD"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7" w:history="1">
        <w:r w:rsidRPr="00D963D0">
          <w:rPr>
            <w:rStyle w:val="csl-left-margin"/>
            <w:rFonts w:ascii="Calibri" w:eastAsiaTheme="majorEastAsia" w:hAnsi="Calibri" w:cs="Calibri"/>
            <w:color w:val="000000"/>
            <w:sz w:val="22"/>
          </w:rPr>
          <w:t>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F D A. FDA Approves First Vaccine to Prevent Disease Caused by Chikungunya Virus | FDA. 2023.https://www.fda.gov/news-events/press-announcements/fda-approves-first-vaccine-prevent-disease-caused-chikungunya-virus (accessed 16 Nov2023).</w:t>
        </w:r>
      </w:hyperlink>
    </w:p>
    <w:p w14:paraId="70077532"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8" w:history="1">
        <w:r w:rsidRPr="00D963D0">
          <w:rPr>
            <w:rStyle w:val="csl-left-margin"/>
            <w:rFonts w:ascii="Calibri" w:eastAsiaTheme="majorEastAsia" w:hAnsi="Calibri" w:cs="Calibri"/>
            <w:color w:val="000000"/>
            <w:sz w:val="22"/>
          </w:rPr>
          <w:t>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Food and Drug Administration. ACCELERATED APPROVAL REQUIREMENTS. 2025.</w:t>
        </w:r>
      </w:hyperlink>
    </w:p>
    <w:p w14:paraId="6927FAA5"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39" w:history="1">
        <w:r w:rsidRPr="00D963D0">
          <w:rPr>
            <w:rStyle w:val="csl-left-margin"/>
            <w:rFonts w:ascii="Calibri" w:eastAsiaTheme="majorEastAsia" w:hAnsi="Calibri" w:cs="Calibri"/>
            <w:color w:val="000000"/>
            <w:sz w:val="22"/>
          </w:rPr>
          <w:t>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Weber WC, Streblow DN, Coffey LL. Chikungunya Virus Vaccines: A Review of IXCHIQ and PXVX0317 from Pre-Clinical Evaluation to Licensure. </w:t>
        </w:r>
        <w:r w:rsidRPr="00D963D0">
          <w:rPr>
            <w:rStyle w:val="csl-right-inline"/>
            <w:rFonts w:ascii="Calibri" w:eastAsiaTheme="majorEastAsia" w:hAnsi="Calibri" w:cs="Calibri"/>
            <w:i/>
            <w:iCs/>
            <w:color w:val="000000"/>
            <w:sz w:val="22"/>
          </w:rPr>
          <w:t>BioDrugs</w:t>
        </w:r>
        <w:r w:rsidRPr="00D963D0">
          <w:rPr>
            <w:rStyle w:val="csl-right-inline"/>
            <w:rFonts w:ascii="Calibri" w:eastAsiaTheme="majorEastAsia" w:hAnsi="Calibri" w:cs="Calibri"/>
            <w:color w:val="000000"/>
            <w:sz w:val="22"/>
          </w:rPr>
          <w:t xml:space="preserve"> 2024;</w:t>
        </w:r>
        <w:r w:rsidRPr="00D963D0">
          <w:rPr>
            <w:rStyle w:val="csl-right-inline"/>
            <w:rFonts w:ascii="Calibri" w:eastAsiaTheme="majorEastAsia" w:hAnsi="Calibri" w:cs="Calibri"/>
            <w:b/>
            <w:bCs/>
            <w:color w:val="000000"/>
            <w:sz w:val="22"/>
          </w:rPr>
          <w:t>38</w:t>
        </w:r>
        <w:r w:rsidRPr="00D963D0">
          <w:rPr>
            <w:rStyle w:val="csl-right-inline"/>
            <w:rFonts w:ascii="Calibri" w:eastAsiaTheme="majorEastAsia" w:hAnsi="Calibri" w:cs="Calibri"/>
            <w:color w:val="000000"/>
            <w:sz w:val="22"/>
          </w:rPr>
          <w:t>:727–42. doi:10.1007/s40259-024-00677-y</w:t>
        </w:r>
      </w:hyperlink>
    </w:p>
    <w:p w14:paraId="3DC772F8"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0" w:history="1">
        <w:r w:rsidRPr="00D963D0">
          <w:rPr>
            <w:rStyle w:val="csl-left-margin"/>
            <w:rFonts w:ascii="Calibri" w:eastAsiaTheme="majorEastAsia" w:hAnsi="Calibri" w:cs="Calibri"/>
            <w:color w:val="000000"/>
            <w:sz w:val="22"/>
          </w:rPr>
          <w:t>8  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Auzenbergs M, Maure C, Kang H,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Programmatic considerations and evidence gaps for chikungunya vaccine introduction in countries at risk of chikungunya outbreaks: Stakeholder analysis. </w:t>
        </w:r>
        <w:r w:rsidRPr="00D963D0">
          <w:rPr>
            <w:rStyle w:val="csl-right-inline"/>
            <w:rFonts w:ascii="Calibri" w:eastAsiaTheme="majorEastAsia" w:hAnsi="Calibri" w:cs="Calibri"/>
            <w:i/>
            <w:iCs/>
            <w:color w:val="000000"/>
            <w:sz w:val="22"/>
          </w:rPr>
          <w:t>PLoS Negl Trop Dis</w:t>
        </w:r>
        <w:r w:rsidRPr="00D963D0">
          <w:rPr>
            <w:rStyle w:val="csl-right-inline"/>
            <w:rFonts w:ascii="Calibri" w:eastAsiaTheme="majorEastAsia" w:hAnsi="Calibri" w:cs="Calibri"/>
            <w:color w:val="000000"/>
            <w:sz w:val="22"/>
          </w:rPr>
          <w:t xml:space="preserve"> 2024;</w:t>
        </w:r>
        <w:r w:rsidRPr="00D963D0">
          <w:rPr>
            <w:rStyle w:val="csl-right-inline"/>
            <w:rFonts w:ascii="Calibri" w:eastAsiaTheme="majorEastAsia" w:hAnsi="Calibri" w:cs="Calibri"/>
            <w:b/>
            <w:bCs/>
            <w:color w:val="000000"/>
            <w:sz w:val="22"/>
          </w:rPr>
          <w:t>18</w:t>
        </w:r>
        <w:r w:rsidRPr="00D963D0">
          <w:rPr>
            <w:rStyle w:val="csl-right-inline"/>
            <w:rFonts w:ascii="Calibri" w:eastAsiaTheme="majorEastAsia" w:hAnsi="Calibri" w:cs="Calibri"/>
            <w:color w:val="000000"/>
            <w:sz w:val="22"/>
          </w:rPr>
          <w:t>:e0012075. doi:10.1371/journal.pntd.0012075</w:t>
        </w:r>
      </w:hyperlink>
    </w:p>
    <w:p w14:paraId="27926492"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1" w:history="1">
        <w:r w:rsidRPr="00D963D0">
          <w:rPr>
            <w:rStyle w:val="csl-left-margin"/>
            <w:rFonts w:ascii="Calibri" w:eastAsiaTheme="majorEastAsia" w:hAnsi="Calibri" w:cs="Calibri"/>
            <w:color w:val="000000"/>
            <w:sz w:val="22"/>
          </w:rPr>
          <w:t>9  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McMahon R, Toepfer S, Sattler N,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Antibody persistence and safety of a live-attenuated chikungunya virus vaccine up to 2 years after single-dose administration in adults in the USA: a single-arm, multicentre, phase 3b study.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Published Online First: 12 August 2024. doi:10.1016/S1473-3099(24)00357-8</w:t>
        </w:r>
      </w:hyperlink>
    </w:p>
    <w:p w14:paraId="3628EBAA"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2" w:history="1">
        <w:r w:rsidRPr="00D963D0">
          <w:rPr>
            <w:rStyle w:val="csl-left-margin"/>
            <w:rFonts w:ascii="Calibri" w:eastAsiaTheme="majorEastAsia" w:hAnsi="Calibri" w:cs="Calibri"/>
            <w:color w:val="000000"/>
            <w:sz w:val="22"/>
          </w:rPr>
          <w:t>10  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Buerger V, Pfeiffer A, Schoengrundner P,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Safety and immunogenicity of a live-attenuated chikungunya virus vaccine in adolescents: final results from a 12-month, double-blind, randomised, placebo-controlled, phase 3 trial in endemic areas of Brazil.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Published Online First: 8 December 2025. doi:10.1016/S1473-3099(25)00631-0</w:t>
        </w:r>
      </w:hyperlink>
    </w:p>
    <w:p w14:paraId="5AE59C31"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3" w:history="1">
        <w:r w:rsidRPr="007D2433">
          <w:rPr>
            <w:rStyle w:val="csl-left-margin"/>
            <w:rFonts w:ascii="Calibri" w:eastAsiaTheme="majorEastAsia" w:hAnsi="Calibri" w:cs="Calibri"/>
            <w:color w:val="000000"/>
            <w:sz w:val="22"/>
            <w:lang w:val="pt-BR"/>
          </w:rPr>
          <w:t>11  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7D2433">
          <w:rPr>
            <w:rStyle w:val="csl-right-inline"/>
            <w:rFonts w:ascii="Calibri" w:eastAsiaTheme="majorEastAsia" w:hAnsi="Calibri" w:cs="Calibri"/>
            <w:color w:val="000000"/>
            <w:sz w:val="22"/>
            <w:lang w:val="pt-BR"/>
          </w:rPr>
          <w:t xml:space="preserve">Schneider M, Narciso-Abraham M, Hadl S, </w:t>
        </w:r>
        <w:r w:rsidRPr="007D2433">
          <w:rPr>
            <w:rStyle w:val="csl-right-inline"/>
            <w:rFonts w:ascii="Calibri" w:eastAsiaTheme="majorEastAsia" w:hAnsi="Calibri" w:cs="Calibri"/>
            <w:i/>
            <w:iCs/>
            <w:color w:val="000000"/>
            <w:sz w:val="22"/>
            <w:lang w:val="pt-BR"/>
          </w:rPr>
          <w:t>et al.</w:t>
        </w:r>
        <w:r w:rsidRPr="007D2433">
          <w:rPr>
            <w:rStyle w:val="csl-right-inline"/>
            <w:rFonts w:ascii="Calibri" w:eastAsiaTheme="majorEastAsia" w:hAnsi="Calibri" w:cs="Calibri"/>
            <w:color w:val="000000"/>
            <w:sz w:val="22"/>
            <w:lang w:val="pt-BR"/>
          </w:rPr>
          <w:t xml:space="preserve"> </w:t>
        </w:r>
        <w:r w:rsidRPr="00D963D0">
          <w:rPr>
            <w:rStyle w:val="csl-right-inline"/>
            <w:rFonts w:ascii="Calibri" w:eastAsiaTheme="majorEastAsia" w:hAnsi="Calibri" w:cs="Calibri"/>
            <w:color w:val="000000"/>
            <w:sz w:val="22"/>
          </w:rPr>
          <w:t xml:space="preserve">Safety and immunogenicity of a single-shot live-attenuated chikungunya vaccine: a double-blind, multicentre, randomised, placebo-controlled, phase 3 trial. </w:t>
        </w:r>
        <w:r w:rsidRPr="00D963D0">
          <w:rPr>
            <w:rStyle w:val="csl-right-inline"/>
            <w:rFonts w:ascii="Calibri" w:eastAsiaTheme="majorEastAsia" w:hAnsi="Calibri" w:cs="Calibri"/>
            <w:i/>
            <w:iCs/>
            <w:color w:val="000000"/>
            <w:sz w:val="22"/>
          </w:rPr>
          <w:t>Lancet</w:t>
        </w:r>
        <w:r w:rsidRPr="00D963D0">
          <w:rPr>
            <w:rStyle w:val="csl-right-inline"/>
            <w:rFonts w:ascii="Calibri" w:eastAsiaTheme="majorEastAsia" w:hAnsi="Calibri" w:cs="Calibri"/>
            <w:color w:val="000000"/>
            <w:sz w:val="22"/>
          </w:rPr>
          <w:t xml:space="preserve"> 2023;</w:t>
        </w:r>
        <w:r w:rsidRPr="00D963D0">
          <w:rPr>
            <w:rStyle w:val="csl-right-inline"/>
            <w:rFonts w:ascii="Calibri" w:eastAsiaTheme="majorEastAsia" w:hAnsi="Calibri" w:cs="Calibri"/>
            <w:b/>
            <w:bCs/>
            <w:color w:val="000000"/>
            <w:sz w:val="22"/>
          </w:rPr>
          <w:t>401</w:t>
        </w:r>
        <w:r w:rsidRPr="00D963D0">
          <w:rPr>
            <w:rStyle w:val="csl-right-inline"/>
            <w:rFonts w:ascii="Calibri" w:eastAsiaTheme="majorEastAsia" w:hAnsi="Calibri" w:cs="Calibri"/>
            <w:color w:val="000000"/>
            <w:sz w:val="22"/>
          </w:rPr>
          <w:t>:2138–47. doi:10.1016/S0140-6736(23)00641-4</w:t>
        </w:r>
      </w:hyperlink>
    </w:p>
    <w:p w14:paraId="35A5EFEC"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4" w:history="1">
        <w:r w:rsidRPr="00D963D0">
          <w:rPr>
            <w:rStyle w:val="csl-left-margin"/>
            <w:rFonts w:ascii="Calibri" w:eastAsiaTheme="majorEastAsia" w:hAnsi="Calibri" w:cs="Calibri"/>
            <w:color w:val="000000"/>
            <w:sz w:val="22"/>
          </w:rPr>
          <w:t>12  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Valneva. Valneva Provides Update on ACIP Recommendation for its Chikungunya Vaccine IXCHIQ® Among U.S. Travelers - Valneva. 2025.https://valneva.com/press-release/valneva-provides-update-on-acip-recommendation-for-its-chikungunya-vaccine-ixchiq-among-u-s-travelers/ (accessed 20 Jan2026).</w:t>
        </w:r>
      </w:hyperlink>
    </w:p>
    <w:p w14:paraId="39F20EB2"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5" w:history="1">
        <w:r w:rsidRPr="00D963D0">
          <w:rPr>
            <w:rStyle w:val="csl-left-margin"/>
            <w:rFonts w:ascii="Calibri" w:eastAsiaTheme="majorEastAsia" w:hAnsi="Calibri" w:cs="Calibri"/>
            <w:color w:val="000000"/>
            <w:sz w:val="22"/>
          </w:rPr>
          <w:t>13  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Food and Drug Administration. Suspension Memo of Biologics License 1909 - IXCHIQ. 2025.</w:t>
        </w:r>
      </w:hyperlink>
    </w:p>
    <w:p w14:paraId="162A93F7"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6" w:history="1">
        <w:r w:rsidRPr="00D963D0">
          <w:rPr>
            <w:rStyle w:val="csl-left-margin"/>
            <w:rFonts w:ascii="Calibri" w:eastAsiaTheme="majorEastAsia" w:hAnsi="Calibri" w:cs="Calibri"/>
            <w:color w:val="000000"/>
            <w:sz w:val="22"/>
          </w:rPr>
          <w:t>14  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Mosnier E, Jaffar-Bandjee M-C, Cally 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Fatal adverse event after VLA1553 chikungunya vaccination in an elderly patient: A case report from reunion island. </w:t>
        </w:r>
        <w:r w:rsidRPr="00D963D0">
          <w:rPr>
            <w:rStyle w:val="csl-right-inline"/>
            <w:rFonts w:ascii="Calibri" w:eastAsiaTheme="majorEastAsia" w:hAnsi="Calibri" w:cs="Calibri"/>
            <w:i/>
            <w:iCs/>
            <w:color w:val="000000"/>
            <w:sz w:val="22"/>
          </w:rPr>
          <w:t>Open Forum Infect Dis</w:t>
        </w:r>
        <w:r w:rsidRPr="00D963D0">
          <w:rPr>
            <w:rStyle w:val="csl-right-inline"/>
            <w:rFonts w:ascii="Calibri" w:eastAsiaTheme="majorEastAsia" w:hAnsi="Calibri" w:cs="Calibri"/>
            <w:color w:val="000000"/>
            <w:sz w:val="22"/>
          </w:rPr>
          <w:t xml:space="preserve"> 2025;</w:t>
        </w:r>
        <w:r w:rsidRPr="00D963D0">
          <w:rPr>
            <w:rStyle w:val="csl-right-inline"/>
            <w:rFonts w:ascii="Calibri" w:eastAsiaTheme="majorEastAsia" w:hAnsi="Calibri" w:cs="Calibri"/>
            <w:b/>
            <w:bCs/>
            <w:color w:val="000000"/>
            <w:sz w:val="22"/>
          </w:rPr>
          <w:t>12</w:t>
        </w:r>
        <w:r w:rsidRPr="00D963D0">
          <w:rPr>
            <w:rStyle w:val="csl-right-inline"/>
            <w:rFonts w:ascii="Calibri" w:eastAsiaTheme="majorEastAsia" w:hAnsi="Calibri" w:cs="Calibri"/>
            <w:color w:val="000000"/>
            <w:sz w:val="22"/>
          </w:rPr>
          <w:t>:ofaf550. doi:10.1093/ofid/ofaf550</w:t>
        </w:r>
      </w:hyperlink>
    </w:p>
    <w:p w14:paraId="7A7B2146"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7" w:history="1">
        <w:r w:rsidRPr="00D963D0">
          <w:rPr>
            <w:rStyle w:val="csl-left-margin"/>
            <w:rFonts w:ascii="Calibri" w:eastAsiaTheme="majorEastAsia" w:hAnsi="Calibri" w:cs="Calibri"/>
            <w:color w:val="000000"/>
            <w:sz w:val="22"/>
          </w:rPr>
          <w:t>15  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Amanna IJ. Balancing the efficacy and safety of vaccines in the elderly. </w:t>
        </w:r>
        <w:r w:rsidRPr="00D963D0">
          <w:rPr>
            <w:rStyle w:val="csl-right-inline"/>
            <w:rFonts w:ascii="Calibri" w:eastAsiaTheme="majorEastAsia" w:hAnsi="Calibri" w:cs="Calibri"/>
            <w:i/>
            <w:iCs/>
            <w:color w:val="000000"/>
            <w:sz w:val="22"/>
          </w:rPr>
          <w:t>Open Longev Sci</w:t>
        </w:r>
        <w:r w:rsidRPr="00D963D0">
          <w:rPr>
            <w:rStyle w:val="csl-right-inline"/>
            <w:rFonts w:ascii="Calibri" w:eastAsiaTheme="majorEastAsia" w:hAnsi="Calibri" w:cs="Calibri"/>
            <w:color w:val="000000"/>
            <w:sz w:val="22"/>
          </w:rPr>
          <w:t xml:space="preserve"> 2012;</w:t>
        </w:r>
        <w:r w:rsidRPr="00D963D0">
          <w:rPr>
            <w:rStyle w:val="csl-right-inline"/>
            <w:rFonts w:ascii="Calibri" w:eastAsiaTheme="majorEastAsia" w:hAnsi="Calibri" w:cs="Calibri"/>
            <w:b/>
            <w:bCs/>
            <w:color w:val="000000"/>
            <w:sz w:val="22"/>
          </w:rPr>
          <w:t>6</w:t>
        </w:r>
        <w:r w:rsidRPr="00D963D0">
          <w:rPr>
            <w:rStyle w:val="csl-right-inline"/>
            <w:rFonts w:ascii="Calibri" w:eastAsiaTheme="majorEastAsia" w:hAnsi="Calibri" w:cs="Calibri"/>
            <w:color w:val="000000"/>
            <w:sz w:val="22"/>
          </w:rPr>
          <w:t>:64–72. doi:10.2174/1876326X01206010064</w:t>
        </w:r>
      </w:hyperlink>
    </w:p>
    <w:p w14:paraId="60B8839F"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8" w:history="1">
        <w:r w:rsidRPr="00D963D0">
          <w:rPr>
            <w:rStyle w:val="csl-left-margin"/>
            <w:rFonts w:ascii="Calibri" w:eastAsiaTheme="majorEastAsia" w:hAnsi="Calibri" w:cs="Calibri"/>
            <w:color w:val="000000"/>
            <w:sz w:val="22"/>
          </w:rPr>
          <w:t>16  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FDA. FDA Update on the Safety of Ixchiq (Chikungunya Vaccine, Live). FDA Suspends Biologics License: FDA Safety Communication. https://www.fda.gov/safety/medical-product-safety-information/fda-update-safety-ixchiq-chikungunya-vaccine-live-fda-suspends-biologics-license-fda-safety (accessed 24 Oct2025).</w:t>
        </w:r>
      </w:hyperlink>
    </w:p>
    <w:p w14:paraId="219E5B15"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49" w:history="1">
        <w:r w:rsidRPr="00D963D0">
          <w:rPr>
            <w:rStyle w:val="csl-left-margin"/>
            <w:rFonts w:ascii="Calibri" w:eastAsiaTheme="majorEastAsia" w:hAnsi="Calibri" w:cs="Calibri"/>
            <w:color w:val="000000"/>
            <w:sz w:val="22"/>
          </w:rPr>
          <w:t>17  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Government of Canada. Recommendations for the use of chikungunya live attenuated vaccine (IXCHIQ). 2025.https://www.canada.ca/en/public-health/services/catmat/recommendations-use-chikungunya-vaccine.html (accessed 20 Jan2026).</w:t>
        </w:r>
      </w:hyperlink>
    </w:p>
    <w:p w14:paraId="5318F2D2"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0" w:history="1">
        <w:r w:rsidRPr="00D963D0">
          <w:rPr>
            <w:rStyle w:val="csl-left-margin"/>
            <w:rFonts w:ascii="Calibri" w:eastAsiaTheme="majorEastAsia" w:hAnsi="Calibri" w:cs="Calibri"/>
            <w:color w:val="000000"/>
            <w:sz w:val="22"/>
          </w:rPr>
          <w:t>18  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Valneva. Valneva Provides Update on Chikungunya Vaccine IXCHIQ® - Valneva. 2026.https://valneva.com/press-release/valneva-provides-update-on-chikungunya-vaccine-ixchiq/ (accessed 26 Jan2026).</w:t>
        </w:r>
      </w:hyperlink>
    </w:p>
    <w:p w14:paraId="7F2832FC"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lang w:val="pt-BR"/>
        </w:rPr>
      </w:pPr>
      <w:hyperlink r:id="rId51" w:history="1">
        <w:r w:rsidRPr="00D963D0">
          <w:rPr>
            <w:rStyle w:val="csl-left-margin"/>
            <w:rFonts w:ascii="Calibri" w:eastAsiaTheme="majorEastAsia" w:hAnsi="Calibri" w:cs="Calibri"/>
            <w:color w:val="000000"/>
            <w:sz w:val="22"/>
            <w:lang w:val="pt-BR"/>
          </w:rPr>
          <w:t>19  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lang w:val="pt-BR"/>
          </w:rPr>
          <w:t xml:space="preserve">Pérez-Estigarribia PE, Ribeiro Dos Santos G, Cauchemez S, </w:t>
        </w:r>
        <w:r w:rsidRPr="00D963D0">
          <w:rPr>
            <w:rStyle w:val="csl-right-inline"/>
            <w:rFonts w:ascii="Calibri" w:eastAsiaTheme="majorEastAsia" w:hAnsi="Calibri" w:cs="Calibri"/>
            <w:i/>
            <w:iCs/>
            <w:color w:val="000000"/>
            <w:sz w:val="22"/>
            <w:lang w:val="pt-BR"/>
          </w:rPr>
          <w:t>et al.</w:t>
        </w:r>
        <w:r w:rsidRPr="00D963D0">
          <w:rPr>
            <w:rStyle w:val="csl-right-inline"/>
            <w:rFonts w:ascii="Calibri" w:eastAsiaTheme="majorEastAsia" w:hAnsi="Calibri" w:cs="Calibri"/>
            <w:color w:val="000000"/>
            <w:sz w:val="22"/>
            <w:lang w:val="pt-BR"/>
          </w:rPr>
          <w:t xml:space="preserve"> </w:t>
        </w:r>
        <w:r w:rsidRPr="00D963D0">
          <w:rPr>
            <w:rStyle w:val="csl-right-inline"/>
            <w:rFonts w:ascii="Calibri" w:eastAsiaTheme="majorEastAsia" w:hAnsi="Calibri" w:cs="Calibri"/>
            <w:color w:val="000000"/>
            <w:sz w:val="22"/>
          </w:rPr>
          <w:t xml:space="preserve">Modeling the impact of vaccine campaigns on the epidemic transmission dynamics of chikungunya virus outbreaks. </w:t>
        </w:r>
        <w:r w:rsidRPr="00D963D0">
          <w:rPr>
            <w:rStyle w:val="csl-right-inline"/>
            <w:rFonts w:ascii="Calibri" w:eastAsiaTheme="majorEastAsia" w:hAnsi="Calibri" w:cs="Calibri"/>
            <w:i/>
            <w:iCs/>
            <w:color w:val="000000"/>
            <w:sz w:val="22"/>
            <w:lang w:val="pt-BR"/>
          </w:rPr>
          <w:t>Nat Med</w:t>
        </w:r>
        <w:r w:rsidRPr="00D963D0">
          <w:rPr>
            <w:rStyle w:val="csl-right-inline"/>
            <w:rFonts w:ascii="Calibri" w:eastAsiaTheme="majorEastAsia" w:hAnsi="Calibri" w:cs="Calibri"/>
            <w:color w:val="000000"/>
            <w:sz w:val="22"/>
            <w:lang w:val="pt-BR"/>
          </w:rPr>
          <w:t xml:space="preserve"> 2025;</w:t>
        </w:r>
        <w:r w:rsidRPr="00D963D0">
          <w:rPr>
            <w:rStyle w:val="csl-right-inline"/>
            <w:rFonts w:ascii="Calibri" w:eastAsiaTheme="majorEastAsia" w:hAnsi="Calibri" w:cs="Calibri"/>
            <w:b/>
            <w:bCs/>
            <w:color w:val="000000"/>
            <w:sz w:val="22"/>
            <w:lang w:val="pt-BR"/>
          </w:rPr>
          <w:t>31</w:t>
        </w:r>
        <w:r w:rsidRPr="00D963D0">
          <w:rPr>
            <w:rStyle w:val="csl-right-inline"/>
            <w:rFonts w:ascii="Calibri" w:eastAsiaTheme="majorEastAsia" w:hAnsi="Calibri" w:cs="Calibri"/>
            <w:color w:val="000000"/>
            <w:sz w:val="22"/>
            <w:lang w:val="pt-BR"/>
          </w:rPr>
          <w:t>:2335–41. doi:10.1038/s41591-025-03684-w</w:t>
        </w:r>
      </w:hyperlink>
    </w:p>
    <w:p w14:paraId="4438DF70"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2" w:history="1">
        <w:r w:rsidRPr="00D963D0">
          <w:rPr>
            <w:rStyle w:val="csl-left-margin"/>
            <w:rFonts w:ascii="Calibri" w:eastAsiaTheme="majorEastAsia" w:hAnsi="Calibri" w:cs="Calibri"/>
            <w:color w:val="000000"/>
            <w:sz w:val="22"/>
            <w:lang w:val="pt-BR"/>
          </w:rPr>
          <w:t>20  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lang w:val="pt-BR"/>
          </w:rPr>
          <w:t xml:space="preserve">Ribeiro Dos Santos G, Jawed F, Mukandavire C, </w:t>
        </w:r>
        <w:r w:rsidRPr="00D963D0">
          <w:rPr>
            <w:rStyle w:val="csl-right-inline"/>
            <w:rFonts w:ascii="Calibri" w:eastAsiaTheme="majorEastAsia" w:hAnsi="Calibri" w:cs="Calibri"/>
            <w:i/>
            <w:iCs/>
            <w:color w:val="000000"/>
            <w:sz w:val="22"/>
            <w:lang w:val="pt-BR"/>
          </w:rPr>
          <w:t>et al.</w:t>
        </w:r>
        <w:r w:rsidRPr="00D963D0">
          <w:rPr>
            <w:rStyle w:val="csl-right-inline"/>
            <w:rFonts w:ascii="Calibri" w:eastAsiaTheme="majorEastAsia" w:hAnsi="Calibri" w:cs="Calibri"/>
            <w:color w:val="000000"/>
            <w:sz w:val="22"/>
            <w:lang w:val="pt-BR"/>
          </w:rPr>
          <w:t xml:space="preserve"> </w:t>
        </w:r>
        <w:r w:rsidRPr="00D963D0">
          <w:rPr>
            <w:rStyle w:val="csl-right-inline"/>
            <w:rFonts w:ascii="Calibri" w:eastAsiaTheme="majorEastAsia" w:hAnsi="Calibri" w:cs="Calibri"/>
            <w:color w:val="000000"/>
            <w:sz w:val="22"/>
          </w:rPr>
          <w:t xml:space="preserve">Global burden of chikungunya virus infections and the potential benefit of vaccination campaigns. </w:t>
        </w:r>
        <w:r w:rsidRPr="00D963D0">
          <w:rPr>
            <w:rStyle w:val="csl-right-inline"/>
            <w:rFonts w:ascii="Calibri" w:eastAsiaTheme="majorEastAsia" w:hAnsi="Calibri" w:cs="Calibri"/>
            <w:i/>
            <w:iCs/>
            <w:color w:val="000000"/>
            <w:sz w:val="22"/>
          </w:rPr>
          <w:t>Nat Med</w:t>
        </w:r>
        <w:r w:rsidRPr="00D963D0">
          <w:rPr>
            <w:rStyle w:val="csl-right-inline"/>
            <w:rFonts w:ascii="Calibri" w:eastAsiaTheme="majorEastAsia" w:hAnsi="Calibri" w:cs="Calibri"/>
            <w:color w:val="000000"/>
            <w:sz w:val="22"/>
          </w:rPr>
          <w:t xml:space="preserve"> 2025;</w:t>
        </w:r>
        <w:r w:rsidRPr="00D963D0">
          <w:rPr>
            <w:rStyle w:val="csl-right-inline"/>
            <w:rFonts w:ascii="Calibri" w:eastAsiaTheme="majorEastAsia" w:hAnsi="Calibri" w:cs="Calibri"/>
            <w:b/>
            <w:bCs/>
            <w:color w:val="000000"/>
            <w:sz w:val="22"/>
          </w:rPr>
          <w:t>31</w:t>
        </w:r>
        <w:r w:rsidRPr="00D963D0">
          <w:rPr>
            <w:rStyle w:val="csl-right-inline"/>
            <w:rFonts w:ascii="Calibri" w:eastAsiaTheme="majorEastAsia" w:hAnsi="Calibri" w:cs="Calibri"/>
            <w:color w:val="000000"/>
            <w:sz w:val="22"/>
          </w:rPr>
          <w:t>:2342–9. doi:10.1038/s41591-025-03703-w</w:t>
        </w:r>
      </w:hyperlink>
    </w:p>
    <w:p w14:paraId="54E0A91F"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3" w:history="1">
        <w:r w:rsidRPr="00D963D0">
          <w:rPr>
            <w:rStyle w:val="csl-left-margin"/>
            <w:rFonts w:ascii="Calibri" w:eastAsiaTheme="majorEastAsia" w:hAnsi="Calibri" w:cs="Calibri"/>
            <w:color w:val="000000"/>
            <w:sz w:val="22"/>
          </w:rPr>
          <w:t>21  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Kang H, Lim A, Clark A,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Age-specific chikungunya outbreak response immunisation strategies in Brazil: a modelling study. </w:t>
        </w:r>
        <w:r w:rsidRPr="00D963D0">
          <w:rPr>
            <w:rStyle w:val="csl-right-inline"/>
            <w:rFonts w:ascii="Calibri" w:eastAsiaTheme="majorEastAsia" w:hAnsi="Calibri" w:cs="Calibri"/>
            <w:i/>
            <w:iCs/>
            <w:color w:val="000000"/>
            <w:sz w:val="22"/>
          </w:rPr>
          <w:t>EClinicalMedicine</w:t>
        </w:r>
        <w:r w:rsidRPr="00D963D0">
          <w:rPr>
            <w:rStyle w:val="csl-right-inline"/>
            <w:rFonts w:ascii="Calibri" w:eastAsiaTheme="majorEastAsia" w:hAnsi="Calibri" w:cs="Calibri"/>
            <w:color w:val="000000"/>
            <w:sz w:val="22"/>
          </w:rPr>
          <w:t xml:space="preserve"> 2025;</w:t>
        </w:r>
        <w:r w:rsidRPr="00D963D0">
          <w:rPr>
            <w:rStyle w:val="csl-right-inline"/>
            <w:rFonts w:ascii="Calibri" w:eastAsiaTheme="majorEastAsia" w:hAnsi="Calibri" w:cs="Calibri"/>
            <w:b/>
            <w:bCs/>
            <w:color w:val="000000"/>
            <w:sz w:val="22"/>
          </w:rPr>
          <w:t>90</w:t>
        </w:r>
        <w:r w:rsidRPr="00D963D0">
          <w:rPr>
            <w:rStyle w:val="csl-right-inline"/>
            <w:rFonts w:ascii="Calibri" w:eastAsiaTheme="majorEastAsia" w:hAnsi="Calibri" w:cs="Calibri"/>
            <w:color w:val="000000"/>
            <w:sz w:val="22"/>
          </w:rPr>
          <w:t>:103690. doi:10.1016/j.eclinm.2025.103690</w:t>
        </w:r>
      </w:hyperlink>
    </w:p>
    <w:p w14:paraId="49C4F782"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4" w:history="1">
        <w:r w:rsidRPr="00D963D0">
          <w:rPr>
            <w:rStyle w:val="csl-left-margin"/>
            <w:rFonts w:ascii="Calibri" w:eastAsiaTheme="majorEastAsia" w:hAnsi="Calibri" w:cs="Calibri"/>
            <w:color w:val="000000"/>
            <w:sz w:val="22"/>
          </w:rPr>
          <w:t>22  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Cracknell Daniels B, Endy T, Lewnard J,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 framework for risk–benefit analysis of vaccines approved through accelerated pathways. </w:t>
        </w:r>
        <w:r w:rsidRPr="00D963D0">
          <w:rPr>
            <w:rStyle w:val="csl-right-inline"/>
            <w:rFonts w:ascii="Calibri" w:eastAsiaTheme="majorEastAsia" w:hAnsi="Calibri" w:cs="Calibri"/>
            <w:i/>
            <w:iCs/>
            <w:color w:val="000000"/>
            <w:sz w:val="22"/>
          </w:rPr>
          <w:t>Nat Health</w:t>
        </w:r>
        <w:r w:rsidRPr="00D963D0">
          <w:rPr>
            <w:rStyle w:val="csl-right-inline"/>
            <w:rFonts w:ascii="Calibri" w:eastAsiaTheme="majorEastAsia" w:hAnsi="Calibri" w:cs="Calibri"/>
            <w:color w:val="000000"/>
            <w:sz w:val="22"/>
          </w:rPr>
          <w:t xml:space="preserve"> 2026;</w:t>
        </w:r>
        <w:r w:rsidRPr="00D963D0">
          <w:rPr>
            <w:rStyle w:val="csl-right-inline"/>
            <w:rFonts w:ascii="Calibri" w:eastAsiaTheme="majorEastAsia" w:hAnsi="Calibri" w:cs="Calibri"/>
            <w:b/>
            <w:bCs/>
            <w:color w:val="000000"/>
            <w:sz w:val="22"/>
          </w:rPr>
          <w:t>1</w:t>
        </w:r>
        <w:r w:rsidRPr="00D963D0">
          <w:rPr>
            <w:rStyle w:val="csl-right-inline"/>
            <w:rFonts w:ascii="Calibri" w:eastAsiaTheme="majorEastAsia" w:hAnsi="Calibri" w:cs="Calibri"/>
            <w:color w:val="000000"/>
            <w:sz w:val="22"/>
          </w:rPr>
          <w:t>:120–8. doi:10.1038/s44360-025-00027-4</w:t>
        </w:r>
      </w:hyperlink>
    </w:p>
    <w:p w14:paraId="245809A0"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5" w:history="1">
        <w:r w:rsidRPr="00D963D0">
          <w:rPr>
            <w:rStyle w:val="csl-left-margin"/>
            <w:rFonts w:ascii="Calibri" w:eastAsiaTheme="majorEastAsia" w:hAnsi="Calibri" w:cs="Calibri"/>
            <w:color w:val="000000"/>
            <w:sz w:val="22"/>
          </w:rPr>
          <w:t>23  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European Medicines Agency. IXCHIQ - Chikungunya vaccine (live).</w:t>
        </w:r>
      </w:hyperlink>
    </w:p>
    <w:p w14:paraId="6075F8F8"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6" w:history="1">
        <w:r w:rsidRPr="00D963D0">
          <w:rPr>
            <w:rStyle w:val="csl-left-margin"/>
            <w:rFonts w:ascii="Calibri" w:eastAsiaTheme="majorEastAsia" w:hAnsi="Calibri" w:cs="Calibri"/>
            <w:color w:val="000000"/>
            <w:sz w:val="22"/>
          </w:rPr>
          <w:t>24  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SINANWEB - Página inicial. 2024.http://portalsinan.saude.gov.br/ (accessed 1 Oct2024).</w:t>
        </w:r>
      </w:hyperlink>
    </w:p>
    <w:p w14:paraId="28DD24A0"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7" w:history="1">
        <w:r w:rsidRPr="00D963D0">
          <w:rPr>
            <w:rStyle w:val="csl-left-margin"/>
            <w:rFonts w:ascii="Calibri" w:eastAsiaTheme="majorEastAsia" w:hAnsi="Calibri" w:cs="Calibri"/>
            <w:color w:val="000000"/>
            <w:sz w:val="22"/>
          </w:rPr>
          <w:t>25  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W H O. Chikungunya - La Réunion and Mayotte. 2025.https://www.who.int/emergencies/disease-outbreak-news/item/2025-DON567#:~:text=Vaccination%3A%20Adults%20under%2065%20years,campaign%20began%20on%207%20April. (accessed 30 May2025).</w:t>
        </w:r>
      </w:hyperlink>
    </w:p>
    <w:p w14:paraId="46D2E27F" w14:textId="77777777" w:rsidR="00D963D0" w:rsidRPr="00D963D0" w:rsidRDefault="00D963D0" w:rsidP="00D963D0">
      <w:pPr>
        <w:pStyle w:val="NormalWeb"/>
        <w:spacing w:afterLines="100" w:after="240" w:line="220" w:lineRule="auto"/>
        <w:ind w:left="640" w:hanging="640"/>
        <w:rPr>
          <w:rFonts w:ascii="Calibri" w:hAnsi="Calibri" w:cs="Calibri"/>
          <w:color w:val="000000"/>
          <w:sz w:val="22"/>
        </w:rPr>
      </w:pPr>
      <w:hyperlink r:id="rId58" w:history="1">
        <w:r w:rsidRPr="00D963D0">
          <w:rPr>
            <w:rStyle w:val="csl-left-margin"/>
            <w:rFonts w:ascii="Calibri" w:eastAsiaTheme="majorEastAsia" w:hAnsi="Calibri" w:cs="Calibri"/>
            <w:color w:val="000000"/>
            <w:sz w:val="22"/>
          </w:rPr>
          <w:t>26  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Chen LH, Fritzer A, Hochreiter 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From bench to clinic: the development of VLA1553/IXCHIQ, a live-attenuated chikungunya vaccine. </w:t>
        </w:r>
        <w:r w:rsidRPr="00D963D0">
          <w:rPr>
            <w:rStyle w:val="csl-right-inline"/>
            <w:rFonts w:ascii="Calibri" w:eastAsiaTheme="majorEastAsia" w:hAnsi="Calibri" w:cs="Calibri"/>
            <w:i/>
            <w:iCs/>
            <w:color w:val="000000"/>
            <w:sz w:val="22"/>
          </w:rPr>
          <w:t>J Travel Med</w:t>
        </w:r>
        <w:r w:rsidRPr="00D963D0">
          <w:rPr>
            <w:rStyle w:val="csl-right-inline"/>
            <w:rFonts w:ascii="Calibri" w:eastAsiaTheme="majorEastAsia" w:hAnsi="Calibri" w:cs="Calibri"/>
            <w:color w:val="000000"/>
            <w:sz w:val="22"/>
          </w:rPr>
          <w:t xml:space="preserve"> 2024;</w:t>
        </w:r>
        <w:r w:rsidRPr="00D963D0">
          <w:rPr>
            <w:rStyle w:val="csl-right-inline"/>
            <w:rFonts w:ascii="Calibri" w:eastAsiaTheme="majorEastAsia" w:hAnsi="Calibri" w:cs="Calibri"/>
            <w:b/>
            <w:bCs/>
            <w:color w:val="000000"/>
            <w:sz w:val="22"/>
          </w:rPr>
          <w:t>31</w:t>
        </w:r>
        <w:r w:rsidRPr="00D963D0">
          <w:rPr>
            <w:rStyle w:val="csl-right-inline"/>
            <w:rFonts w:ascii="Calibri" w:eastAsiaTheme="majorEastAsia" w:hAnsi="Calibri" w:cs="Calibri"/>
            <w:color w:val="000000"/>
            <w:sz w:val="22"/>
          </w:rPr>
          <w:t>. doi:10.1093/jtm/taae123</w:t>
        </w:r>
      </w:hyperlink>
    </w:p>
    <w:p w14:paraId="2D7966A8" w14:textId="2347E9D8" w:rsidR="00D963D0" w:rsidRPr="001A162F" w:rsidRDefault="00D963D0" w:rsidP="00D963D0">
      <w:pPr>
        <w:spacing w:afterLines="100" w:after="240" w:line="220" w:lineRule="auto"/>
        <w:ind w:left="640" w:hanging="640"/>
        <w:rPr>
          <w:rFonts w:ascii="Calibri" w:hAnsi="Calibri" w:cs="Calibri"/>
          <w:color w:val="000000"/>
          <w:sz w:val="22"/>
        </w:rPr>
      </w:pPr>
      <w:hyperlink r:id="rId59" w:history="1">
        <w:r w:rsidRPr="00D963D0">
          <w:rPr>
            <w:rStyle w:val="csl-left-margin"/>
            <w:rFonts w:ascii="Calibri" w:eastAsiaTheme="majorEastAsia" w:hAnsi="Calibri" w:cs="Calibri"/>
            <w:color w:val="000000"/>
            <w:sz w:val="22"/>
          </w:rPr>
          <w:t>27  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Hills SL, Sutter RA, Miller ER,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Surveillance for adverse events following use of live attenuated chikungunya vaccine, United States, 2024, and the associated public health response in 2024 and 2025. </w:t>
        </w:r>
        <w:r w:rsidRPr="00D963D0">
          <w:rPr>
            <w:rStyle w:val="csl-right-inline"/>
            <w:rFonts w:ascii="Calibri" w:eastAsiaTheme="majorEastAsia" w:hAnsi="Calibri" w:cs="Calibri"/>
            <w:i/>
            <w:iCs/>
            <w:color w:val="000000"/>
            <w:sz w:val="22"/>
          </w:rPr>
          <w:t>Euro Surveill</w:t>
        </w:r>
        <w:r w:rsidRPr="00D963D0">
          <w:rPr>
            <w:rStyle w:val="csl-right-inline"/>
            <w:rFonts w:ascii="Calibri" w:eastAsiaTheme="majorEastAsia" w:hAnsi="Calibri" w:cs="Calibri"/>
            <w:color w:val="000000"/>
            <w:sz w:val="22"/>
          </w:rPr>
          <w:t xml:space="preserve"> 2025;</w:t>
        </w:r>
        <w:r w:rsidRPr="00D963D0">
          <w:rPr>
            <w:rStyle w:val="csl-right-inline"/>
            <w:rFonts w:ascii="Calibri" w:eastAsiaTheme="majorEastAsia" w:hAnsi="Calibri" w:cs="Calibri"/>
            <w:b/>
            <w:bCs/>
            <w:color w:val="000000"/>
            <w:sz w:val="22"/>
          </w:rPr>
          <w:t>30</w:t>
        </w:r>
        <w:r w:rsidRPr="00D963D0">
          <w:rPr>
            <w:rStyle w:val="csl-right-inline"/>
            <w:rFonts w:ascii="Calibri" w:eastAsiaTheme="majorEastAsia" w:hAnsi="Calibri" w:cs="Calibri"/>
            <w:color w:val="000000"/>
            <w:sz w:val="22"/>
          </w:rPr>
          <w:t>. doi:10.2807/1560-7917.ES.2025.30.32.2500543</w:t>
        </w:r>
      </w:hyperlink>
      <w:r w:rsidRPr="00D963D0">
        <w:rPr>
          <w:rFonts w:ascii="Calibri" w:hAnsi="Calibri" w:cs="Calibri"/>
          <w:color w:val="000000"/>
          <w:sz w:val="22"/>
        </w:rPr>
        <w:t xml:space="preserve"> </w:t>
      </w:r>
    </w:p>
    <w:p w14:paraId="7B64E4B6" w14:textId="64DB8621" w:rsidR="00D963D0" w:rsidRPr="00D963D0" w:rsidRDefault="00D963D0" w:rsidP="00D963D0">
      <w:pPr>
        <w:spacing w:afterLines="100" w:after="240" w:line="220" w:lineRule="auto"/>
        <w:ind w:left="640" w:hanging="640"/>
        <w:rPr>
          <w:rStyle w:val="IntenseEmphasis"/>
          <w:rFonts w:eastAsia="Malgun Gothic"/>
        </w:rPr>
        <w:sectPr w:rsidR="00D963D0" w:rsidRPr="00D963D0" w:rsidSect="00D963D0">
          <w:pgSz w:w="11906" w:h="16838"/>
          <w:pgMar w:top="1440" w:right="1440" w:bottom="1440" w:left="1440" w:header="708" w:footer="708" w:gutter="0"/>
          <w:cols w:space="708"/>
          <w:docGrid w:linePitch="360"/>
        </w:sectPr>
      </w:pPr>
    </w:p>
    <w:p w14:paraId="68A70FE7" w14:textId="77777777" w:rsidR="00D963D0" w:rsidRDefault="00D963D0" w:rsidP="00EB3C86">
      <w:pPr>
        <w:spacing w:line="360" w:lineRule="auto"/>
        <w:rPr>
          <w:rStyle w:val="IntenseEmphasis"/>
          <w:rFonts w:eastAsia="Malgun Gothic"/>
        </w:rPr>
      </w:pPr>
      <w:r w:rsidRPr="004B3947">
        <w:rPr>
          <w:rStyle w:val="IntenseEmphasis"/>
        </w:rPr>
        <w:t>Tables</w:t>
      </w:r>
    </w:p>
    <w:p w14:paraId="6C19FF6F" w14:textId="615F72BA" w:rsidR="00D963D0" w:rsidRPr="00BC27FF" w:rsidRDefault="00D963D0" w:rsidP="00EB3C86">
      <w:pPr>
        <w:spacing w:line="360" w:lineRule="auto"/>
        <w:rPr>
          <w:rStyle w:val="IntenseEmphasis"/>
          <w:rFonts w:eastAsia="Malgun Gothic" w:cs="Calibri"/>
        </w:rPr>
      </w:pPr>
      <w:r>
        <w:rPr>
          <w:rStyle w:val="IntenseEmphasis"/>
          <w:rFonts w:eastAsia="Malgun Gothic" w:hint="eastAsia"/>
          <w:b/>
          <w:bCs/>
          <w:color w:val="auto"/>
        </w:rPr>
        <w:t>Table</w:t>
      </w:r>
      <w:r w:rsidRPr="004B3947">
        <w:rPr>
          <w:rStyle w:val="IntenseEmphasis"/>
          <w:rFonts w:eastAsiaTheme="minorEastAsia" w:hint="eastAsia"/>
          <w:b/>
          <w:bCs/>
          <w:color w:val="auto"/>
        </w:rPr>
        <w:t xml:space="preserve"> 1</w:t>
      </w:r>
      <w:r w:rsidRPr="004B3947">
        <w:rPr>
          <w:rStyle w:val="IntenseEmphasis"/>
          <w:rFonts w:eastAsiaTheme="minorEastAsia"/>
          <w:b/>
          <w:bCs/>
          <w:color w:val="auto"/>
        </w:rPr>
        <w:t>.</w:t>
      </w:r>
      <w:r>
        <w:rPr>
          <w:rStyle w:val="IntenseEmphasis"/>
          <w:rFonts w:eastAsiaTheme="minorEastAsia"/>
          <w:b/>
          <w:bCs/>
          <w:color w:val="auto"/>
        </w:rPr>
        <w:t xml:space="preserve"> Benefit risk ratios </w:t>
      </w:r>
      <w:r w:rsidR="002C48EF">
        <w:rPr>
          <w:rStyle w:val="IntenseEmphasis"/>
          <w:rFonts w:eastAsiaTheme="minorEastAsia"/>
          <w:b/>
          <w:bCs/>
          <w:color w:val="auto"/>
        </w:rPr>
        <w:t>for traveller vaccination scenarios</w:t>
      </w:r>
    </w:p>
    <w:tbl>
      <w:tblPr>
        <w:tblStyle w:val="PlainTable2"/>
        <w:tblW w:w="9256" w:type="dxa"/>
        <w:tblInd w:w="-142" w:type="dxa"/>
        <w:tblLayout w:type="fixed"/>
        <w:tblLook w:val="0420" w:firstRow="1" w:lastRow="0" w:firstColumn="0" w:lastColumn="0" w:noHBand="0" w:noVBand="1"/>
      </w:tblPr>
      <w:tblGrid>
        <w:gridCol w:w="1135"/>
        <w:gridCol w:w="996"/>
        <w:gridCol w:w="1029"/>
        <w:gridCol w:w="1481"/>
        <w:gridCol w:w="1481"/>
        <w:gridCol w:w="1567"/>
        <w:gridCol w:w="1567"/>
      </w:tblGrid>
      <w:tr w:rsidR="00843C1F" w:rsidRPr="00A66107" w14:paraId="28CE0EFA" w14:textId="77777777" w:rsidTr="00A66107">
        <w:trPr>
          <w:cnfStyle w:val="100000000000" w:firstRow="1" w:lastRow="0" w:firstColumn="0" w:lastColumn="0" w:oddVBand="0" w:evenVBand="0" w:oddHBand="0" w:evenHBand="0" w:firstRowFirstColumn="0" w:firstRowLastColumn="0" w:lastRowFirstColumn="0" w:lastRowLastColumn="0"/>
          <w:trHeight w:val="421"/>
        </w:trPr>
        <w:tc>
          <w:tcPr>
            <w:tcW w:w="1135" w:type="dxa"/>
          </w:tcPr>
          <w:p w14:paraId="57348F4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A66107">
              <w:rPr>
                <w:rFonts w:ascii="Calibri" w:eastAsia="Arial" w:hAnsi="Calibri" w:cs="Calibri"/>
                <w:color w:val="000000"/>
                <w:sz w:val="18"/>
                <w:szCs w:val="18"/>
              </w:rPr>
              <w:t>Outcome</w:t>
            </w:r>
          </w:p>
        </w:tc>
        <w:tc>
          <w:tcPr>
            <w:tcW w:w="996" w:type="dxa"/>
          </w:tcPr>
          <w:p w14:paraId="1669855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A66107">
              <w:rPr>
                <w:rFonts w:ascii="Calibri" w:eastAsia="Arial" w:hAnsi="Calibri" w:cs="Calibri"/>
                <w:color w:val="000000"/>
                <w:sz w:val="18"/>
                <w:szCs w:val="18"/>
              </w:rPr>
              <w:t>Attack Rate</w:t>
            </w:r>
          </w:p>
        </w:tc>
        <w:tc>
          <w:tcPr>
            <w:tcW w:w="1029" w:type="dxa"/>
          </w:tcPr>
          <w:p w14:paraId="692C3BD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A66107">
              <w:rPr>
                <w:rFonts w:ascii="Calibri" w:eastAsia="Arial" w:hAnsi="Calibri" w:cs="Calibri"/>
                <w:color w:val="000000"/>
                <w:sz w:val="18"/>
                <w:szCs w:val="18"/>
              </w:rPr>
              <w:t>Age Group</w:t>
            </w:r>
          </w:p>
        </w:tc>
        <w:tc>
          <w:tcPr>
            <w:tcW w:w="1481" w:type="dxa"/>
          </w:tcPr>
          <w:p w14:paraId="6100383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A66107">
              <w:rPr>
                <w:rFonts w:ascii="Calibri" w:eastAsia="Arial" w:hAnsi="Calibri" w:cs="Calibri"/>
                <w:color w:val="000000"/>
                <w:sz w:val="18"/>
                <w:szCs w:val="18"/>
              </w:rPr>
              <w:t>7 days</w:t>
            </w:r>
          </w:p>
        </w:tc>
        <w:tc>
          <w:tcPr>
            <w:tcW w:w="1481" w:type="dxa"/>
          </w:tcPr>
          <w:p w14:paraId="6078732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A66107">
              <w:rPr>
                <w:rFonts w:ascii="Calibri" w:eastAsia="Arial" w:hAnsi="Calibri" w:cs="Calibri"/>
                <w:color w:val="000000"/>
                <w:sz w:val="18"/>
                <w:szCs w:val="18"/>
              </w:rPr>
              <w:t>14 days</w:t>
            </w:r>
          </w:p>
        </w:tc>
        <w:tc>
          <w:tcPr>
            <w:tcW w:w="1567" w:type="dxa"/>
          </w:tcPr>
          <w:p w14:paraId="07E6D10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A66107">
              <w:rPr>
                <w:rFonts w:ascii="Calibri" w:eastAsia="Arial" w:hAnsi="Calibri" w:cs="Calibri"/>
                <w:color w:val="000000"/>
                <w:sz w:val="18"/>
                <w:szCs w:val="18"/>
              </w:rPr>
              <w:t>30 days</w:t>
            </w:r>
          </w:p>
        </w:tc>
        <w:tc>
          <w:tcPr>
            <w:tcW w:w="1567" w:type="dxa"/>
          </w:tcPr>
          <w:p w14:paraId="3CEE9B7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A66107">
              <w:rPr>
                <w:rFonts w:ascii="Calibri" w:eastAsia="Arial" w:hAnsi="Calibri" w:cs="Calibri"/>
                <w:color w:val="000000"/>
                <w:sz w:val="18"/>
                <w:szCs w:val="18"/>
              </w:rPr>
              <w:t>90 days</w:t>
            </w:r>
          </w:p>
        </w:tc>
      </w:tr>
      <w:tr w:rsidR="00843C1F" w:rsidRPr="00A66107" w14:paraId="12E558F4" w14:textId="77777777" w:rsidTr="00A66107">
        <w:trPr>
          <w:cnfStyle w:val="000000100000" w:firstRow="0" w:lastRow="0" w:firstColumn="0" w:lastColumn="0" w:oddVBand="0" w:evenVBand="0" w:oddHBand="1" w:evenHBand="0" w:firstRowFirstColumn="0" w:firstRowLastColumn="0" w:lastRowFirstColumn="0" w:lastRowLastColumn="0"/>
          <w:trHeight w:val="421"/>
        </w:trPr>
        <w:tc>
          <w:tcPr>
            <w:tcW w:w="1135" w:type="dxa"/>
            <w:vMerge w:val="restart"/>
          </w:tcPr>
          <w:p w14:paraId="042146E5" w14:textId="038F919D" w:rsidR="00843C1F" w:rsidRPr="00A66107" w:rsidRDefault="00DD34EB">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color w:val="000000"/>
                <w:sz w:val="18"/>
                <w:szCs w:val="18"/>
              </w:rPr>
              <w:t xml:space="preserve">Benefit risk ratio for </w:t>
            </w:r>
            <w:r w:rsidR="00843C1F" w:rsidRPr="00A66107">
              <w:rPr>
                <w:rFonts w:ascii="Calibri" w:eastAsia="Arial" w:hAnsi="Calibri" w:cs="Calibri"/>
                <w:color w:val="000000"/>
                <w:sz w:val="18"/>
                <w:szCs w:val="18"/>
              </w:rPr>
              <w:t>DALY</w:t>
            </w:r>
          </w:p>
        </w:tc>
        <w:tc>
          <w:tcPr>
            <w:tcW w:w="996" w:type="dxa"/>
            <w:vMerge w:val="restart"/>
          </w:tcPr>
          <w:p w14:paraId="0BA969E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&lt;5%</w:t>
            </w:r>
          </w:p>
        </w:tc>
        <w:tc>
          <w:tcPr>
            <w:tcW w:w="1029" w:type="dxa"/>
          </w:tcPr>
          <w:p w14:paraId="7D508AE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15EE6EE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[0.00–1.45]</w:t>
            </w:r>
          </w:p>
        </w:tc>
        <w:tc>
          <w:tcPr>
            <w:tcW w:w="1481" w:type="dxa"/>
          </w:tcPr>
          <w:p w14:paraId="7722693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0.06 [0.00–2.97]</w:t>
            </w:r>
          </w:p>
        </w:tc>
        <w:tc>
          <w:tcPr>
            <w:tcW w:w="1567" w:type="dxa"/>
          </w:tcPr>
          <w:p w14:paraId="7E2B4B2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[0.01–6.84]</w:t>
            </w:r>
          </w:p>
        </w:tc>
        <w:tc>
          <w:tcPr>
            <w:tcW w:w="1567" w:type="dxa"/>
          </w:tcPr>
          <w:p w14:paraId="5DEE1D4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0.45 [0.02–22.02]</w:t>
            </w:r>
          </w:p>
        </w:tc>
      </w:tr>
      <w:tr w:rsidR="00843C1F" w:rsidRPr="00A66107" w14:paraId="3976E0F1" w14:textId="77777777" w:rsidTr="00A66107">
        <w:trPr>
          <w:trHeight w:val="144"/>
        </w:trPr>
        <w:tc>
          <w:tcPr>
            <w:tcW w:w="1135" w:type="dxa"/>
            <w:vMerge/>
          </w:tcPr>
          <w:p w14:paraId="0392324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1AA08D8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1C61B6C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6BACCD9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[0.00–1.23]</w:t>
            </w:r>
          </w:p>
        </w:tc>
        <w:tc>
          <w:tcPr>
            <w:tcW w:w="1481" w:type="dxa"/>
          </w:tcPr>
          <w:p w14:paraId="5F593FD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0.06 [0.00–2.53]</w:t>
            </w:r>
          </w:p>
        </w:tc>
        <w:tc>
          <w:tcPr>
            <w:tcW w:w="1567" w:type="dxa"/>
          </w:tcPr>
          <w:p w14:paraId="7DF3680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[0.01–6.51]</w:t>
            </w:r>
          </w:p>
        </w:tc>
        <w:tc>
          <w:tcPr>
            <w:tcW w:w="1567" w:type="dxa"/>
          </w:tcPr>
          <w:p w14:paraId="7DEAF2F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0.46 [0.02–20.66]</w:t>
            </w:r>
          </w:p>
        </w:tc>
      </w:tr>
      <w:tr w:rsidR="00843C1F" w:rsidRPr="00A66107" w14:paraId="7EE79857"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20A04BD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408ABCE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257E4B3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7918D15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[0.00–1.31]</w:t>
            </w:r>
          </w:p>
        </w:tc>
        <w:tc>
          <w:tcPr>
            <w:tcW w:w="1481" w:type="dxa"/>
          </w:tcPr>
          <w:p w14:paraId="4823548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0.09 [0.00–2.76]</w:t>
            </w:r>
          </w:p>
        </w:tc>
        <w:tc>
          <w:tcPr>
            <w:tcW w:w="1567" w:type="dxa"/>
          </w:tcPr>
          <w:p w14:paraId="0E6E0D1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0.20 [0.01–6.07]</w:t>
            </w:r>
          </w:p>
        </w:tc>
        <w:tc>
          <w:tcPr>
            <w:tcW w:w="1567" w:type="dxa"/>
          </w:tcPr>
          <w:p w14:paraId="2EF8191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0.70 [0.04–22.91]</w:t>
            </w:r>
          </w:p>
        </w:tc>
      </w:tr>
      <w:tr w:rsidR="00843C1F" w:rsidRPr="00A66107" w14:paraId="5B07C012" w14:textId="77777777" w:rsidTr="00A66107">
        <w:trPr>
          <w:trHeight w:val="144"/>
        </w:trPr>
        <w:tc>
          <w:tcPr>
            <w:tcW w:w="1135" w:type="dxa"/>
            <w:vMerge/>
          </w:tcPr>
          <w:p w14:paraId="15CC2DA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550036A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043DC6D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5100F61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[0.00–0.19]</w:t>
            </w:r>
          </w:p>
        </w:tc>
        <w:tc>
          <w:tcPr>
            <w:tcW w:w="1481" w:type="dxa"/>
          </w:tcPr>
          <w:p w14:paraId="2CEE037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0.06 [0.01–0.40]</w:t>
            </w:r>
          </w:p>
        </w:tc>
        <w:tc>
          <w:tcPr>
            <w:tcW w:w="1567" w:type="dxa"/>
          </w:tcPr>
          <w:p w14:paraId="420697C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0.12 [0.02–0.97]</w:t>
            </w:r>
          </w:p>
        </w:tc>
        <w:tc>
          <w:tcPr>
            <w:tcW w:w="1567" w:type="dxa"/>
          </w:tcPr>
          <w:p w14:paraId="11FABBE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0.43 [0.06–3.40]</w:t>
            </w:r>
          </w:p>
        </w:tc>
      </w:tr>
      <w:tr w:rsidR="00843C1F" w:rsidRPr="00A66107" w14:paraId="14661372"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536057F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321C82D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5–10%</w:t>
            </w:r>
          </w:p>
        </w:tc>
        <w:tc>
          <w:tcPr>
            <w:tcW w:w="1029" w:type="dxa"/>
          </w:tcPr>
          <w:p w14:paraId="0AD53F1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31E210E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[0.00–3.33]</w:t>
            </w:r>
          </w:p>
        </w:tc>
        <w:tc>
          <w:tcPr>
            <w:tcW w:w="1481" w:type="dxa"/>
          </w:tcPr>
          <w:p w14:paraId="48B0171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0.19 [0.01–8.07]</w:t>
            </w:r>
          </w:p>
        </w:tc>
        <w:tc>
          <w:tcPr>
            <w:tcW w:w="1567" w:type="dxa"/>
          </w:tcPr>
          <w:p w14:paraId="2672694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0.44 [0.02–17.37]</w:t>
            </w:r>
          </w:p>
        </w:tc>
        <w:tc>
          <w:tcPr>
            <w:tcW w:w="1567" w:type="dxa"/>
          </w:tcPr>
          <w:p w14:paraId="0E3EA5A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1.67 [0.12–70.90]</w:t>
            </w:r>
          </w:p>
        </w:tc>
      </w:tr>
      <w:tr w:rsidR="00843C1F" w:rsidRPr="00A66107" w14:paraId="7E612545" w14:textId="77777777" w:rsidTr="00A66107">
        <w:trPr>
          <w:trHeight w:val="144"/>
        </w:trPr>
        <w:tc>
          <w:tcPr>
            <w:tcW w:w="1135" w:type="dxa"/>
            <w:vMerge/>
          </w:tcPr>
          <w:p w14:paraId="2B04C81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717D05B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451959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28E3FC8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[0.00–3.13]</w:t>
            </w:r>
          </w:p>
        </w:tc>
        <w:tc>
          <w:tcPr>
            <w:tcW w:w="1481" w:type="dxa"/>
          </w:tcPr>
          <w:p w14:paraId="4D5C600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0.19 [0.01–7.35]</w:t>
            </w:r>
          </w:p>
        </w:tc>
        <w:tc>
          <w:tcPr>
            <w:tcW w:w="1567" w:type="dxa"/>
          </w:tcPr>
          <w:p w14:paraId="6BDCA5D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0.45 [0.03–16.17]</w:t>
            </w:r>
          </w:p>
        </w:tc>
        <w:tc>
          <w:tcPr>
            <w:tcW w:w="1567" w:type="dxa"/>
          </w:tcPr>
          <w:p w14:paraId="0AD3E76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1.72 [0.12–64.01]</w:t>
            </w:r>
          </w:p>
        </w:tc>
      </w:tr>
      <w:tr w:rsidR="00843C1F" w:rsidRPr="00A66107" w14:paraId="5CA9E4A4"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6FDFB38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73F6948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55AE286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155124B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[0.01–3.18]</w:t>
            </w:r>
          </w:p>
        </w:tc>
        <w:tc>
          <w:tcPr>
            <w:tcW w:w="1481" w:type="dxa"/>
          </w:tcPr>
          <w:p w14:paraId="64FAD29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0.30 [0.02–7.08]</w:t>
            </w:r>
          </w:p>
        </w:tc>
        <w:tc>
          <w:tcPr>
            <w:tcW w:w="1567" w:type="dxa"/>
          </w:tcPr>
          <w:p w14:paraId="056D5DE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0.70 [0.04–16.81]</w:t>
            </w:r>
          </w:p>
        </w:tc>
        <w:tc>
          <w:tcPr>
            <w:tcW w:w="1567" w:type="dxa"/>
          </w:tcPr>
          <w:p w14:paraId="4FB7E3C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2.65 [0.17–62.13]</w:t>
            </w:r>
          </w:p>
        </w:tc>
      </w:tr>
      <w:tr w:rsidR="00843C1F" w:rsidRPr="00A66107" w14:paraId="01432C54" w14:textId="77777777" w:rsidTr="00A66107">
        <w:trPr>
          <w:trHeight w:val="144"/>
        </w:trPr>
        <w:tc>
          <w:tcPr>
            <w:tcW w:w="1135" w:type="dxa"/>
            <w:vMerge/>
          </w:tcPr>
          <w:p w14:paraId="7CB54CE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525343C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5F5B323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48A2E99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[0.01–0.41]</w:t>
            </w:r>
          </w:p>
        </w:tc>
        <w:tc>
          <w:tcPr>
            <w:tcW w:w="1481" w:type="dxa"/>
          </w:tcPr>
          <w:p w14:paraId="2CE7E56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0.19 [0.02–0.96]</w:t>
            </w:r>
          </w:p>
        </w:tc>
        <w:tc>
          <w:tcPr>
            <w:tcW w:w="1567" w:type="dxa"/>
          </w:tcPr>
          <w:p w14:paraId="575865F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0.46 [0.06–2.25]</w:t>
            </w:r>
          </w:p>
        </w:tc>
        <w:tc>
          <w:tcPr>
            <w:tcW w:w="1567" w:type="dxa"/>
          </w:tcPr>
          <w:p w14:paraId="754C0AB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1.68 [0.28–8.36]</w:t>
            </w:r>
          </w:p>
        </w:tc>
      </w:tr>
      <w:tr w:rsidR="00843C1F" w:rsidRPr="00A66107" w14:paraId="1CC6238F"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90847F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1DBCAF9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10%+</w:t>
            </w:r>
          </w:p>
        </w:tc>
        <w:tc>
          <w:tcPr>
            <w:tcW w:w="1029" w:type="dxa"/>
          </w:tcPr>
          <w:p w14:paraId="6AA8D3F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69D86AF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[0.00–6.60]</w:t>
            </w:r>
          </w:p>
        </w:tc>
        <w:tc>
          <w:tcPr>
            <w:tcW w:w="1481" w:type="dxa"/>
          </w:tcPr>
          <w:p w14:paraId="2E8D02E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0.29 [0.01–15.51]</w:t>
            </w:r>
          </w:p>
        </w:tc>
        <w:tc>
          <w:tcPr>
            <w:tcW w:w="1567" w:type="dxa"/>
          </w:tcPr>
          <w:p w14:paraId="72B59BC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0.75 [0.02–36.86]</w:t>
            </w:r>
          </w:p>
        </w:tc>
        <w:tc>
          <w:tcPr>
            <w:tcW w:w="1567" w:type="dxa"/>
          </w:tcPr>
          <w:p w14:paraId="3C261A2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3.78 [0.16–173.89]</w:t>
            </w:r>
          </w:p>
        </w:tc>
      </w:tr>
      <w:tr w:rsidR="00843C1F" w:rsidRPr="00A66107" w14:paraId="2DF3F9CE" w14:textId="77777777" w:rsidTr="00A66107">
        <w:trPr>
          <w:trHeight w:val="144"/>
        </w:trPr>
        <w:tc>
          <w:tcPr>
            <w:tcW w:w="1135" w:type="dxa"/>
            <w:vMerge/>
          </w:tcPr>
          <w:p w14:paraId="784EF32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07D3D11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4099E7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601255F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[0.00–6.34]</w:t>
            </w:r>
          </w:p>
        </w:tc>
        <w:tc>
          <w:tcPr>
            <w:tcW w:w="1481" w:type="dxa"/>
          </w:tcPr>
          <w:p w14:paraId="3A799B4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0.29 [0.01–13.80]</w:t>
            </w:r>
          </w:p>
        </w:tc>
        <w:tc>
          <w:tcPr>
            <w:tcW w:w="1567" w:type="dxa"/>
          </w:tcPr>
          <w:p w14:paraId="6647FBB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0.73 [0.03–36.09]</w:t>
            </w:r>
          </w:p>
        </w:tc>
        <w:tc>
          <w:tcPr>
            <w:tcW w:w="1567" w:type="dxa"/>
          </w:tcPr>
          <w:p w14:paraId="7290896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3.90 [0.18–159.85]</w:t>
            </w:r>
          </w:p>
        </w:tc>
      </w:tr>
      <w:tr w:rsidR="00843C1F" w:rsidRPr="00A66107" w14:paraId="3F11347F"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3C30EF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D218C8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3B198B8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5E0AD4E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0.20 [0.01–6.62]</w:t>
            </w:r>
          </w:p>
        </w:tc>
        <w:tc>
          <w:tcPr>
            <w:tcW w:w="1481" w:type="dxa"/>
          </w:tcPr>
          <w:p w14:paraId="6097268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0.46 [0.02–15.10]</w:t>
            </w:r>
          </w:p>
        </w:tc>
        <w:tc>
          <w:tcPr>
            <w:tcW w:w="1567" w:type="dxa"/>
          </w:tcPr>
          <w:p w14:paraId="21AD8C6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1.13 [0.04–36.20]</w:t>
            </w:r>
          </w:p>
        </w:tc>
        <w:tc>
          <w:tcPr>
            <w:tcW w:w="1567" w:type="dxa"/>
          </w:tcPr>
          <w:p w14:paraId="19F09F0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6.04 [0.24–178.72]</w:t>
            </w:r>
          </w:p>
        </w:tc>
      </w:tr>
      <w:tr w:rsidR="00843C1F" w:rsidRPr="00A66107" w14:paraId="4D56F6A6" w14:textId="77777777" w:rsidTr="00A66107">
        <w:trPr>
          <w:trHeight w:val="144"/>
        </w:trPr>
        <w:tc>
          <w:tcPr>
            <w:tcW w:w="1135" w:type="dxa"/>
            <w:vMerge/>
          </w:tcPr>
          <w:p w14:paraId="1217B00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31C89F6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78975E3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62059E1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[0.01–0.96]</w:t>
            </w:r>
          </w:p>
        </w:tc>
        <w:tc>
          <w:tcPr>
            <w:tcW w:w="1481" w:type="dxa"/>
          </w:tcPr>
          <w:p w14:paraId="0C8E06C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0.29 [0.02–2.12]</w:t>
            </w:r>
          </w:p>
        </w:tc>
        <w:tc>
          <w:tcPr>
            <w:tcW w:w="1567" w:type="dxa"/>
          </w:tcPr>
          <w:p w14:paraId="3FA621B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0.75 [0.05–5.49]</w:t>
            </w:r>
          </w:p>
        </w:tc>
        <w:tc>
          <w:tcPr>
            <w:tcW w:w="1567" w:type="dxa"/>
          </w:tcPr>
          <w:p w14:paraId="6368FA4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3.91 [0.31–23.40]</w:t>
            </w:r>
          </w:p>
        </w:tc>
      </w:tr>
      <w:tr w:rsidR="00843C1F" w:rsidRPr="00A66107" w14:paraId="52B264BE" w14:textId="77777777" w:rsidTr="00A66107">
        <w:trPr>
          <w:cnfStyle w:val="000000100000" w:firstRow="0" w:lastRow="0" w:firstColumn="0" w:lastColumn="0" w:oddVBand="0" w:evenVBand="0" w:oddHBand="1" w:evenHBand="0" w:firstRowFirstColumn="0" w:firstRowLastColumn="0" w:lastRowFirstColumn="0" w:lastRowLastColumn="0"/>
          <w:trHeight w:val="421"/>
        </w:trPr>
        <w:tc>
          <w:tcPr>
            <w:tcW w:w="1135" w:type="dxa"/>
            <w:vMerge w:val="restart"/>
          </w:tcPr>
          <w:p w14:paraId="1C410B42" w14:textId="51BF51D8" w:rsidR="00843C1F" w:rsidRPr="00A66107" w:rsidRDefault="00DD34EB">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color w:val="000000"/>
                <w:sz w:val="18"/>
                <w:szCs w:val="18"/>
              </w:rPr>
              <w:t xml:space="preserve">Benefit risk ratio for </w:t>
            </w:r>
            <w:r w:rsidR="00843C1F" w:rsidRPr="00A66107">
              <w:rPr>
                <w:rFonts w:ascii="Calibri" w:eastAsia="Arial" w:hAnsi="Calibri" w:cs="Calibri"/>
                <w:color w:val="000000"/>
                <w:sz w:val="18"/>
                <w:szCs w:val="18"/>
              </w:rPr>
              <w:t>Death</w:t>
            </w:r>
          </w:p>
        </w:tc>
        <w:tc>
          <w:tcPr>
            <w:tcW w:w="996" w:type="dxa"/>
            <w:vMerge w:val="restart"/>
          </w:tcPr>
          <w:p w14:paraId="0659AB5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&lt;5%</w:t>
            </w:r>
          </w:p>
        </w:tc>
        <w:tc>
          <w:tcPr>
            <w:tcW w:w="1029" w:type="dxa"/>
          </w:tcPr>
          <w:p w14:paraId="390FADB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2988B97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[0.00–5.12]</w:t>
            </w:r>
          </w:p>
        </w:tc>
        <w:tc>
          <w:tcPr>
            <w:tcW w:w="1481" w:type="dxa"/>
          </w:tcPr>
          <w:p w14:paraId="7D3F346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[0.00–9.84]</w:t>
            </w:r>
          </w:p>
        </w:tc>
        <w:tc>
          <w:tcPr>
            <w:tcW w:w="1567" w:type="dxa"/>
          </w:tcPr>
          <w:p w14:paraId="7CCB875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[0.00–23.67]</w:t>
            </w:r>
          </w:p>
        </w:tc>
        <w:tc>
          <w:tcPr>
            <w:tcW w:w="1567" w:type="dxa"/>
          </w:tcPr>
          <w:p w14:paraId="2714594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0.15 [0.01–85.92]</w:t>
            </w:r>
          </w:p>
        </w:tc>
      </w:tr>
      <w:tr w:rsidR="00843C1F" w:rsidRPr="00A66107" w14:paraId="67412249" w14:textId="77777777" w:rsidTr="00A66107">
        <w:trPr>
          <w:trHeight w:val="144"/>
        </w:trPr>
        <w:tc>
          <w:tcPr>
            <w:tcW w:w="1135" w:type="dxa"/>
            <w:vMerge/>
          </w:tcPr>
          <w:p w14:paraId="20CFA65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592D1ED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3305D42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01A8F48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[0.00–3.42]</w:t>
            </w:r>
          </w:p>
        </w:tc>
        <w:tc>
          <w:tcPr>
            <w:tcW w:w="1481" w:type="dxa"/>
          </w:tcPr>
          <w:p w14:paraId="49B8908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[0.00–8.34]</w:t>
            </w:r>
          </w:p>
        </w:tc>
        <w:tc>
          <w:tcPr>
            <w:tcW w:w="1567" w:type="dxa"/>
          </w:tcPr>
          <w:p w14:paraId="488DE74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[0.00–16.27]</w:t>
            </w:r>
          </w:p>
        </w:tc>
        <w:tc>
          <w:tcPr>
            <w:tcW w:w="1567" w:type="dxa"/>
          </w:tcPr>
          <w:p w14:paraId="06EDAE3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0.11 [0.01–54.57]</w:t>
            </w:r>
          </w:p>
        </w:tc>
      </w:tr>
      <w:tr w:rsidR="00843C1F" w:rsidRPr="00A66107" w14:paraId="1D768B35"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8CD2E1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026E5E4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5F23CAE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7B2B8BC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[0.00–4.17]</w:t>
            </w:r>
          </w:p>
        </w:tc>
        <w:tc>
          <w:tcPr>
            <w:tcW w:w="1481" w:type="dxa"/>
          </w:tcPr>
          <w:p w14:paraId="509D76C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[0.00–9.01]</w:t>
            </w:r>
          </w:p>
        </w:tc>
        <w:tc>
          <w:tcPr>
            <w:tcW w:w="1567" w:type="dxa"/>
          </w:tcPr>
          <w:p w14:paraId="43E2A05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[0.00–18.92]</w:t>
            </w:r>
          </w:p>
        </w:tc>
        <w:tc>
          <w:tcPr>
            <w:tcW w:w="1567" w:type="dxa"/>
          </w:tcPr>
          <w:p w14:paraId="682CE5B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0.14 [0.01–67.09]</w:t>
            </w:r>
          </w:p>
        </w:tc>
      </w:tr>
      <w:tr w:rsidR="00843C1F" w:rsidRPr="00A66107" w14:paraId="633B2299" w14:textId="77777777" w:rsidTr="00A66107">
        <w:trPr>
          <w:trHeight w:val="144"/>
        </w:trPr>
        <w:tc>
          <w:tcPr>
            <w:tcW w:w="1135" w:type="dxa"/>
            <w:vMerge/>
          </w:tcPr>
          <w:p w14:paraId="67C73A4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113C7A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4EE02AC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08D6534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[0.00–0.14]</w:t>
            </w:r>
          </w:p>
        </w:tc>
        <w:tc>
          <w:tcPr>
            <w:tcW w:w="1481" w:type="dxa"/>
          </w:tcPr>
          <w:p w14:paraId="2145F17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[0.00–0.29]</w:t>
            </w:r>
          </w:p>
        </w:tc>
        <w:tc>
          <w:tcPr>
            <w:tcW w:w="1567" w:type="dxa"/>
          </w:tcPr>
          <w:p w14:paraId="134C07F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[0.01–0.65]</w:t>
            </w:r>
          </w:p>
        </w:tc>
        <w:tc>
          <w:tcPr>
            <w:tcW w:w="1567" w:type="dxa"/>
          </w:tcPr>
          <w:p w14:paraId="66DA63F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0.15 [0.02–2.44]</w:t>
            </w:r>
          </w:p>
        </w:tc>
      </w:tr>
      <w:tr w:rsidR="00843C1F" w:rsidRPr="00A66107" w14:paraId="3FA69DF2"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6EAB362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394A3A1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5–10%</w:t>
            </w:r>
          </w:p>
        </w:tc>
        <w:tc>
          <w:tcPr>
            <w:tcW w:w="1029" w:type="dxa"/>
          </w:tcPr>
          <w:p w14:paraId="6FA31A7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5F3AEAB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[0.00–14.56]</w:t>
            </w:r>
          </w:p>
        </w:tc>
        <w:tc>
          <w:tcPr>
            <w:tcW w:w="1481" w:type="dxa"/>
          </w:tcPr>
          <w:p w14:paraId="724C7EF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0.06 [0.00–34.66]</w:t>
            </w:r>
          </w:p>
        </w:tc>
        <w:tc>
          <w:tcPr>
            <w:tcW w:w="1567" w:type="dxa"/>
          </w:tcPr>
          <w:p w14:paraId="7BAFEB4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0.14 [0.01–78.08]</w:t>
            </w:r>
          </w:p>
        </w:tc>
        <w:tc>
          <w:tcPr>
            <w:tcW w:w="1567" w:type="dxa"/>
          </w:tcPr>
          <w:p w14:paraId="26E1CDF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0.55 [0.04–287.70]</w:t>
            </w:r>
          </w:p>
        </w:tc>
      </w:tr>
      <w:tr w:rsidR="00843C1F" w:rsidRPr="00A66107" w14:paraId="269E4532" w14:textId="77777777" w:rsidTr="00A66107">
        <w:trPr>
          <w:trHeight w:val="144"/>
        </w:trPr>
        <w:tc>
          <w:tcPr>
            <w:tcW w:w="1135" w:type="dxa"/>
            <w:vMerge/>
          </w:tcPr>
          <w:p w14:paraId="76062F5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6541CE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43E608E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6AF0AC8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[0.00–9.39]</w:t>
            </w:r>
          </w:p>
        </w:tc>
        <w:tc>
          <w:tcPr>
            <w:tcW w:w="1481" w:type="dxa"/>
          </w:tcPr>
          <w:p w14:paraId="2E18C29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[0.00–19.62]</w:t>
            </w:r>
          </w:p>
        </w:tc>
        <w:tc>
          <w:tcPr>
            <w:tcW w:w="1567" w:type="dxa"/>
          </w:tcPr>
          <w:p w14:paraId="06EDF03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0.11 [0.01–47.15]</w:t>
            </w:r>
          </w:p>
        </w:tc>
        <w:tc>
          <w:tcPr>
            <w:tcW w:w="1567" w:type="dxa"/>
          </w:tcPr>
          <w:p w14:paraId="7124AA1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0.43 [0.03–190.33]</w:t>
            </w:r>
          </w:p>
        </w:tc>
      </w:tr>
      <w:tr w:rsidR="00843C1F" w:rsidRPr="00A66107" w14:paraId="1E4DB7AC"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20D146F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179D17C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00A4F14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52C9D49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[0.00–11.82]</w:t>
            </w:r>
          </w:p>
        </w:tc>
        <w:tc>
          <w:tcPr>
            <w:tcW w:w="1481" w:type="dxa"/>
          </w:tcPr>
          <w:p w14:paraId="23EC7DF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0.06 [0.00–25.79]</w:t>
            </w:r>
          </w:p>
        </w:tc>
        <w:tc>
          <w:tcPr>
            <w:tcW w:w="1567" w:type="dxa"/>
          </w:tcPr>
          <w:p w14:paraId="42AA4AD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0.13 [0.01–73.00]</w:t>
            </w:r>
          </w:p>
        </w:tc>
        <w:tc>
          <w:tcPr>
            <w:tcW w:w="1567" w:type="dxa"/>
          </w:tcPr>
          <w:p w14:paraId="1A071F6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0.51 [0.03–278.98]</w:t>
            </w:r>
          </w:p>
        </w:tc>
      </w:tr>
      <w:tr w:rsidR="00843C1F" w:rsidRPr="00A66107" w14:paraId="1D8BAA0F" w14:textId="77777777" w:rsidTr="00A66107">
        <w:trPr>
          <w:trHeight w:val="144"/>
        </w:trPr>
        <w:tc>
          <w:tcPr>
            <w:tcW w:w="1135" w:type="dxa"/>
            <w:vMerge/>
          </w:tcPr>
          <w:p w14:paraId="268C0CD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5D649C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8D9732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7923251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[0.00–0.32]</w:t>
            </w:r>
          </w:p>
        </w:tc>
        <w:tc>
          <w:tcPr>
            <w:tcW w:w="1481" w:type="dxa"/>
          </w:tcPr>
          <w:p w14:paraId="5452A43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0.07 [0.01–0.71]</w:t>
            </w:r>
          </w:p>
        </w:tc>
        <w:tc>
          <w:tcPr>
            <w:tcW w:w="1567" w:type="dxa"/>
          </w:tcPr>
          <w:p w14:paraId="0173C3E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0.16 [0.02–1.84]</w:t>
            </w:r>
          </w:p>
        </w:tc>
        <w:tc>
          <w:tcPr>
            <w:tcW w:w="1567" w:type="dxa"/>
          </w:tcPr>
          <w:p w14:paraId="512F458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0.59 [0.09–6.36]</w:t>
            </w:r>
          </w:p>
        </w:tc>
      </w:tr>
      <w:tr w:rsidR="00843C1F" w:rsidRPr="00A66107" w14:paraId="3094142A"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1207C81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4F9498A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10%+</w:t>
            </w:r>
          </w:p>
        </w:tc>
        <w:tc>
          <w:tcPr>
            <w:tcW w:w="1029" w:type="dxa"/>
          </w:tcPr>
          <w:p w14:paraId="12B177F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3D54202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[0.00–21.78]</w:t>
            </w:r>
          </w:p>
        </w:tc>
        <w:tc>
          <w:tcPr>
            <w:tcW w:w="1481" w:type="dxa"/>
          </w:tcPr>
          <w:p w14:paraId="5F61BDA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0.10 [0.00–41.99]</w:t>
            </w:r>
          </w:p>
        </w:tc>
        <w:tc>
          <w:tcPr>
            <w:tcW w:w="1567" w:type="dxa"/>
          </w:tcPr>
          <w:p w14:paraId="43B5687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0.25 [0.01–126.94]</w:t>
            </w:r>
          </w:p>
        </w:tc>
        <w:tc>
          <w:tcPr>
            <w:tcW w:w="1567" w:type="dxa"/>
          </w:tcPr>
          <w:p w14:paraId="21756AE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1.22 [0.05–621.14]</w:t>
            </w:r>
          </w:p>
        </w:tc>
      </w:tr>
      <w:tr w:rsidR="00843C1F" w:rsidRPr="00A66107" w14:paraId="7F5AC372" w14:textId="77777777" w:rsidTr="00A66107">
        <w:trPr>
          <w:trHeight w:val="144"/>
        </w:trPr>
        <w:tc>
          <w:tcPr>
            <w:tcW w:w="1135" w:type="dxa"/>
            <w:vMerge/>
          </w:tcPr>
          <w:p w14:paraId="3BD651B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2809DE1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1D9A789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4A1211D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[0.00–14.12]</w:t>
            </w:r>
          </w:p>
        </w:tc>
        <w:tc>
          <w:tcPr>
            <w:tcW w:w="1481" w:type="dxa"/>
          </w:tcPr>
          <w:p w14:paraId="3242AFF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0.07 [0.00–34.27]</w:t>
            </w:r>
          </w:p>
        </w:tc>
        <w:tc>
          <w:tcPr>
            <w:tcW w:w="1567" w:type="dxa"/>
          </w:tcPr>
          <w:p w14:paraId="4366125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0.18 [0.01–99.87]</w:t>
            </w:r>
          </w:p>
        </w:tc>
        <w:tc>
          <w:tcPr>
            <w:tcW w:w="1567" w:type="dxa"/>
          </w:tcPr>
          <w:p w14:paraId="3DDA6B7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0.96 [0.04–459.24]</w:t>
            </w:r>
          </w:p>
        </w:tc>
      </w:tr>
      <w:tr w:rsidR="00843C1F" w:rsidRPr="00A66107" w14:paraId="067C2B3B"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5808E43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82849A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C9D870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72529DD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0.04 [0.00–20.65]</w:t>
            </w:r>
          </w:p>
        </w:tc>
        <w:tc>
          <w:tcPr>
            <w:tcW w:w="1481" w:type="dxa"/>
          </w:tcPr>
          <w:p w14:paraId="667F24A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0.09 [0.00–43.15]</w:t>
            </w:r>
          </w:p>
        </w:tc>
        <w:tc>
          <w:tcPr>
            <w:tcW w:w="1567" w:type="dxa"/>
          </w:tcPr>
          <w:p w14:paraId="36AD7D1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0.23 [0.01–112.37]</w:t>
            </w:r>
          </w:p>
        </w:tc>
        <w:tc>
          <w:tcPr>
            <w:tcW w:w="1567" w:type="dxa"/>
          </w:tcPr>
          <w:p w14:paraId="38A3FF0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1.20 [0.05–630.42]</w:t>
            </w:r>
          </w:p>
        </w:tc>
      </w:tr>
      <w:tr w:rsidR="00843C1F" w:rsidRPr="00A66107" w14:paraId="6E8BC65D" w14:textId="77777777" w:rsidTr="00A66107">
        <w:trPr>
          <w:trHeight w:val="144"/>
        </w:trPr>
        <w:tc>
          <w:tcPr>
            <w:tcW w:w="1135" w:type="dxa"/>
            <w:vMerge/>
          </w:tcPr>
          <w:p w14:paraId="64932EE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7D7C38A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2196307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19CF12B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[0.00–0.66]</w:t>
            </w:r>
          </w:p>
        </w:tc>
        <w:tc>
          <w:tcPr>
            <w:tcW w:w="1481" w:type="dxa"/>
          </w:tcPr>
          <w:p w14:paraId="380EA2A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0.10 [0.01–1.49]</w:t>
            </w:r>
          </w:p>
        </w:tc>
        <w:tc>
          <w:tcPr>
            <w:tcW w:w="1567" w:type="dxa"/>
          </w:tcPr>
          <w:p w14:paraId="2482607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0.26 [0.02–3.80]</w:t>
            </w:r>
          </w:p>
        </w:tc>
        <w:tc>
          <w:tcPr>
            <w:tcW w:w="1567" w:type="dxa"/>
          </w:tcPr>
          <w:p w14:paraId="38BABA5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1.34 [0.10–17.89]</w:t>
            </w:r>
          </w:p>
        </w:tc>
      </w:tr>
      <w:tr w:rsidR="00843C1F" w:rsidRPr="00A66107" w14:paraId="1B7F7B36" w14:textId="77777777" w:rsidTr="00A66107">
        <w:trPr>
          <w:cnfStyle w:val="000000100000" w:firstRow="0" w:lastRow="0" w:firstColumn="0" w:lastColumn="0" w:oddVBand="0" w:evenVBand="0" w:oddHBand="1" w:evenHBand="0" w:firstRowFirstColumn="0" w:firstRowLastColumn="0" w:lastRowFirstColumn="0" w:lastRowLastColumn="0"/>
          <w:trHeight w:val="421"/>
        </w:trPr>
        <w:tc>
          <w:tcPr>
            <w:tcW w:w="1135" w:type="dxa"/>
            <w:vMerge w:val="restart"/>
          </w:tcPr>
          <w:p w14:paraId="0345DC6B" w14:textId="511A84BA" w:rsidR="00843C1F" w:rsidRPr="00A66107" w:rsidRDefault="00DD34EB">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color w:val="000000"/>
                <w:sz w:val="18"/>
                <w:szCs w:val="18"/>
              </w:rPr>
              <w:t xml:space="preserve">Benefit risk ratio for </w:t>
            </w:r>
            <w:r w:rsidR="00843C1F" w:rsidRPr="00A66107">
              <w:rPr>
                <w:rFonts w:ascii="Calibri" w:eastAsia="Arial" w:hAnsi="Calibri" w:cs="Calibri"/>
                <w:color w:val="000000"/>
                <w:sz w:val="18"/>
                <w:szCs w:val="18"/>
              </w:rPr>
              <w:t>SAE</w:t>
            </w:r>
          </w:p>
        </w:tc>
        <w:tc>
          <w:tcPr>
            <w:tcW w:w="996" w:type="dxa"/>
            <w:vMerge w:val="restart"/>
          </w:tcPr>
          <w:p w14:paraId="2A25A74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&lt;5%</w:t>
            </w:r>
          </w:p>
        </w:tc>
        <w:tc>
          <w:tcPr>
            <w:tcW w:w="1029" w:type="dxa"/>
          </w:tcPr>
          <w:p w14:paraId="018FF1D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0A3CBC4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[0.01–0.15]</w:t>
            </w:r>
          </w:p>
        </w:tc>
        <w:tc>
          <w:tcPr>
            <w:tcW w:w="1481" w:type="dxa"/>
          </w:tcPr>
          <w:p w14:paraId="571022C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0.07 [0.01–0.32]</w:t>
            </w:r>
          </w:p>
        </w:tc>
        <w:tc>
          <w:tcPr>
            <w:tcW w:w="1567" w:type="dxa"/>
          </w:tcPr>
          <w:p w14:paraId="2113CF2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0.16 [0.03–0.75]</w:t>
            </w:r>
          </w:p>
        </w:tc>
        <w:tc>
          <w:tcPr>
            <w:tcW w:w="1567" w:type="dxa"/>
          </w:tcPr>
          <w:p w14:paraId="0FFDED2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0.55 [0.12–2.76]</w:t>
            </w:r>
          </w:p>
        </w:tc>
      </w:tr>
      <w:tr w:rsidR="00843C1F" w:rsidRPr="00A66107" w14:paraId="72366BC1" w14:textId="77777777" w:rsidTr="00A66107">
        <w:trPr>
          <w:trHeight w:val="144"/>
        </w:trPr>
        <w:tc>
          <w:tcPr>
            <w:tcW w:w="1135" w:type="dxa"/>
            <w:vMerge/>
          </w:tcPr>
          <w:p w14:paraId="04A6872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039AE5E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8721AB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7C76E15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[0.00–0.07]</w:t>
            </w:r>
          </w:p>
        </w:tc>
        <w:tc>
          <w:tcPr>
            <w:tcW w:w="1481" w:type="dxa"/>
          </w:tcPr>
          <w:p w14:paraId="77B0067E"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[0.01–0.15]</w:t>
            </w:r>
          </w:p>
        </w:tc>
        <w:tc>
          <w:tcPr>
            <w:tcW w:w="1567" w:type="dxa"/>
          </w:tcPr>
          <w:p w14:paraId="36F6170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[0.02–0.36]</w:t>
            </w:r>
          </w:p>
        </w:tc>
        <w:tc>
          <w:tcPr>
            <w:tcW w:w="1567" w:type="dxa"/>
          </w:tcPr>
          <w:p w14:paraId="19DDEF6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0.27 [0.05–1.29]</w:t>
            </w:r>
          </w:p>
        </w:tc>
      </w:tr>
      <w:tr w:rsidR="00843C1F" w:rsidRPr="00A66107" w14:paraId="2EF56196"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2CD0B86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5E4054C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65009FE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6402F2F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[0.00–0.05]</w:t>
            </w:r>
          </w:p>
        </w:tc>
        <w:tc>
          <w:tcPr>
            <w:tcW w:w="1481" w:type="dxa"/>
          </w:tcPr>
          <w:p w14:paraId="6030320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[0.00–0.10]</w:t>
            </w:r>
          </w:p>
        </w:tc>
        <w:tc>
          <w:tcPr>
            <w:tcW w:w="1567" w:type="dxa"/>
          </w:tcPr>
          <w:p w14:paraId="33FCA5F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[0.01–0.22]</w:t>
            </w:r>
          </w:p>
        </w:tc>
        <w:tc>
          <w:tcPr>
            <w:tcW w:w="1567" w:type="dxa"/>
          </w:tcPr>
          <w:p w14:paraId="7E76CF2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0.17 [0.03–0.84]</w:t>
            </w:r>
          </w:p>
        </w:tc>
      </w:tr>
      <w:tr w:rsidR="00843C1F" w:rsidRPr="00A66107" w14:paraId="2A2CAE37" w14:textId="77777777" w:rsidTr="00A66107">
        <w:trPr>
          <w:trHeight w:val="144"/>
        </w:trPr>
        <w:tc>
          <w:tcPr>
            <w:tcW w:w="1135" w:type="dxa"/>
            <w:vMerge/>
          </w:tcPr>
          <w:p w14:paraId="16AD725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1707311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09F32AE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50C0C65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0.00 [0.00–0.01]</w:t>
            </w:r>
          </w:p>
        </w:tc>
        <w:tc>
          <w:tcPr>
            <w:tcW w:w="1481" w:type="dxa"/>
          </w:tcPr>
          <w:p w14:paraId="0E84DD5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[0.00–0.03]</w:t>
            </w:r>
          </w:p>
        </w:tc>
        <w:tc>
          <w:tcPr>
            <w:tcW w:w="1567" w:type="dxa"/>
          </w:tcPr>
          <w:p w14:paraId="1A2BB96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[0.00–0.07]</w:t>
            </w:r>
          </w:p>
        </w:tc>
        <w:tc>
          <w:tcPr>
            <w:tcW w:w="1567" w:type="dxa"/>
          </w:tcPr>
          <w:p w14:paraId="1A75899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0.07 [0.02–0.28]</w:t>
            </w:r>
          </w:p>
        </w:tc>
      </w:tr>
      <w:tr w:rsidR="00843C1F" w:rsidRPr="00A66107" w14:paraId="625FE289"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F24429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7D1B165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5–10%</w:t>
            </w:r>
          </w:p>
        </w:tc>
        <w:tc>
          <w:tcPr>
            <w:tcW w:w="1029" w:type="dxa"/>
          </w:tcPr>
          <w:p w14:paraId="1335A52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0C0DD25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0.11 [0.02–0.32]</w:t>
            </w:r>
          </w:p>
        </w:tc>
        <w:tc>
          <w:tcPr>
            <w:tcW w:w="1481" w:type="dxa"/>
          </w:tcPr>
          <w:p w14:paraId="094C03A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0.26 [0.04–0.70]</w:t>
            </w:r>
          </w:p>
        </w:tc>
        <w:tc>
          <w:tcPr>
            <w:tcW w:w="1567" w:type="dxa"/>
          </w:tcPr>
          <w:p w14:paraId="44356E5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0.61 [0.11–1.69]</w:t>
            </w:r>
          </w:p>
        </w:tc>
        <w:tc>
          <w:tcPr>
            <w:tcW w:w="1567" w:type="dxa"/>
          </w:tcPr>
          <w:p w14:paraId="50D6FAC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2.28 [0.50–6.12]</w:t>
            </w:r>
          </w:p>
        </w:tc>
      </w:tr>
      <w:tr w:rsidR="00843C1F" w:rsidRPr="00A66107" w14:paraId="5C9AA0E5" w14:textId="77777777" w:rsidTr="00A66107">
        <w:trPr>
          <w:trHeight w:val="144"/>
        </w:trPr>
        <w:tc>
          <w:tcPr>
            <w:tcW w:w="1135" w:type="dxa"/>
            <w:vMerge/>
          </w:tcPr>
          <w:p w14:paraId="138282B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10DDF51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2E0F11F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133148E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[0.01–0.15]</w:t>
            </w:r>
          </w:p>
        </w:tc>
        <w:tc>
          <w:tcPr>
            <w:tcW w:w="1481" w:type="dxa"/>
          </w:tcPr>
          <w:p w14:paraId="64C6E91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0.12 [0.02–0.33]</w:t>
            </w:r>
          </w:p>
        </w:tc>
        <w:tc>
          <w:tcPr>
            <w:tcW w:w="1567" w:type="dxa"/>
          </w:tcPr>
          <w:p w14:paraId="3DE9C88A"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0.29 [0.05–0.80]</w:t>
            </w:r>
          </w:p>
        </w:tc>
        <w:tc>
          <w:tcPr>
            <w:tcW w:w="1567" w:type="dxa"/>
          </w:tcPr>
          <w:p w14:paraId="4CBF292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1.07 [0.24–3.00]</w:t>
            </w:r>
          </w:p>
        </w:tc>
      </w:tr>
      <w:tr w:rsidR="00843C1F" w:rsidRPr="00A66107" w14:paraId="6845E9FE"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331B685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3D7E310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2D2B196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697A720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[0.01–0.10]</w:t>
            </w:r>
          </w:p>
        </w:tc>
        <w:tc>
          <w:tcPr>
            <w:tcW w:w="1481" w:type="dxa"/>
          </w:tcPr>
          <w:p w14:paraId="1975B98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[0.01–0.22]</w:t>
            </w:r>
          </w:p>
        </w:tc>
        <w:tc>
          <w:tcPr>
            <w:tcW w:w="1567" w:type="dxa"/>
          </w:tcPr>
          <w:p w14:paraId="545A7BD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0.19 [0.03–0.51]</w:t>
            </w:r>
          </w:p>
        </w:tc>
        <w:tc>
          <w:tcPr>
            <w:tcW w:w="1567" w:type="dxa"/>
          </w:tcPr>
          <w:p w14:paraId="2E4D586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0.69 [0.16–1.87]</w:t>
            </w:r>
          </w:p>
        </w:tc>
      </w:tr>
      <w:tr w:rsidR="00843C1F" w:rsidRPr="00A66107" w14:paraId="6FCFFFA4" w14:textId="77777777" w:rsidTr="00A66107">
        <w:trPr>
          <w:trHeight w:val="144"/>
        </w:trPr>
        <w:tc>
          <w:tcPr>
            <w:tcW w:w="1135" w:type="dxa"/>
            <w:vMerge/>
          </w:tcPr>
          <w:p w14:paraId="5D2EAF6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630C057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5F3A9A8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6646B68F"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0.01 [0.00–0.03]</w:t>
            </w:r>
          </w:p>
        </w:tc>
        <w:tc>
          <w:tcPr>
            <w:tcW w:w="1481" w:type="dxa"/>
          </w:tcPr>
          <w:p w14:paraId="41D66869"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0.03 [0.00–0.06]</w:t>
            </w:r>
          </w:p>
        </w:tc>
        <w:tc>
          <w:tcPr>
            <w:tcW w:w="1567" w:type="dxa"/>
          </w:tcPr>
          <w:p w14:paraId="5970638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[0.01–0.15]</w:t>
            </w:r>
          </w:p>
        </w:tc>
        <w:tc>
          <w:tcPr>
            <w:tcW w:w="1567" w:type="dxa"/>
          </w:tcPr>
          <w:p w14:paraId="47A714A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0.28 [0.07–0.54]</w:t>
            </w:r>
          </w:p>
        </w:tc>
      </w:tr>
      <w:tr w:rsidR="00843C1F" w:rsidRPr="00A66107" w14:paraId="6CFA7FBE"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198F208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val="restart"/>
          </w:tcPr>
          <w:p w14:paraId="22DFAEBD"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10%+</w:t>
            </w:r>
          </w:p>
        </w:tc>
        <w:tc>
          <w:tcPr>
            <w:tcW w:w="1029" w:type="dxa"/>
          </w:tcPr>
          <w:p w14:paraId="7A3F5E6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1-11</w:t>
            </w:r>
          </w:p>
        </w:tc>
        <w:tc>
          <w:tcPr>
            <w:tcW w:w="1481" w:type="dxa"/>
          </w:tcPr>
          <w:p w14:paraId="6C148148"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0.17 [0.02–0.75]</w:t>
            </w:r>
          </w:p>
        </w:tc>
        <w:tc>
          <w:tcPr>
            <w:tcW w:w="1481" w:type="dxa"/>
          </w:tcPr>
          <w:p w14:paraId="69B0A37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0.39 [0.04–1.74]</w:t>
            </w:r>
          </w:p>
        </w:tc>
        <w:tc>
          <w:tcPr>
            <w:tcW w:w="1567" w:type="dxa"/>
          </w:tcPr>
          <w:p w14:paraId="387BCCE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1.00 [0.08–4.23]</w:t>
            </w:r>
          </w:p>
        </w:tc>
        <w:tc>
          <w:tcPr>
            <w:tcW w:w="1567" w:type="dxa"/>
          </w:tcPr>
          <w:p w14:paraId="00703DA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5.23 [0.54–18.45]</w:t>
            </w:r>
          </w:p>
        </w:tc>
      </w:tr>
      <w:tr w:rsidR="00843C1F" w:rsidRPr="00A66107" w14:paraId="329E83F1" w14:textId="77777777" w:rsidTr="00A66107">
        <w:trPr>
          <w:trHeight w:val="144"/>
        </w:trPr>
        <w:tc>
          <w:tcPr>
            <w:tcW w:w="1135" w:type="dxa"/>
            <w:vMerge/>
          </w:tcPr>
          <w:p w14:paraId="610385D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5F31C0F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12C4073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12-17</w:t>
            </w:r>
          </w:p>
        </w:tc>
        <w:tc>
          <w:tcPr>
            <w:tcW w:w="1481" w:type="dxa"/>
          </w:tcPr>
          <w:p w14:paraId="05549F46"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0.08 [0.01–0.38]</w:t>
            </w:r>
          </w:p>
        </w:tc>
        <w:tc>
          <w:tcPr>
            <w:tcW w:w="1481" w:type="dxa"/>
          </w:tcPr>
          <w:p w14:paraId="1A6EE3F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0.18 [0.02–0.79]</w:t>
            </w:r>
          </w:p>
        </w:tc>
        <w:tc>
          <w:tcPr>
            <w:tcW w:w="1567" w:type="dxa"/>
          </w:tcPr>
          <w:p w14:paraId="2B2B988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0.47 [0.04–1.99]</w:t>
            </w:r>
          </w:p>
        </w:tc>
        <w:tc>
          <w:tcPr>
            <w:tcW w:w="1567" w:type="dxa"/>
          </w:tcPr>
          <w:p w14:paraId="42863B5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2.47 [0.27–8.63]</w:t>
            </w:r>
          </w:p>
        </w:tc>
      </w:tr>
      <w:tr w:rsidR="00843C1F" w:rsidRPr="00A66107" w14:paraId="6155E34D" w14:textId="77777777" w:rsidTr="00A6610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6389583"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43CC77B7"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1619790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18-64</w:t>
            </w:r>
          </w:p>
        </w:tc>
        <w:tc>
          <w:tcPr>
            <w:tcW w:w="1481" w:type="dxa"/>
          </w:tcPr>
          <w:p w14:paraId="6A43E6D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[0.00–0.23]</w:t>
            </w:r>
          </w:p>
        </w:tc>
        <w:tc>
          <w:tcPr>
            <w:tcW w:w="1481" w:type="dxa"/>
          </w:tcPr>
          <w:p w14:paraId="49FAB665"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0.12 [0.01–0.54]</w:t>
            </w:r>
          </w:p>
        </w:tc>
        <w:tc>
          <w:tcPr>
            <w:tcW w:w="1567" w:type="dxa"/>
          </w:tcPr>
          <w:p w14:paraId="32340BB2"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0.30 [0.02–1.27]</w:t>
            </w:r>
          </w:p>
        </w:tc>
        <w:tc>
          <w:tcPr>
            <w:tcW w:w="1567" w:type="dxa"/>
          </w:tcPr>
          <w:p w14:paraId="11B17EB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1.63 [0.16–5.60]</w:t>
            </w:r>
          </w:p>
        </w:tc>
      </w:tr>
      <w:tr w:rsidR="00843C1F" w:rsidRPr="00A66107" w14:paraId="103A6D68" w14:textId="77777777" w:rsidTr="00A66107">
        <w:trPr>
          <w:trHeight w:val="144"/>
        </w:trPr>
        <w:tc>
          <w:tcPr>
            <w:tcW w:w="1135" w:type="dxa"/>
            <w:vMerge/>
          </w:tcPr>
          <w:p w14:paraId="36FDF81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6" w:type="dxa"/>
            <w:vMerge/>
          </w:tcPr>
          <w:p w14:paraId="48241CA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029" w:type="dxa"/>
          </w:tcPr>
          <w:p w14:paraId="2C6CA570"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A66107">
              <w:rPr>
                <w:rFonts w:ascii="Calibri" w:eastAsia="Arial" w:hAnsi="Calibri" w:cs="Calibri"/>
                <w:color w:val="000000"/>
                <w:sz w:val="18"/>
                <w:szCs w:val="18"/>
              </w:rPr>
              <w:t>65+</w:t>
            </w:r>
          </w:p>
        </w:tc>
        <w:tc>
          <w:tcPr>
            <w:tcW w:w="1481" w:type="dxa"/>
          </w:tcPr>
          <w:p w14:paraId="5F1380F1"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0.02 [0.00–0.08]</w:t>
            </w:r>
          </w:p>
        </w:tc>
        <w:tc>
          <w:tcPr>
            <w:tcW w:w="1481" w:type="dxa"/>
          </w:tcPr>
          <w:p w14:paraId="0A4693CB"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0.05 [0.00–0.17]</w:t>
            </w:r>
          </w:p>
        </w:tc>
        <w:tc>
          <w:tcPr>
            <w:tcW w:w="1567" w:type="dxa"/>
          </w:tcPr>
          <w:p w14:paraId="50A077FC"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0.12 [0.01–0.42]</w:t>
            </w:r>
          </w:p>
        </w:tc>
        <w:tc>
          <w:tcPr>
            <w:tcW w:w="1567" w:type="dxa"/>
          </w:tcPr>
          <w:p w14:paraId="3727E2F4" w14:textId="77777777" w:rsidR="00843C1F" w:rsidRPr="00A66107" w:rsidRDefault="00843C1F">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A66107">
              <w:rPr>
                <w:rFonts w:ascii="Calibri" w:eastAsia="Arial" w:hAnsi="Calibri" w:cs="Calibri"/>
                <w:color w:val="000000"/>
                <w:sz w:val="18"/>
                <w:szCs w:val="18"/>
              </w:rPr>
              <w:t>0.65 [0.07–1.76]</w:t>
            </w:r>
          </w:p>
        </w:tc>
      </w:tr>
    </w:tbl>
    <w:p w14:paraId="36D2BE88" w14:textId="77777777" w:rsidR="00D963D0" w:rsidRDefault="00D963D0" w:rsidP="00EB3C86">
      <w:pPr>
        <w:spacing w:line="360" w:lineRule="auto"/>
        <w:rPr>
          <w:rFonts w:ascii="Calibri" w:eastAsia="Batang" w:hAnsi="Calibri" w:cs="Calibri"/>
        </w:rPr>
      </w:pPr>
    </w:p>
    <w:p w14:paraId="2B5E879F" w14:textId="77777777" w:rsidR="00EC4C24" w:rsidRPr="00BC27FF" w:rsidRDefault="00EC4C24" w:rsidP="00EB3C86">
      <w:pPr>
        <w:spacing w:line="360" w:lineRule="auto"/>
        <w:rPr>
          <w:rFonts w:ascii="Calibri" w:eastAsia="Batang" w:hAnsi="Calibri" w:cs="Calibri"/>
        </w:rPr>
        <w:sectPr w:rsidR="00EC4C24" w:rsidRPr="00BC27FF" w:rsidSect="00D963D0">
          <w:pgSz w:w="11906" w:h="16838"/>
          <w:pgMar w:top="1440" w:right="1440" w:bottom="1440" w:left="1440" w:header="708" w:footer="708" w:gutter="0"/>
          <w:cols w:space="708"/>
          <w:docGrid w:linePitch="360"/>
        </w:sectPr>
      </w:pPr>
    </w:p>
    <w:p w14:paraId="64859EF7" w14:textId="39BF7EF7" w:rsidR="00D963D0" w:rsidRPr="00B34304" w:rsidRDefault="00D963D0" w:rsidP="006E4ECC">
      <w:pPr>
        <w:spacing w:line="360" w:lineRule="auto"/>
        <w:jc w:val="both"/>
        <w:rPr>
          <w:rStyle w:val="IntenseEmphasis"/>
          <w:rFonts w:ascii="Batang" w:eastAsia="Batang" w:hAnsi="Batang" w:cs="Batang"/>
          <w:lang w:val="en-US"/>
        </w:rPr>
      </w:pPr>
      <w:r>
        <w:rPr>
          <w:rStyle w:val="IntenseEmphasis"/>
        </w:rPr>
        <w:t xml:space="preserve">Table 2. </w:t>
      </w:r>
      <w:r>
        <w:rPr>
          <w:rStyle w:val="IntenseEmphasis"/>
          <w:rFonts w:eastAsiaTheme="minorEastAsia"/>
          <w:b/>
          <w:bCs/>
          <w:color w:val="auto"/>
        </w:rPr>
        <w:t xml:space="preserve">Benefit risk ratios for death and </w:t>
      </w:r>
      <w:r w:rsidRPr="00B805B8">
        <w:rPr>
          <w:rStyle w:val="IntenseEmphasis"/>
          <w:rFonts w:eastAsiaTheme="minorEastAsia"/>
          <w:b/>
          <w:bCs/>
          <w:color w:val="auto"/>
        </w:rPr>
        <w:t xml:space="preserve">hospitalisation </w:t>
      </w:r>
      <w:r>
        <w:rPr>
          <w:rStyle w:val="IntenseEmphasis"/>
          <w:rFonts w:eastAsiaTheme="minorEastAsia"/>
          <w:b/>
          <w:bCs/>
          <w:color w:val="auto"/>
        </w:rPr>
        <w:t>for outbreak response immunisation strategies</w:t>
      </w:r>
      <w:r w:rsidR="00B34304">
        <w:rPr>
          <w:rStyle w:val="IntenseEmphasis"/>
          <w:rFonts w:eastAsiaTheme="minorEastAsia"/>
          <w:b/>
          <w:bCs/>
          <w:color w:val="auto"/>
          <w:lang w:val="en-US"/>
        </w:rPr>
        <w:t xml:space="preserve"> </w:t>
      </w:r>
      <w:r w:rsidR="007607FF">
        <w:rPr>
          <w:rStyle w:val="IntenseEmphasis"/>
          <w:rFonts w:eastAsiaTheme="minorEastAsia"/>
          <w:b/>
          <w:bCs/>
          <w:color w:val="auto"/>
          <w:lang w:val="en-US"/>
        </w:rPr>
        <w:t xml:space="preserve">by attack rate </w:t>
      </w:r>
      <w:r w:rsidR="00B34304">
        <w:rPr>
          <w:rStyle w:val="IntenseEmphasis"/>
          <w:rFonts w:eastAsiaTheme="minorEastAsia"/>
          <w:b/>
          <w:bCs/>
          <w:color w:val="auto"/>
          <w:lang w:val="en-US"/>
        </w:rPr>
        <w:t xml:space="preserve"> </w:t>
      </w:r>
    </w:p>
    <w:tbl>
      <w:tblPr>
        <w:tblStyle w:val="PlainTable2"/>
        <w:tblW w:w="0" w:type="auto"/>
        <w:tblLayout w:type="fixed"/>
        <w:tblLook w:val="0420" w:firstRow="1" w:lastRow="0" w:firstColumn="0" w:lastColumn="0" w:noHBand="0" w:noVBand="1"/>
      </w:tblPr>
      <w:tblGrid>
        <w:gridCol w:w="1199"/>
        <w:gridCol w:w="1009"/>
        <w:gridCol w:w="1358"/>
        <w:gridCol w:w="2336"/>
        <w:gridCol w:w="3114"/>
      </w:tblGrid>
      <w:tr w:rsidR="00240104" w:rsidRPr="00240104" w14:paraId="162DE665" w14:textId="77777777" w:rsidTr="00240104">
        <w:trPr>
          <w:cnfStyle w:val="100000000000" w:firstRow="1" w:lastRow="0" w:firstColumn="0" w:lastColumn="0" w:oddVBand="0" w:evenVBand="0" w:oddHBand="0" w:evenHBand="0" w:firstRowFirstColumn="0" w:firstRowLastColumn="0" w:lastRowFirstColumn="0" w:lastRowLastColumn="0"/>
          <w:trHeight w:val="415"/>
        </w:trPr>
        <w:tc>
          <w:tcPr>
            <w:tcW w:w="1199" w:type="dxa"/>
          </w:tcPr>
          <w:p w14:paraId="6B6796B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val="0"/>
                <w:color w:val="000000"/>
                <w:sz w:val="18"/>
                <w:szCs w:val="18"/>
              </w:rPr>
            </w:pPr>
            <w:r w:rsidRPr="00240104">
              <w:rPr>
                <w:rFonts w:ascii="Calibri" w:eastAsia="Helvetica" w:hAnsi="Calibri" w:cs="Calibri"/>
                <w:color w:val="000000"/>
                <w:sz w:val="18"/>
                <w:szCs w:val="18"/>
              </w:rPr>
              <w:t>Outcome</w:t>
            </w:r>
          </w:p>
        </w:tc>
        <w:tc>
          <w:tcPr>
            <w:tcW w:w="1009" w:type="dxa"/>
          </w:tcPr>
          <w:p w14:paraId="000DF853"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val="0"/>
                <w:color w:val="000000"/>
                <w:sz w:val="18"/>
                <w:szCs w:val="18"/>
              </w:rPr>
            </w:pPr>
            <w:r w:rsidRPr="00240104">
              <w:rPr>
                <w:rFonts w:ascii="Calibri" w:eastAsia="Helvetica" w:hAnsi="Calibri" w:cs="Calibri"/>
                <w:color w:val="000000"/>
                <w:sz w:val="18"/>
                <w:szCs w:val="18"/>
              </w:rPr>
              <w:t>Setting</w:t>
            </w:r>
          </w:p>
        </w:tc>
        <w:tc>
          <w:tcPr>
            <w:tcW w:w="1358" w:type="dxa"/>
          </w:tcPr>
          <w:p w14:paraId="32FC35C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val="0"/>
                <w:color w:val="000000"/>
                <w:sz w:val="18"/>
                <w:szCs w:val="18"/>
              </w:rPr>
            </w:pPr>
            <w:r w:rsidRPr="00240104">
              <w:rPr>
                <w:rFonts w:ascii="Calibri" w:eastAsia="Helvetica" w:hAnsi="Calibri" w:cs="Calibri"/>
                <w:color w:val="000000"/>
                <w:sz w:val="18"/>
                <w:szCs w:val="18"/>
              </w:rPr>
              <w:t>Age Group</w:t>
            </w:r>
          </w:p>
        </w:tc>
        <w:tc>
          <w:tcPr>
            <w:tcW w:w="2336" w:type="dxa"/>
          </w:tcPr>
          <w:p w14:paraId="10A82B4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b w:val="0"/>
                <w:color w:val="000000"/>
                <w:sz w:val="18"/>
                <w:szCs w:val="18"/>
              </w:rPr>
            </w:pPr>
            <w:r w:rsidRPr="00240104">
              <w:rPr>
                <w:rFonts w:ascii="Calibri" w:eastAsia="Helvetica" w:hAnsi="Calibri" w:cs="Calibri"/>
                <w:color w:val="000000"/>
                <w:sz w:val="18"/>
                <w:szCs w:val="18"/>
              </w:rPr>
              <w:t>Disease blocking only</w:t>
            </w:r>
          </w:p>
        </w:tc>
        <w:tc>
          <w:tcPr>
            <w:tcW w:w="3114" w:type="dxa"/>
          </w:tcPr>
          <w:p w14:paraId="1E90057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b w:val="0"/>
                <w:color w:val="000000"/>
                <w:sz w:val="18"/>
                <w:szCs w:val="18"/>
              </w:rPr>
            </w:pPr>
            <w:r w:rsidRPr="00240104">
              <w:rPr>
                <w:rFonts w:ascii="Calibri" w:eastAsia="Helvetica" w:hAnsi="Calibri" w:cs="Calibri"/>
                <w:color w:val="000000"/>
                <w:sz w:val="18"/>
                <w:szCs w:val="18"/>
              </w:rPr>
              <w:t>Disease and infection blocking</w:t>
            </w:r>
          </w:p>
        </w:tc>
      </w:tr>
      <w:tr w:rsidR="00240104" w:rsidRPr="00240104" w14:paraId="56CD171A" w14:textId="77777777" w:rsidTr="00240104">
        <w:trPr>
          <w:cnfStyle w:val="000000100000" w:firstRow="0" w:lastRow="0" w:firstColumn="0" w:lastColumn="0" w:oddVBand="0" w:evenVBand="0" w:oddHBand="1" w:evenHBand="0" w:firstRowFirstColumn="0" w:firstRowLastColumn="0" w:lastRowFirstColumn="0" w:lastRowLastColumn="0"/>
          <w:trHeight w:val="415"/>
        </w:trPr>
        <w:tc>
          <w:tcPr>
            <w:tcW w:w="1199" w:type="dxa"/>
            <w:vMerge w:val="restart"/>
          </w:tcPr>
          <w:p w14:paraId="79EC6D7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DALY</w:t>
            </w:r>
          </w:p>
        </w:tc>
        <w:tc>
          <w:tcPr>
            <w:tcW w:w="1009" w:type="dxa"/>
            <w:vMerge w:val="restart"/>
          </w:tcPr>
          <w:p w14:paraId="7E30074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&lt;5%</w:t>
            </w:r>
          </w:p>
        </w:tc>
        <w:tc>
          <w:tcPr>
            <w:tcW w:w="1358" w:type="dxa"/>
          </w:tcPr>
          <w:p w14:paraId="13933C1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1274A1A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0.49 [0.02–40.57]</w:t>
            </w:r>
          </w:p>
        </w:tc>
        <w:tc>
          <w:tcPr>
            <w:tcW w:w="3114" w:type="dxa"/>
          </w:tcPr>
          <w:p w14:paraId="1F6A946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1.36 [0.06–204.62]</w:t>
            </w:r>
          </w:p>
        </w:tc>
      </w:tr>
      <w:tr w:rsidR="00240104" w:rsidRPr="00240104" w14:paraId="3F6717B4" w14:textId="77777777" w:rsidTr="00240104">
        <w:trPr>
          <w:trHeight w:val="142"/>
        </w:trPr>
        <w:tc>
          <w:tcPr>
            <w:tcW w:w="1199" w:type="dxa"/>
            <w:vMerge/>
          </w:tcPr>
          <w:p w14:paraId="14FC23CE"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7F643C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2D929D4E"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6CA990C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0.38 [0.02–24.34]</w:t>
            </w:r>
          </w:p>
        </w:tc>
        <w:tc>
          <w:tcPr>
            <w:tcW w:w="3114" w:type="dxa"/>
          </w:tcPr>
          <w:p w14:paraId="4023FB2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1.60 [0.05–204.71]</w:t>
            </w:r>
          </w:p>
        </w:tc>
      </w:tr>
      <w:tr w:rsidR="00240104" w:rsidRPr="00240104" w14:paraId="5C794C49"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71053CF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7101A5A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673BE4B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7FC2D2A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0.39 [0.01–33.48]</w:t>
            </w:r>
          </w:p>
        </w:tc>
        <w:tc>
          <w:tcPr>
            <w:tcW w:w="3114" w:type="dxa"/>
          </w:tcPr>
          <w:p w14:paraId="7017CF5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1.18 [0.04–89.91]</w:t>
            </w:r>
          </w:p>
        </w:tc>
      </w:tr>
      <w:tr w:rsidR="00240104" w:rsidRPr="00240104" w14:paraId="06EAFB90" w14:textId="77777777" w:rsidTr="00240104">
        <w:trPr>
          <w:trHeight w:val="142"/>
        </w:trPr>
        <w:tc>
          <w:tcPr>
            <w:tcW w:w="1199" w:type="dxa"/>
            <w:vMerge/>
          </w:tcPr>
          <w:p w14:paraId="3470821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5B3B393E"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0A0FE2A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1E77066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0.14 [0.00–5.70]</w:t>
            </w:r>
          </w:p>
        </w:tc>
        <w:tc>
          <w:tcPr>
            <w:tcW w:w="3114" w:type="dxa"/>
          </w:tcPr>
          <w:p w14:paraId="573E2A5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0.75 [0.03–59.90]</w:t>
            </w:r>
          </w:p>
        </w:tc>
      </w:tr>
      <w:tr w:rsidR="00240104" w:rsidRPr="00240104" w14:paraId="7120BA09"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7FC1806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3D66E48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5-10%</w:t>
            </w:r>
          </w:p>
        </w:tc>
        <w:tc>
          <w:tcPr>
            <w:tcW w:w="1358" w:type="dxa"/>
          </w:tcPr>
          <w:p w14:paraId="2F58E57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0068778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2.61 [0.12–159.65]</w:t>
            </w:r>
          </w:p>
        </w:tc>
        <w:tc>
          <w:tcPr>
            <w:tcW w:w="3114" w:type="dxa"/>
          </w:tcPr>
          <w:p w14:paraId="42BD3ED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7.99 [0.32–467.12]</w:t>
            </w:r>
          </w:p>
        </w:tc>
      </w:tr>
      <w:tr w:rsidR="00240104" w:rsidRPr="00240104" w14:paraId="11650A91" w14:textId="77777777" w:rsidTr="00240104">
        <w:trPr>
          <w:trHeight w:val="142"/>
        </w:trPr>
        <w:tc>
          <w:tcPr>
            <w:tcW w:w="1199" w:type="dxa"/>
            <w:vMerge/>
          </w:tcPr>
          <w:p w14:paraId="0F8DE42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51759F6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28701A7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6FB412F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2.13 [0.08–103.78]</w:t>
            </w:r>
          </w:p>
        </w:tc>
        <w:tc>
          <w:tcPr>
            <w:tcW w:w="3114" w:type="dxa"/>
          </w:tcPr>
          <w:p w14:paraId="6A49198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9.19 [0.34–458.25]</w:t>
            </w:r>
          </w:p>
        </w:tc>
      </w:tr>
      <w:tr w:rsidR="00240104" w:rsidRPr="00240104" w14:paraId="76904EF4"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6C530AD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48D3630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708AA85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1268A5D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2.25 [0.07–89.99]</w:t>
            </w:r>
          </w:p>
        </w:tc>
        <w:tc>
          <w:tcPr>
            <w:tcW w:w="3114" w:type="dxa"/>
          </w:tcPr>
          <w:p w14:paraId="53AEDE3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7.66 [0.30–318.39]</w:t>
            </w:r>
          </w:p>
        </w:tc>
      </w:tr>
      <w:tr w:rsidR="00240104" w:rsidRPr="00240104" w14:paraId="4ED3F44E" w14:textId="77777777" w:rsidTr="00240104">
        <w:trPr>
          <w:trHeight w:val="142"/>
        </w:trPr>
        <w:tc>
          <w:tcPr>
            <w:tcW w:w="1199" w:type="dxa"/>
            <w:vMerge/>
          </w:tcPr>
          <w:p w14:paraId="1931D87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849D70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33CBB95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2991C0C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0.76 [0.02–10.73]</w:t>
            </w:r>
          </w:p>
        </w:tc>
        <w:tc>
          <w:tcPr>
            <w:tcW w:w="3114" w:type="dxa"/>
          </w:tcPr>
          <w:p w14:paraId="579D766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4.87 [0.24–57.46]</w:t>
            </w:r>
          </w:p>
        </w:tc>
      </w:tr>
      <w:tr w:rsidR="00240104" w:rsidRPr="00240104" w14:paraId="4C9C14A9"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3450389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0497D40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10%+</w:t>
            </w:r>
          </w:p>
        </w:tc>
        <w:tc>
          <w:tcPr>
            <w:tcW w:w="1358" w:type="dxa"/>
          </w:tcPr>
          <w:p w14:paraId="4FAE860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7557D6A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8.72 [0.34–465.56]</w:t>
            </w:r>
          </w:p>
        </w:tc>
        <w:tc>
          <w:tcPr>
            <w:tcW w:w="3114" w:type="dxa"/>
          </w:tcPr>
          <w:p w14:paraId="45D30CB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29.87 [1.02–1835.78]</w:t>
            </w:r>
          </w:p>
        </w:tc>
      </w:tr>
      <w:tr w:rsidR="00240104" w:rsidRPr="00240104" w14:paraId="7533EDF4" w14:textId="77777777" w:rsidTr="00240104">
        <w:trPr>
          <w:trHeight w:val="142"/>
        </w:trPr>
        <w:tc>
          <w:tcPr>
            <w:tcW w:w="1199" w:type="dxa"/>
            <w:vMerge/>
          </w:tcPr>
          <w:p w14:paraId="1AD1701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6FC6BE6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36838CA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6FB69EB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7.14 [0.22–374.69]</w:t>
            </w:r>
          </w:p>
        </w:tc>
        <w:tc>
          <w:tcPr>
            <w:tcW w:w="3114" w:type="dxa"/>
          </w:tcPr>
          <w:p w14:paraId="4BF4462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31.03 [0.98–1902.05]</w:t>
            </w:r>
          </w:p>
        </w:tc>
      </w:tr>
      <w:tr w:rsidR="00240104" w:rsidRPr="00240104" w14:paraId="0A42D990"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643C94C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0324D97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37B8243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2E5143D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6.15 [0.18–325.55]</w:t>
            </w:r>
          </w:p>
        </w:tc>
        <w:tc>
          <w:tcPr>
            <w:tcW w:w="3114" w:type="dxa"/>
          </w:tcPr>
          <w:p w14:paraId="7EA4905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25.21 [0.75–1155.41]</w:t>
            </w:r>
          </w:p>
        </w:tc>
      </w:tr>
      <w:tr w:rsidR="00240104" w:rsidRPr="00240104" w14:paraId="6F04C4CF" w14:textId="77777777" w:rsidTr="00240104">
        <w:trPr>
          <w:trHeight w:val="142"/>
        </w:trPr>
        <w:tc>
          <w:tcPr>
            <w:tcW w:w="1199" w:type="dxa"/>
            <w:vMerge/>
          </w:tcPr>
          <w:p w14:paraId="41A12F5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5FA322F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1081DE5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613C4DD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2.20 [0.04–34.10]</w:t>
            </w:r>
          </w:p>
        </w:tc>
        <w:tc>
          <w:tcPr>
            <w:tcW w:w="3114" w:type="dxa"/>
          </w:tcPr>
          <w:p w14:paraId="6182B91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16.14 [0.54–223.97]</w:t>
            </w:r>
          </w:p>
        </w:tc>
      </w:tr>
      <w:tr w:rsidR="00240104" w:rsidRPr="00240104" w14:paraId="5CD3F899" w14:textId="77777777" w:rsidTr="00240104">
        <w:trPr>
          <w:cnfStyle w:val="000000100000" w:firstRow="0" w:lastRow="0" w:firstColumn="0" w:lastColumn="0" w:oddVBand="0" w:evenVBand="0" w:oddHBand="1" w:evenHBand="0" w:firstRowFirstColumn="0" w:firstRowLastColumn="0" w:lastRowFirstColumn="0" w:lastRowLastColumn="0"/>
          <w:trHeight w:val="415"/>
        </w:trPr>
        <w:tc>
          <w:tcPr>
            <w:tcW w:w="1199" w:type="dxa"/>
            <w:vMerge w:val="restart"/>
          </w:tcPr>
          <w:p w14:paraId="24FF1E4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Death</w:t>
            </w:r>
          </w:p>
        </w:tc>
        <w:tc>
          <w:tcPr>
            <w:tcW w:w="1009" w:type="dxa"/>
            <w:vMerge w:val="restart"/>
          </w:tcPr>
          <w:p w14:paraId="6A3964F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&lt;5%</w:t>
            </w:r>
          </w:p>
        </w:tc>
        <w:tc>
          <w:tcPr>
            <w:tcW w:w="1358" w:type="dxa"/>
          </w:tcPr>
          <w:p w14:paraId="36E3CD3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5C43D31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0.15 [0.01–131.15]</w:t>
            </w:r>
          </w:p>
        </w:tc>
        <w:tc>
          <w:tcPr>
            <w:tcW w:w="3114" w:type="dxa"/>
          </w:tcPr>
          <w:p w14:paraId="3106616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0.48 [0.02–473.54]</w:t>
            </w:r>
          </w:p>
        </w:tc>
      </w:tr>
      <w:tr w:rsidR="00240104" w:rsidRPr="00240104" w14:paraId="1F8C3065" w14:textId="77777777" w:rsidTr="00240104">
        <w:trPr>
          <w:trHeight w:val="142"/>
        </w:trPr>
        <w:tc>
          <w:tcPr>
            <w:tcW w:w="1199" w:type="dxa"/>
            <w:vMerge/>
          </w:tcPr>
          <w:p w14:paraId="4AF4DE4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F00E5D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507E804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200D45A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0.05 [0.00–28.05]</w:t>
            </w:r>
          </w:p>
        </w:tc>
        <w:tc>
          <w:tcPr>
            <w:tcW w:w="3114" w:type="dxa"/>
          </w:tcPr>
          <w:p w14:paraId="38368B5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0.38 [0.01–531.40]</w:t>
            </w:r>
          </w:p>
        </w:tc>
      </w:tr>
      <w:tr w:rsidR="00240104" w:rsidRPr="00240104" w14:paraId="2399E9AB"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6029577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D0DB36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01A8F06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491A914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0.02 [0.00–18.72]</w:t>
            </w:r>
          </w:p>
        </w:tc>
        <w:tc>
          <w:tcPr>
            <w:tcW w:w="3114" w:type="dxa"/>
          </w:tcPr>
          <w:p w14:paraId="1B443B0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0.18 [0.00–111.84]</w:t>
            </w:r>
          </w:p>
        </w:tc>
      </w:tr>
      <w:tr w:rsidR="00240104" w:rsidRPr="00240104" w14:paraId="287F707D" w14:textId="77777777" w:rsidTr="00240104">
        <w:trPr>
          <w:trHeight w:val="142"/>
        </w:trPr>
        <w:tc>
          <w:tcPr>
            <w:tcW w:w="1199" w:type="dxa"/>
            <w:vMerge/>
          </w:tcPr>
          <w:p w14:paraId="62A6025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15B4867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499677C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2C7E58F3"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0.02 [0.00–1.69]</w:t>
            </w:r>
          </w:p>
        </w:tc>
        <w:tc>
          <w:tcPr>
            <w:tcW w:w="3114" w:type="dxa"/>
          </w:tcPr>
          <w:p w14:paraId="0627309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0.07 [0.00–4.74]</w:t>
            </w:r>
          </w:p>
        </w:tc>
      </w:tr>
      <w:tr w:rsidR="00240104" w:rsidRPr="00240104" w14:paraId="2C4757B6"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3C0B334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14BA98F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5-10%</w:t>
            </w:r>
          </w:p>
        </w:tc>
        <w:tc>
          <w:tcPr>
            <w:tcW w:w="1358" w:type="dxa"/>
          </w:tcPr>
          <w:p w14:paraId="558AE65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4CB4653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0.89 [0.04–430.47]</w:t>
            </w:r>
          </w:p>
        </w:tc>
        <w:tc>
          <w:tcPr>
            <w:tcW w:w="3114" w:type="dxa"/>
          </w:tcPr>
          <w:p w14:paraId="3F9AAF6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2.73 [0.10–1625.80]</w:t>
            </w:r>
          </w:p>
        </w:tc>
      </w:tr>
      <w:tr w:rsidR="00240104" w:rsidRPr="00240104" w14:paraId="65B35974" w14:textId="77777777" w:rsidTr="00240104">
        <w:trPr>
          <w:trHeight w:val="142"/>
        </w:trPr>
        <w:tc>
          <w:tcPr>
            <w:tcW w:w="1199" w:type="dxa"/>
            <w:vMerge/>
          </w:tcPr>
          <w:p w14:paraId="47FCA66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42897E1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2FB7E23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3C6D72D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0.26 [0.01–151.27]</w:t>
            </w:r>
          </w:p>
        </w:tc>
        <w:tc>
          <w:tcPr>
            <w:tcW w:w="3114" w:type="dxa"/>
          </w:tcPr>
          <w:p w14:paraId="4DDB009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2.08 [0.06–1071.33]</w:t>
            </w:r>
          </w:p>
        </w:tc>
      </w:tr>
      <w:tr w:rsidR="00240104" w:rsidRPr="00240104" w14:paraId="14672ED5"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2C7BAFD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0160993"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087A1BE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4F8D3C0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0.13 [0.00–67.73]</w:t>
            </w:r>
          </w:p>
        </w:tc>
        <w:tc>
          <w:tcPr>
            <w:tcW w:w="3114" w:type="dxa"/>
          </w:tcPr>
          <w:p w14:paraId="784544A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1.10 [0.03–608.66]</w:t>
            </w:r>
          </w:p>
        </w:tc>
      </w:tr>
      <w:tr w:rsidR="00240104" w:rsidRPr="00240104" w14:paraId="25259758" w14:textId="77777777" w:rsidTr="00240104">
        <w:trPr>
          <w:trHeight w:val="142"/>
        </w:trPr>
        <w:tc>
          <w:tcPr>
            <w:tcW w:w="1199" w:type="dxa"/>
            <w:vMerge/>
          </w:tcPr>
          <w:p w14:paraId="557C606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1F8AD35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2BD98EF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544F3B1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0.13 [0.00–2.90]</w:t>
            </w:r>
          </w:p>
        </w:tc>
        <w:tc>
          <w:tcPr>
            <w:tcW w:w="3114" w:type="dxa"/>
          </w:tcPr>
          <w:p w14:paraId="7E9B415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0.40 [0.02–8.65]</w:t>
            </w:r>
          </w:p>
        </w:tc>
      </w:tr>
      <w:tr w:rsidR="00240104" w:rsidRPr="00240104" w14:paraId="6F0112DC"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2E2BD96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6340BE8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10%+</w:t>
            </w:r>
          </w:p>
        </w:tc>
        <w:tc>
          <w:tcPr>
            <w:tcW w:w="1358" w:type="dxa"/>
          </w:tcPr>
          <w:p w14:paraId="45DA270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5D17CCD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2.58 [0.09–1791.32]</w:t>
            </w:r>
          </w:p>
        </w:tc>
        <w:tc>
          <w:tcPr>
            <w:tcW w:w="3114" w:type="dxa"/>
          </w:tcPr>
          <w:p w14:paraId="7519849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8.43 [0.28–3853.77]</w:t>
            </w:r>
          </w:p>
        </w:tc>
      </w:tr>
      <w:tr w:rsidR="00240104" w:rsidRPr="00240104" w14:paraId="2481E16A" w14:textId="77777777" w:rsidTr="00240104">
        <w:trPr>
          <w:trHeight w:val="142"/>
        </w:trPr>
        <w:tc>
          <w:tcPr>
            <w:tcW w:w="1199" w:type="dxa"/>
            <w:vMerge/>
          </w:tcPr>
          <w:p w14:paraId="173D78F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C57272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2685C13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7451F76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0.80 [0.03–340.68]</w:t>
            </w:r>
          </w:p>
        </w:tc>
        <w:tc>
          <w:tcPr>
            <w:tcW w:w="3114" w:type="dxa"/>
          </w:tcPr>
          <w:p w14:paraId="078C1803"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6.87 [0.20–2967.09]</w:t>
            </w:r>
          </w:p>
        </w:tc>
      </w:tr>
      <w:tr w:rsidR="00240104" w:rsidRPr="00240104" w14:paraId="33C11A47"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25B16D6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2C0119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3D6EC423"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5D67521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0.44 [0.01–228.16]</w:t>
            </w:r>
          </w:p>
        </w:tc>
        <w:tc>
          <w:tcPr>
            <w:tcW w:w="3114" w:type="dxa"/>
          </w:tcPr>
          <w:p w14:paraId="5FC56BB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3.63 [0.09–2191.32]</w:t>
            </w:r>
          </w:p>
        </w:tc>
      </w:tr>
      <w:tr w:rsidR="00240104" w:rsidRPr="00240104" w14:paraId="2ED226C5" w14:textId="77777777" w:rsidTr="00240104">
        <w:trPr>
          <w:trHeight w:val="142"/>
        </w:trPr>
        <w:tc>
          <w:tcPr>
            <w:tcW w:w="1199" w:type="dxa"/>
            <w:vMerge/>
          </w:tcPr>
          <w:p w14:paraId="1219D96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04B531F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3649738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3AE26D8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0.40 [0.01–9.66]</w:t>
            </w:r>
          </w:p>
        </w:tc>
        <w:tc>
          <w:tcPr>
            <w:tcW w:w="3114" w:type="dxa"/>
          </w:tcPr>
          <w:p w14:paraId="1B91435E"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1.24 [0.04–26.66]</w:t>
            </w:r>
          </w:p>
        </w:tc>
      </w:tr>
      <w:tr w:rsidR="00240104" w:rsidRPr="00240104" w14:paraId="589FC489" w14:textId="77777777" w:rsidTr="00240104">
        <w:trPr>
          <w:cnfStyle w:val="000000100000" w:firstRow="0" w:lastRow="0" w:firstColumn="0" w:lastColumn="0" w:oddVBand="0" w:evenVBand="0" w:oddHBand="1" w:evenHBand="0" w:firstRowFirstColumn="0" w:firstRowLastColumn="0" w:lastRowFirstColumn="0" w:lastRowLastColumn="0"/>
          <w:trHeight w:val="415"/>
        </w:trPr>
        <w:tc>
          <w:tcPr>
            <w:tcW w:w="1199" w:type="dxa"/>
            <w:vMerge w:val="restart"/>
          </w:tcPr>
          <w:p w14:paraId="4F26213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SAE</w:t>
            </w:r>
          </w:p>
        </w:tc>
        <w:tc>
          <w:tcPr>
            <w:tcW w:w="1009" w:type="dxa"/>
            <w:vMerge w:val="restart"/>
          </w:tcPr>
          <w:p w14:paraId="04D4358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&lt;5%</w:t>
            </w:r>
          </w:p>
        </w:tc>
        <w:tc>
          <w:tcPr>
            <w:tcW w:w="1358" w:type="dxa"/>
          </w:tcPr>
          <w:p w14:paraId="5C168F5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68864D9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0.89 [0.16–22.76]</w:t>
            </w:r>
          </w:p>
        </w:tc>
        <w:tc>
          <w:tcPr>
            <w:tcW w:w="3114" w:type="dxa"/>
          </w:tcPr>
          <w:p w14:paraId="035B177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1.84 [0.29–86.72]</w:t>
            </w:r>
          </w:p>
        </w:tc>
      </w:tr>
      <w:tr w:rsidR="00240104" w:rsidRPr="00240104" w14:paraId="43C414AB" w14:textId="77777777" w:rsidTr="00240104">
        <w:trPr>
          <w:trHeight w:val="142"/>
        </w:trPr>
        <w:tc>
          <w:tcPr>
            <w:tcW w:w="1199" w:type="dxa"/>
            <w:vMerge/>
          </w:tcPr>
          <w:p w14:paraId="04439E3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3119E47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495EC1C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533D0EF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0.32 [0.05–7.39]</w:t>
            </w:r>
          </w:p>
        </w:tc>
        <w:tc>
          <w:tcPr>
            <w:tcW w:w="3114" w:type="dxa"/>
          </w:tcPr>
          <w:p w14:paraId="6873F67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1.23 [0.16–77.16]</w:t>
            </w:r>
          </w:p>
        </w:tc>
      </w:tr>
      <w:tr w:rsidR="00240104" w:rsidRPr="00240104" w14:paraId="4E036E41"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5459B63E"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10B1455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7BBEB64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5E63DC8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0.14 [0.01–3.23]</w:t>
            </w:r>
          </w:p>
        </w:tc>
        <w:tc>
          <w:tcPr>
            <w:tcW w:w="3114" w:type="dxa"/>
          </w:tcPr>
          <w:p w14:paraId="380FB79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0.57 [0.06–26.22]</w:t>
            </w:r>
          </w:p>
        </w:tc>
      </w:tr>
      <w:tr w:rsidR="00240104" w:rsidRPr="00240104" w14:paraId="44A35F26" w14:textId="77777777" w:rsidTr="00240104">
        <w:trPr>
          <w:trHeight w:val="142"/>
        </w:trPr>
        <w:tc>
          <w:tcPr>
            <w:tcW w:w="1199" w:type="dxa"/>
            <w:vMerge/>
          </w:tcPr>
          <w:p w14:paraId="74A98F3F"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27E969B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40892E5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69C323B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0.03 [0.00–0.75]</w:t>
            </w:r>
          </w:p>
        </w:tc>
        <w:tc>
          <w:tcPr>
            <w:tcW w:w="3114" w:type="dxa"/>
          </w:tcPr>
          <w:p w14:paraId="7E3EA74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0.13 [0.01–9.43]</w:t>
            </w:r>
          </w:p>
        </w:tc>
      </w:tr>
      <w:tr w:rsidR="00240104" w:rsidRPr="00240104" w14:paraId="201240BC"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4A861C4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15F7CA1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5-10%</w:t>
            </w:r>
          </w:p>
        </w:tc>
        <w:tc>
          <w:tcPr>
            <w:tcW w:w="1358" w:type="dxa"/>
          </w:tcPr>
          <w:p w14:paraId="5E10258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2C7C71B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5.32 [0.80–33.12]</w:t>
            </w:r>
          </w:p>
        </w:tc>
        <w:tc>
          <w:tcPr>
            <w:tcW w:w="3114" w:type="dxa"/>
          </w:tcPr>
          <w:p w14:paraId="3D23C39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12.08 [1.50–75.30]</w:t>
            </w:r>
          </w:p>
        </w:tc>
      </w:tr>
      <w:tr w:rsidR="00240104" w:rsidRPr="00240104" w14:paraId="378C99D6" w14:textId="77777777" w:rsidTr="00240104">
        <w:trPr>
          <w:trHeight w:val="142"/>
        </w:trPr>
        <w:tc>
          <w:tcPr>
            <w:tcW w:w="1199" w:type="dxa"/>
            <w:vMerge/>
          </w:tcPr>
          <w:p w14:paraId="774A227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72193BF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4D1D9166"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025FD1D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1.90 [0.24–13.37]</w:t>
            </w:r>
          </w:p>
        </w:tc>
        <w:tc>
          <w:tcPr>
            <w:tcW w:w="3114" w:type="dxa"/>
          </w:tcPr>
          <w:p w14:paraId="3102128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8.56 [0.92–61.81]</w:t>
            </w:r>
          </w:p>
        </w:tc>
      </w:tr>
      <w:tr w:rsidR="00240104" w:rsidRPr="00240104" w14:paraId="11644E78"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27F66F5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341A838C"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7835600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32B117E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0.79 [0.07–6.00]</w:t>
            </w:r>
          </w:p>
        </w:tc>
        <w:tc>
          <w:tcPr>
            <w:tcW w:w="3114" w:type="dxa"/>
          </w:tcPr>
          <w:p w14:paraId="4EEDBC7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4.03 [0.39–28.75]</w:t>
            </w:r>
          </w:p>
        </w:tc>
      </w:tr>
      <w:tr w:rsidR="00240104" w:rsidRPr="00240104" w14:paraId="002698FE" w14:textId="77777777" w:rsidTr="00240104">
        <w:trPr>
          <w:trHeight w:val="142"/>
        </w:trPr>
        <w:tc>
          <w:tcPr>
            <w:tcW w:w="1199" w:type="dxa"/>
            <w:vMerge/>
          </w:tcPr>
          <w:p w14:paraId="5023034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6A41585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67E5E4A1"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7980E01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0.15 [0.00–1.36]</w:t>
            </w:r>
          </w:p>
        </w:tc>
        <w:tc>
          <w:tcPr>
            <w:tcW w:w="3114" w:type="dxa"/>
          </w:tcPr>
          <w:p w14:paraId="60217F8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0.94 [0.05–6.97]</w:t>
            </w:r>
          </w:p>
        </w:tc>
      </w:tr>
      <w:tr w:rsidR="00240104" w:rsidRPr="00240104" w14:paraId="6FA90C6C"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63C8032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val="restart"/>
          </w:tcPr>
          <w:p w14:paraId="0B2E59A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10%+</w:t>
            </w:r>
          </w:p>
        </w:tc>
        <w:tc>
          <w:tcPr>
            <w:tcW w:w="1358" w:type="dxa"/>
          </w:tcPr>
          <w:p w14:paraId="0C30F83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1-11</w:t>
            </w:r>
          </w:p>
        </w:tc>
        <w:tc>
          <w:tcPr>
            <w:tcW w:w="2336" w:type="dxa"/>
          </w:tcPr>
          <w:p w14:paraId="4DAE1198"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17.70 [1.90–116.08]</w:t>
            </w:r>
          </w:p>
        </w:tc>
        <w:tc>
          <w:tcPr>
            <w:tcW w:w="3114" w:type="dxa"/>
          </w:tcPr>
          <w:p w14:paraId="29E5CAFD"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41.02 [4.24–259.51]</w:t>
            </w:r>
          </w:p>
        </w:tc>
      </w:tr>
      <w:tr w:rsidR="00240104" w:rsidRPr="00240104" w14:paraId="1D60E3AA" w14:textId="77777777" w:rsidTr="00240104">
        <w:trPr>
          <w:trHeight w:val="142"/>
        </w:trPr>
        <w:tc>
          <w:tcPr>
            <w:tcW w:w="1199" w:type="dxa"/>
            <w:vMerge/>
          </w:tcPr>
          <w:p w14:paraId="434E742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33CA219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6C7713D0"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12-17</w:t>
            </w:r>
          </w:p>
        </w:tc>
        <w:tc>
          <w:tcPr>
            <w:tcW w:w="2336" w:type="dxa"/>
          </w:tcPr>
          <w:p w14:paraId="2F4005B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6.03 [0.55–42.08]</w:t>
            </w:r>
          </w:p>
        </w:tc>
        <w:tc>
          <w:tcPr>
            <w:tcW w:w="3114" w:type="dxa"/>
          </w:tcPr>
          <w:p w14:paraId="46289174"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30.63 [2.48–203.83]</w:t>
            </w:r>
          </w:p>
        </w:tc>
      </w:tr>
      <w:tr w:rsidR="00240104" w:rsidRPr="00240104" w14:paraId="333B6DCB" w14:textId="77777777" w:rsidTr="00240104">
        <w:trPr>
          <w:cnfStyle w:val="000000100000" w:firstRow="0" w:lastRow="0" w:firstColumn="0" w:lastColumn="0" w:oddVBand="0" w:evenVBand="0" w:oddHBand="1" w:evenHBand="0" w:firstRowFirstColumn="0" w:firstRowLastColumn="0" w:lastRowFirstColumn="0" w:lastRowLastColumn="0"/>
          <w:trHeight w:val="142"/>
        </w:trPr>
        <w:tc>
          <w:tcPr>
            <w:tcW w:w="1199" w:type="dxa"/>
            <w:vMerge/>
          </w:tcPr>
          <w:p w14:paraId="290AA00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17AA6AB7"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7FCCA21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18-64</w:t>
            </w:r>
          </w:p>
        </w:tc>
        <w:tc>
          <w:tcPr>
            <w:tcW w:w="2336" w:type="dxa"/>
          </w:tcPr>
          <w:p w14:paraId="6873C56A"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2.54 [0.14–21.27]</w:t>
            </w:r>
          </w:p>
        </w:tc>
        <w:tc>
          <w:tcPr>
            <w:tcW w:w="3114" w:type="dxa"/>
          </w:tcPr>
          <w:p w14:paraId="3C696B0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14.51 [1.07–103.88]</w:t>
            </w:r>
          </w:p>
        </w:tc>
      </w:tr>
      <w:tr w:rsidR="00240104" w:rsidRPr="00240104" w14:paraId="57317A41" w14:textId="77777777" w:rsidTr="00240104">
        <w:trPr>
          <w:trHeight w:val="142"/>
        </w:trPr>
        <w:tc>
          <w:tcPr>
            <w:tcW w:w="1199" w:type="dxa"/>
            <w:vMerge/>
          </w:tcPr>
          <w:p w14:paraId="09EFC975"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009" w:type="dxa"/>
            <w:vMerge/>
          </w:tcPr>
          <w:p w14:paraId="4F1056A2"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p>
        </w:tc>
        <w:tc>
          <w:tcPr>
            <w:tcW w:w="1358" w:type="dxa"/>
          </w:tcPr>
          <w:p w14:paraId="40D8697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18"/>
                <w:szCs w:val="18"/>
              </w:rPr>
            </w:pPr>
            <w:r w:rsidRPr="00240104">
              <w:rPr>
                <w:rFonts w:ascii="Calibri" w:eastAsia="Helvetica" w:hAnsi="Calibri" w:cs="Calibri"/>
                <w:color w:val="000000"/>
                <w:sz w:val="18"/>
                <w:szCs w:val="18"/>
              </w:rPr>
              <w:t>65+</w:t>
            </w:r>
          </w:p>
        </w:tc>
        <w:tc>
          <w:tcPr>
            <w:tcW w:w="2336" w:type="dxa"/>
          </w:tcPr>
          <w:p w14:paraId="49536B59"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0.43 [0.01–4.71]</w:t>
            </w:r>
          </w:p>
        </w:tc>
        <w:tc>
          <w:tcPr>
            <w:tcW w:w="3114" w:type="dxa"/>
          </w:tcPr>
          <w:p w14:paraId="204A231B" w14:textId="77777777" w:rsidR="00240104" w:rsidRPr="00240104" w:rsidRDefault="0024010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18"/>
                <w:szCs w:val="18"/>
              </w:rPr>
            </w:pPr>
            <w:r w:rsidRPr="00240104">
              <w:rPr>
                <w:rFonts w:ascii="Calibri" w:eastAsia="Helvetica" w:hAnsi="Calibri" w:cs="Calibri"/>
                <w:color w:val="000000"/>
                <w:sz w:val="18"/>
                <w:szCs w:val="18"/>
              </w:rPr>
              <w:t>3.20 [0.13–26.22]</w:t>
            </w:r>
          </w:p>
        </w:tc>
      </w:tr>
    </w:tbl>
    <w:p w14:paraId="4715B4E1" w14:textId="77777777" w:rsidR="00D963D0" w:rsidRPr="004B3947" w:rsidRDefault="00D963D0" w:rsidP="00EB3C86">
      <w:pPr>
        <w:spacing w:line="360" w:lineRule="auto"/>
        <w:rPr>
          <w:rStyle w:val="IntenseEmphasis"/>
        </w:rPr>
      </w:pPr>
    </w:p>
    <w:p w14:paraId="26C90769" w14:textId="77777777" w:rsidR="00D963D0" w:rsidRPr="00B04AED" w:rsidRDefault="00D963D0" w:rsidP="00EB3C86">
      <w:pPr>
        <w:spacing w:line="360" w:lineRule="auto"/>
        <w:rPr>
          <w:rFonts w:ascii="Calibri" w:hAnsi="Calibri" w:cs="Calibri"/>
          <w:lang w:val="en-US"/>
        </w:rPr>
        <w:sectPr w:rsidR="00D963D0" w:rsidRPr="00B04AED" w:rsidSect="00D963D0">
          <w:pgSz w:w="11906" w:h="16838"/>
          <w:pgMar w:top="1440" w:right="1440" w:bottom="1440" w:left="1440" w:header="708" w:footer="708" w:gutter="0"/>
          <w:cols w:space="708"/>
          <w:docGrid w:linePitch="360"/>
        </w:sectPr>
      </w:pPr>
    </w:p>
    <w:p w14:paraId="092E21A9" w14:textId="77777777" w:rsidR="00D963D0" w:rsidRPr="004B3947" w:rsidRDefault="00D963D0" w:rsidP="00EB3C86">
      <w:pPr>
        <w:spacing w:line="360" w:lineRule="auto"/>
        <w:rPr>
          <w:rStyle w:val="IntenseEmphasis"/>
        </w:rPr>
      </w:pPr>
      <w:r w:rsidRPr="004B3947">
        <w:rPr>
          <w:rStyle w:val="IntenseEmphasis"/>
        </w:rPr>
        <w:t xml:space="preserve">Figures </w:t>
      </w:r>
    </w:p>
    <w:p w14:paraId="7AEA6591" w14:textId="1E56ED8E" w:rsidR="00BE2AC6" w:rsidRPr="006A27BD" w:rsidRDefault="00BE2AC6" w:rsidP="00EB3C86">
      <w:pPr>
        <w:spacing w:line="360" w:lineRule="auto"/>
        <w:rPr>
          <w:rStyle w:val="IntenseEmphasis"/>
          <w:rFonts w:eastAsiaTheme="minorEastAsia"/>
          <w:b/>
          <w:bCs/>
          <w:color w:val="auto"/>
          <w:lang w:val="en-US"/>
        </w:rPr>
      </w:pPr>
      <w:r w:rsidRPr="004B3947">
        <w:rPr>
          <w:rStyle w:val="IntenseEmphasis"/>
          <w:rFonts w:eastAsiaTheme="minorEastAsia" w:hint="eastAsia"/>
          <w:b/>
          <w:bCs/>
          <w:color w:val="auto"/>
        </w:rPr>
        <w:t>Figure 1</w:t>
      </w:r>
      <w:r w:rsidRPr="004B3947">
        <w:rPr>
          <w:rStyle w:val="IntenseEmphasis"/>
          <w:rFonts w:eastAsiaTheme="minorEastAsia"/>
          <w:b/>
          <w:bCs/>
          <w:color w:val="auto"/>
        </w:rPr>
        <w:t xml:space="preserve">. </w:t>
      </w:r>
      <w:r w:rsidRPr="00BC27FF">
        <w:rPr>
          <w:rStyle w:val="IntenseEmphasis"/>
          <w:rFonts w:eastAsia="Malgun Gothic" w:hint="eastAsia"/>
          <w:b/>
          <w:bCs/>
          <w:color w:val="auto"/>
        </w:rPr>
        <w:t>Benefit-risk</w:t>
      </w:r>
      <w:r w:rsidRPr="004B3947">
        <w:rPr>
          <w:rStyle w:val="IntenseEmphasis"/>
          <w:rFonts w:eastAsiaTheme="minorEastAsia"/>
          <w:b/>
          <w:bCs/>
          <w:color w:val="auto"/>
        </w:rPr>
        <w:t xml:space="preserve"> comparison of traveller </w:t>
      </w:r>
      <w:r w:rsidRPr="00BC27FF">
        <w:rPr>
          <w:rStyle w:val="IntenseEmphasis"/>
          <w:rFonts w:eastAsia="Malgun Gothic" w:hint="eastAsia"/>
          <w:b/>
          <w:bCs/>
          <w:color w:val="auto"/>
        </w:rPr>
        <w:t>vaccination</w:t>
      </w:r>
      <w:r w:rsidRPr="004B3947">
        <w:rPr>
          <w:rStyle w:val="IntenseEmphasis"/>
          <w:rFonts w:eastAsiaTheme="minorEastAsia"/>
          <w:b/>
          <w:bCs/>
          <w:color w:val="auto"/>
        </w:rPr>
        <w:t xml:space="preserve"> strategies by age group, travel duration, and attack rate.</w:t>
      </w:r>
    </w:p>
    <w:p w14:paraId="0AA30C90" w14:textId="3832A64B" w:rsidR="00BE2AC6" w:rsidRDefault="009730FF" w:rsidP="00EB3C86">
      <w:pPr>
        <w:spacing w:line="360" w:lineRule="auto"/>
        <w:rPr>
          <w:rStyle w:val="IntenseEmphasis"/>
          <w:rFonts w:eastAsiaTheme="minorEastAsia"/>
          <w:b/>
          <w:bCs/>
          <w:color w:val="auto"/>
          <w:lang w:val="en-US"/>
        </w:rPr>
      </w:pPr>
      <w:r w:rsidRPr="009730FF">
        <w:rPr>
          <w:rStyle w:val="IntenseEmphasis"/>
          <w:rFonts w:eastAsiaTheme="minorEastAsia"/>
          <w:b/>
          <w:bCs/>
          <w:noProof/>
          <w:color w:val="auto"/>
          <w:lang w:val="en-US"/>
        </w:rPr>
        <w:drawing>
          <wp:inline distT="0" distB="0" distL="0" distR="0" wp14:anchorId="7F265D7A" wp14:editId="226435AA">
            <wp:extent cx="6234545" cy="4922845"/>
            <wp:effectExtent l="0" t="0" r="1270" b="5080"/>
            <wp:docPr id="988465689" name="Picture 1" descr="A map of different countries/regions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5689" name="Picture 1" descr="A map of different countries/regions with different colored areas&#10;&#10;AI-generated content may be incorrect."/>
                    <pic:cNvPicPr/>
                  </pic:nvPicPr>
                  <pic:blipFill>
                    <a:blip r:embed="rId60"/>
                    <a:stretch>
                      <a:fillRect/>
                    </a:stretch>
                  </pic:blipFill>
                  <pic:spPr>
                    <a:xfrm>
                      <a:off x="0" y="0"/>
                      <a:ext cx="6252040" cy="4936659"/>
                    </a:xfrm>
                    <a:prstGeom prst="rect">
                      <a:avLst/>
                    </a:prstGeom>
                  </pic:spPr>
                </pic:pic>
              </a:graphicData>
            </a:graphic>
          </wp:inline>
        </w:drawing>
      </w:r>
    </w:p>
    <w:p w14:paraId="779CF5AD" w14:textId="0E0D4685" w:rsidR="00AE7A46" w:rsidRPr="00AE7A46" w:rsidRDefault="0086440A" w:rsidP="00EB3C86">
      <w:pPr>
        <w:spacing w:line="360" w:lineRule="auto"/>
        <w:rPr>
          <w:rStyle w:val="IntenseEmphasis"/>
          <w:rFonts w:eastAsiaTheme="minorEastAsia"/>
          <w:b/>
          <w:bCs/>
          <w:color w:val="auto"/>
          <w:lang w:val="en-US"/>
        </w:rPr>
      </w:pPr>
      <w:r w:rsidRPr="0086440A">
        <w:rPr>
          <w:noProof/>
          <w14:ligatures w14:val="standardContextual"/>
        </w:rPr>
        <w:t xml:space="preserve"> </w:t>
      </w:r>
      <w:r w:rsidRPr="0086440A">
        <w:rPr>
          <w:rStyle w:val="IntenseEmphasis"/>
          <w:rFonts w:eastAsiaTheme="minorEastAsia"/>
          <w:b/>
          <w:bCs/>
          <w:noProof/>
          <w:color w:val="auto"/>
          <w:lang w:val="en-US"/>
        </w:rPr>
        <w:drawing>
          <wp:inline distT="0" distB="0" distL="0" distR="0" wp14:anchorId="3BD64D4C" wp14:editId="35577103">
            <wp:extent cx="5731510" cy="4261485"/>
            <wp:effectExtent l="0" t="0" r="0" b="5715"/>
            <wp:docPr id="155282114"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114" name="Picture 1" descr="A map of different colored states&#10;&#10;AI-generated content may be incorrect."/>
                    <pic:cNvPicPr/>
                  </pic:nvPicPr>
                  <pic:blipFill>
                    <a:blip r:embed="rId61"/>
                    <a:stretch>
                      <a:fillRect/>
                    </a:stretch>
                  </pic:blipFill>
                  <pic:spPr>
                    <a:xfrm>
                      <a:off x="0" y="0"/>
                      <a:ext cx="5731510" cy="4261485"/>
                    </a:xfrm>
                    <a:prstGeom prst="rect">
                      <a:avLst/>
                    </a:prstGeom>
                  </pic:spPr>
                </pic:pic>
              </a:graphicData>
            </a:graphic>
          </wp:inline>
        </w:drawing>
      </w:r>
    </w:p>
    <w:p w14:paraId="0724B751" w14:textId="77777777" w:rsidR="00BE2AC6" w:rsidRDefault="00BE2AC6" w:rsidP="00EB3C86">
      <w:pPr>
        <w:spacing w:line="360" w:lineRule="auto"/>
        <w:rPr>
          <w:rStyle w:val="IntenseEmphasis"/>
          <w:rFonts w:eastAsiaTheme="minorEastAsia"/>
          <w:b/>
          <w:bCs/>
          <w:color w:val="auto"/>
          <w:lang w:val="en-US"/>
        </w:rPr>
      </w:pPr>
    </w:p>
    <w:p w14:paraId="3D0F4EB4" w14:textId="77777777" w:rsidR="000331F4" w:rsidRPr="00C33A29" w:rsidRDefault="000331F4" w:rsidP="00EB3C86">
      <w:pPr>
        <w:spacing w:line="360" w:lineRule="auto"/>
        <w:rPr>
          <w:rStyle w:val="IntenseEmphasis"/>
          <w:rFonts w:eastAsiaTheme="minorEastAsia"/>
          <w:b/>
          <w:bCs/>
          <w:color w:val="auto"/>
          <w:lang w:val="en-US"/>
        </w:rPr>
        <w:sectPr w:rsidR="000331F4" w:rsidRPr="00C33A29" w:rsidSect="00D963D0">
          <w:pgSz w:w="11906" w:h="16838"/>
          <w:pgMar w:top="1440" w:right="1440" w:bottom="1440" w:left="1440" w:header="708" w:footer="708" w:gutter="0"/>
          <w:cols w:space="708"/>
          <w:docGrid w:linePitch="360"/>
        </w:sectPr>
      </w:pPr>
    </w:p>
    <w:p w14:paraId="49CE140E" w14:textId="05BB87CC" w:rsidR="00D963D0" w:rsidRPr="004B3947" w:rsidRDefault="00D963D0" w:rsidP="00EB3C86">
      <w:pPr>
        <w:spacing w:line="360" w:lineRule="auto"/>
        <w:rPr>
          <w:rStyle w:val="IntenseEmphasis"/>
          <w:rFonts w:eastAsiaTheme="minorEastAsia"/>
          <w:b/>
          <w:bCs/>
          <w:color w:val="auto"/>
        </w:rPr>
      </w:pPr>
      <w:r w:rsidRPr="004B3947">
        <w:rPr>
          <w:rStyle w:val="IntenseEmphasis"/>
          <w:rFonts w:eastAsiaTheme="minorEastAsia" w:hint="eastAsia"/>
          <w:b/>
          <w:bCs/>
          <w:color w:val="auto"/>
        </w:rPr>
        <w:t xml:space="preserve">Figure </w:t>
      </w:r>
      <w:r w:rsidR="000331F4">
        <w:rPr>
          <w:rStyle w:val="IntenseEmphasis"/>
          <w:rFonts w:eastAsiaTheme="minorEastAsia"/>
          <w:b/>
          <w:bCs/>
          <w:color w:val="auto"/>
        </w:rPr>
        <w:t>2</w:t>
      </w:r>
      <w:r w:rsidRPr="004B3947">
        <w:rPr>
          <w:rStyle w:val="IntenseEmphasis"/>
          <w:rFonts w:eastAsiaTheme="minorEastAsia"/>
          <w:b/>
          <w:bCs/>
          <w:color w:val="auto"/>
        </w:rPr>
        <w:t xml:space="preserve">. </w:t>
      </w:r>
      <w:r w:rsidRPr="00BC27FF">
        <w:rPr>
          <w:rStyle w:val="IntenseEmphasis"/>
          <w:rFonts w:eastAsia="Malgun Gothic" w:hint="eastAsia"/>
          <w:b/>
          <w:bCs/>
          <w:color w:val="auto"/>
        </w:rPr>
        <w:t>Benefit-risk</w:t>
      </w:r>
      <w:r w:rsidRPr="004B3947">
        <w:rPr>
          <w:rStyle w:val="IntenseEmphasis"/>
          <w:rFonts w:eastAsiaTheme="minorEastAsia"/>
          <w:b/>
          <w:bCs/>
          <w:color w:val="auto"/>
        </w:rPr>
        <w:t xml:space="preserve"> comparison of traveller </w:t>
      </w:r>
      <w:r w:rsidRPr="00BC27FF">
        <w:rPr>
          <w:rStyle w:val="IntenseEmphasis"/>
          <w:rFonts w:eastAsia="Malgun Gothic" w:hint="eastAsia"/>
          <w:b/>
          <w:bCs/>
          <w:color w:val="auto"/>
        </w:rPr>
        <w:t>vaccination</w:t>
      </w:r>
      <w:r w:rsidRPr="004B3947">
        <w:rPr>
          <w:rStyle w:val="IntenseEmphasis"/>
          <w:rFonts w:eastAsiaTheme="minorEastAsia"/>
          <w:b/>
          <w:bCs/>
          <w:color w:val="auto"/>
        </w:rPr>
        <w:t xml:space="preserve"> strategies by age group, travel duration, and attack rate.</w:t>
      </w:r>
    </w:p>
    <w:p w14:paraId="56F8798E" w14:textId="7A8E8969" w:rsidR="00D029DC" w:rsidRPr="00497760" w:rsidRDefault="00877EC8" w:rsidP="00EB3C86">
      <w:pPr>
        <w:spacing w:line="360" w:lineRule="auto"/>
        <w:rPr>
          <w:rStyle w:val="IntenseEmphasis"/>
          <w:rFonts w:eastAsiaTheme="minorEastAsia"/>
          <w:color w:val="auto"/>
          <w:lang w:val="en-US"/>
        </w:rPr>
        <w:sectPr w:rsidR="00D029DC" w:rsidRPr="00497760" w:rsidSect="00D963D0">
          <w:pgSz w:w="11906" w:h="16838"/>
          <w:pgMar w:top="1440" w:right="1440" w:bottom="1440" w:left="1440" w:header="708" w:footer="708" w:gutter="0"/>
          <w:cols w:space="708"/>
          <w:docGrid w:linePitch="360"/>
        </w:sectPr>
      </w:pPr>
      <w:r w:rsidRPr="00877EC8">
        <w:rPr>
          <w:rStyle w:val="IntenseEmphasis"/>
          <w:rFonts w:eastAsiaTheme="minorEastAsia"/>
          <w:noProof/>
          <w:color w:val="auto"/>
        </w:rPr>
        <w:drawing>
          <wp:inline distT="0" distB="0" distL="0" distR="0" wp14:anchorId="742817A9" wp14:editId="49046764">
            <wp:extent cx="6101123" cy="4885765"/>
            <wp:effectExtent l="0" t="0" r="0" b="3810"/>
            <wp:docPr id="20982650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5052" name="Picture 1" descr="A screenshot of a computer screen&#10;&#10;AI-generated content may be incorrect."/>
                    <pic:cNvPicPr/>
                  </pic:nvPicPr>
                  <pic:blipFill>
                    <a:blip r:embed="rId62"/>
                    <a:stretch>
                      <a:fillRect/>
                    </a:stretch>
                  </pic:blipFill>
                  <pic:spPr>
                    <a:xfrm>
                      <a:off x="0" y="0"/>
                      <a:ext cx="6112753" cy="4895078"/>
                    </a:xfrm>
                    <a:prstGeom prst="rect">
                      <a:avLst/>
                    </a:prstGeom>
                  </pic:spPr>
                </pic:pic>
              </a:graphicData>
            </a:graphic>
          </wp:inline>
        </w:drawing>
      </w:r>
      <w:r w:rsidR="00AF3F50" w:rsidRPr="00AF3F50" w:rsidDel="00AF3F50">
        <w:rPr>
          <w:rStyle w:val="IntenseEmphasis"/>
          <w:rFonts w:eastAsiaTheme="minorEastAsia"/>
          <w:color w:val="auto"/>
        </w:rPr>
        <w:t xml:space="preserve"> </w:t>
      </w:r>
    </w:p>
    <w:p w14:paraId="6EAA16CF" w14:textId="14853F33" w:rsidR="00D65C96" w:rsidRPr="004B3947" w:rsidRDefault="00D65C96" w:rsidP="00D65C96">
      <w:pPr>
        <w:spacing w:line="360" w:lineRule="auto"/>
        <w:rPr>
          <w:rStyle w:val="IntenseEmphasis"/>
          <w:rFonts w:eastAsiaTheme="minorEastAsia"/>
          <w:b/>
          <w:bCs/>
          <w:color w:val="auto"/>
        </w:rPr>
      </w:pPr>
      <w:r w:rsidRPr="004B3947">
        <w:rPr>
          <w:rStyle w:val="IntenseEmphasis"/>
          <w:rFonts w:eastAsiaTheme="minorEastAsia" w:hint="eastAsia"/>
          <w:b/>
          <w:bCs/>
          <w:color w:val="auto"/>
        </w:rPr>
        <w:t xml:space="preserve">Figure </w:t>
      </w:r>
      <w:r w:rsidR="000331F4">
        <w:rPr>
          <w:rStyle w:val="IntenseEmphasis"/>
          <w:rFonts w:eastAsiaTheme="minorEastAsia"/>
          <w:b/>
          <w:bCs/>
          <w:color w:val="auto"/>
        </w:rPr>
        <w:t>3</w:t>
      </w:r>
      <w:r w:rsidRPr="004B3947">
        <w:rPr>
          <w:rStyle w:val="IntenseEmphasis"/>
          <w:rFonts w:eastAsiaTheme="minorEastAsia"/>
          <w:b/>
          <w:bCs/>
          <w:color w:val="auto"/>
        </w:rPr>
        <w:t xml:space="preserve">. </w:t>
      </w:r>
      <w:r w:rsidRPr="00BC27FF">
        <w:rPr>
          <w:rStyle w:val="IntenseEmphasis"/>
          <w:rFonts w:eastAsia="Malgun Gothic" w:hint="eastAsia"/>
          <w:b/>
          <w:bCs/>
          <w:color w:val="auto"/>
        </w:rPr>
        <w:t>Benefit-risk</w:t>
      </w:r>
      <w:r w:rsidRPr="004B3947">
        <w:rPr>
          <w:rStyle w:val="IntenseEmphasis"/>
          <w:rFonts w:eastAsiaTheme="minorEastAsia"/>
          <w:b/>
          <w:bCs/>
          <w:color w:val="auto"/>
        </w:rPr>
        <w:t xml:space="preserve"> comparison of </w:t>
      </w:r>
      <w:r>
        <w:rPr>
          <w:rStyle w:val="IntenseEmphasis"/>
          <w:rFonts w:eastAsiaTheme="minorEastAsia"/>
          <w:b/>
          <w:bCs/>
          <w:color w:val="auto"/>
        </w:rPr>
        <w:t>outbreak response immunisation</w:t>
      </w:r>
      <w:r w:rsidRPr="004B3947">
        <w:rPr>
          <w:rStyle w:val="IntenseEmphasis"/>
          <w:rFonts w:eastAsiaTheme="minorEastAsia"/>
          <w:b/>
          <w:bCs/>
          <w:color w:val="auto"/>
        </w:rPr>
        <w:t xml:space="preserve"> strategies by age group, </w:t>
      </w:r>
      <w:r>
        <w:rPr>
          <w:rStyle w:val="IntenseEmphasis"/>
          <w:rFonts w:eastAsiaTheme="minorEastAsia"/>
          <w:b/>
          <w:bCs/>
          <w:color w:val="auto"/>
        </w:rPr>
        <w:t>vaccine protection mechanism</w:t>
      </w:r>
      <w:r w:rsidRPr="004B3947">
        <w:rPr>
          <w:rStyle w:val="IntenseEmphasis"/>
          <w:rFonts w:eastAsiaTheme="minorEastAsia"/>
          <w:b/>
          <w:bCs/>
          <w:color w:val="auto"/>
        </w:rPr>
        <w:t>, and attack rate.</w:t>
      </w:r>
    </w:p>
    <w:p w14:paraId="06AA8649" w14:textId="111EAF7C" w:rsidR="00D963D0" w:rsidRPr="00B34304" w:rsidRDefault="0043623F" w:rsidP="00EB3C86">
      <w:pPr>
        <w:spacing w:line="360" w:lineRule="auto"/>
        <w:rPr>
          <w:rStyle w:val="IntenseEmphasis"/>
          <w:rFonts w:eastAsia="Malgun Gothic" w:cs="Calibri"/>
          <w:lang w:val="en-US"/>
        </w:rPr>
      </w:pPr>
      <w:r w:rsidRPr="0043623F">
        <w:rPr>
          <w:rStyle w:val="IntenseEmphasis"/>
          <w:rFonts w:eastAsia="Malgun Gothic" w:cs="Calibri"/>
          <w:noProof/>
          <w:lang w:val="en-US"/>
        </w:rPr>
        <w:drawing>
          <wp:inline distT="0" distB="0" distL="0" distR="0" wp14:anchorId="613EE6D6" wp14:editId="7A2D3390">
            <wp:extent cx="6545012" cy="5241956"/>
            <wp:effectExtent l="0" t="0" r="0" b="3175"/>
            <wp:docPr id="17283425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2547" name="Picture 1" descr="A screenshot of a graph&#10;&#10;AI-generated content may be incorrect."/>
                    <pic:cNvPicPr/>
                  </pic:nvPicPr>
                  <pic:blipFill>
                    <a:blip r:embed="rId63"/>
                    <a:stretch>
                      <a:fillRect/>
                    </a:stretch>
                  </pic:blipFill>
                  <pic:spPr>
                    <a:xfrm>
                      <a:off x="0" y="0"/>
                      <a:ext cx="6551189" cy="5246903"/>
                    </a:xfrm>
                    <a:prstGeom prst="rect">
                      <a:avLst/>
                    </a:prstGeom>
                  </pic:spPr>
                </pic:pic>
              </a:graphicData>
            </a:graphic>
          </wp:inline>
        </w:drawing>
      </w:r>
    </w:p>
    <w:sectPr w:rsidR="00D963D0" w:rsidRPr="00B3430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1-31T22:21:00Z" w:initials="GU">
    <w:p w14:paraId="1032F85C" w14:textId="6E880D40" w:rsidR="0096728E" w:rsidRDefault="0096728E">
      <w:pPr>
        <w:pStyle w:val="CommentText"/>
      </w:pPr>
      <w:r>
        <w:rPr>
          <w:rStyle w:val="CommentReference"/>
        </w:rPr>
        <w:annotationRef/>
      </w:r>
      <w:r w:rsidRPr="484C53CD">
        <w:t>I will share my affiliations again</w:t>
      </w:r>
    </w:p>
  </w:comment>
  <w:comment w:id="1" w:author="Ahyoung Lim" w:date="2026-02-04T15:01:00Z" w:initials="AL">
    <w:p w14:paraId="72325684" w14:textId="06DACBBE" w:rsidR="00DF3D68" w:rsidRDefault="00DF3D68">
      <w:pPr>
        <w:pStyle w:val="CommentText"/>
      </w:pPr>
      <w:r>
        <w:rPr>
          <w:rStyle w:val="CommentReference"/>
        </w:rPr>
        <w:annotationRef/>
      </w:r>
      <w:r w:rsidRPr="048EF655">
        <w:t>check if this is correct</w:t>
      </w:r>
    </w:p>
  </w:comment>
  <w:comment w:id="2" w:author="Ahyoung Lim" w:date="2026-02-04T15:04:00Z" w:initials="AL">
    <w:p w14:paraId="6842709F" w14:textId="618673CF" w:rsidR="00DF3D68" w:rsidRPr="00912072" w:rsidRDefault="00DF3D68">
      <w:pPr>
        <w:pStyle w:val="CommentText"/>
        <w:rPr>
          <w:lang w:val="en-US"/>
        </w:rPr>
      </w:pPr>
      <w:r>
        <w:rPr>
          <w:rStyle w:val="CommentReference"/>
        </w:rPr>
        <w:annotationRef/>
      </w:r>
      <w:r w:rsidRPr="5EFD90C2">
        <w:t>this para starts with variation by three factors (outbreak size, exposure, age) then organises results by population type &gt; age &gt; scenarios so they dont really match. consider reorganising this</w:t>
      </w:r>
    </w:p>
  </w:comment>
  <w:comment w:id="3" w:author="Ahyoung Lim" w:date="2026-02-04T15:05:00Z" w:initials="AL">
    <w:p w14:paraId="362A3436" w14:textId="78597E11" w:rsidR="00DF3D68" w:rsidRDefault="00DF3D68">
      <w:pPr>
        <w:pStyle w:val="CommentText"/>
      </w:pPr>
      <w:r>
        <w:rPr>
          <w:rStyle w:val="CommentReference"/>
        </w:rPr>
        <w:annotationRef/>
      </w:r>
      <w:r w:rsidRPr="17D207B8">
        <w:t>could be more specific</w:t>
      </w:r>
    </w:p>
  </w:comment>
  <w:comment w:id="4" w:author="Ahyoung Lim" w:date="2026-02-04T15:09:00Z" w:initials="AL">
    <w:p w14:paraId="3271FFA4" w14:textId="78519C53" w:rsidR="00DF3D68" w:rsidRDefault="00DF3D68">
      <w:pPr>
        <w:pStyle w:val="CommentText"/>
      </w:pPr>
      <w:r>
        <w:rPr>
          <w:rStyle w:val="CommentReference"/>
        </w:rPr>
        <w:annotationRef/>
      </w:r>
      <w:r w:rsidRPr="7C24DA95">
        <w:t xml:space="preserve">could be more explicit about what's novel - is it that prior studies didnt do age-specific analysis? </w:t>
      </w:r>
    </w:p>
  </w:comment>
  <w:comment w:id="5" w:author="Guest User" w:date="2026-01-26T16:23:00Z" w:initials="GU">
    <w:p w14:paraId="2B09AC95" w14:textId="79FB99F2" w:rsidR="00B954E4" w:rsidRDefault="000A4D47">
      <w:r>
        <w:annotationRef/>
      </w:r>
      <w:r w:rsidRPr="4414814C">
        <w:t>Consider adding the age brackets</w:t>
      </w:r>
    </w:p>
  </w:comment>
  <w:comment w:id="6" w:author="Ahyoung Lim" w:date="2026-02-04T15:17:00Z" w:initials="AL">
    <w:p w14:paraId="3985CC6F" w14:textId="3744ED3B" w:rsidR="00DF3D68" w:rsidRDefault="00DF3D68">
      <w:pPr>
        <w:pStyle w:val="CommentText"/>
      </w:pPr>
      <w:r>
        <w:rPr>
          <w:rStyle w:val="CommentReference"/>
        </w:rPr>
        <w:annotationRef/>
      </w:r>
      <w:r w:rsidRPr="017D6C93">
        <w:t xml:space="preserve">what does "dynamic" mean here? </w:t>
      </w:r>
    </w:p>
  </w:comment>
  <w:comment w:id="7" w:author="Guest User" w:date="2026-01-26T16:26:00Z" w:initials="GU">
    <w:p w14:paraId="7DD78D58" w14:textId="48AB1917" w:rsidR="00B954E4" w:rsidRDefault="000A4D47">
      <w:r>
        <w:annotationRef/>
      </w:r>
      <w:r w:rsidRPr="1D3F3826">
        <w:t>This is ambiguous. I'd suggest adding the age group</w:t>
      </w:r>
    </w:p>
  </w:comment>
  <w:comment w:id="8" w:author="Oliver Brady" w:date="2026-01-28T11:18:00Z" w:initials="OB">
    <w:p w14:paraId="156BA205" w14:textId="10E02356" w:rsidR="00330474" w:rsidRDefault="00330474">
      <w:pPr>
        <w:pStyle w:val="CommentText"/>
      </w:pPr>
      <w:r>
        <w:rPr>
          <w:rStyle w:val="CommentReference"/>
        </w:rPr>
        <w:annotationRef/>
      </w:r>
      <w:r w:rsidRPr="2B372A55">
        <w:t>e specific?</w:t>
      </w:r>
    </w:p>
  </w:comment>
  <w:comment w:id="9" w:author="Oliver Brady" w:date="2026-01-28T11:22:00Z" w:initials="OB">
    <w:p w14:paraId="54415EA5" w14:textId="7B508E79" w:rsidR="00330474" w:rsidRDefault="00330474">
      <w:pPr>
        <w:pStyle w:val="CommentText"/>
      </w:pPr>
      <w:r>
        <w:rPr>
          <w:rStyle w:val="CommentReference"/>
        </w:rPr>
        <w:annotationRef/>
      </w:r>
      <w:r w:rsidRPr="27DDAF5C">
        <w:t>maybe slightly reword for precision. There is a methods development gap that these models do not include any unexpected adverse events of vaccination (ie more specific than "risk") nor variation of such outcomes by age. There is also a data gap that they don't include data from post-licensure surveillance that not allows such features of these models to be parameterised</w:t>
      </w:r>
    </w:p>
  </w:comment>
  <w:comment w:id="10" w:author="Oliver Brady" w:date="2026-01-28T11:24:00Z" w:initials="OB">
    <w:p w14:paraId="03E852AF" w14:textId="693E613B" w:rsidR="00330474" w:rsidRDefault="00330474">
      <w:pPr>
        <w:pStyle w:val="CommentText"/>
      </w:pPr>
      <w:r>
        <w:rPr>
          <w:rStyle w:val="CommentReference"/>
        </w:rPr>
        <w:annotationRef/>
      </w:r>
      <w:r w:rsidRPr="0F75FCFE">
        <w:t>slight repetition with the last sentence of the next pargraph- maybe delete?</w:t>
      </w:r>
    </w:p>
  </w:comment>
  <w:comment w:id="11" w:author="Ahyoung Lim" w:date="2026-02-04T15:24:00Z" w:initials="AL">
    <w:p w14:paraId="3D0725DF" w14:textId="1604592C" w:rsidR="00DF3D68" w:rsidRDefault="00DF3D68">
      <w:pPr>
        <w:pStyle w:val="CommentText"/>
      </w:pPr>
      <w:r>
        <w:rPr>
          <w:rStyle w:val="CommentReference"/>
        </w:rPr>
        <w:annotationRef/>
      </w:r>
      <w:r w:rsidRPr="73C6FB81">
        <w:t xml:space="preserve">it sounds a bit contradictory to me. "continue to emerge" suggests waiting for more data but "urgent need" suggests acting now? choose between either 1) data have emerged -&gt; requiring immediate evaluation OR 2) data continue emerging -&gt; urgent need for frameworks that can be updated as new data arrive </w:t>
      </w:r>
    </w:p>
  </w:comment>
  <w:comment w:id="12" w:author="Oliver Brady" w:date="2026-01-28T11:26:00Z" w:initials="OB">
    <w:p w14:paraId="219ABF89" w14:textId="36F43BB2" w:rsidR="00330474" w:rsidRDefault="00330474">
      <w:pPr>
        <w:pStyle w:val="CommentText"/>
      </w:pPr>
      <w:r>
        <w:rPr>
          <w:rStyle w:val="CommentReference"/>
        </w:rPr>
        <w:annotationRef/>
      </w:r>
      <w:r w:rsidRPr="59EF4AF1">
        <w:t>probably don;t need this detail in the introduction. Would be better to include some sentences giving a preview of why filling this evidence gap now is important</w:t>
      </w:r>
    </w:p>
  </w:comment>
  <w:comment w:id="13" w:author="Guest User" w:date="2026-01-26T16:49:00Z" w:initials="GU">
    <w:p w14:paraId="0510AA90" w14:textId="70933719" w:rsidR="00B954E4" w:rsidRDefault="000A4D47">
      <w:r>
        <w:annotationRef/>
      </w:r>
      <w:r w:rsidRPr="76FF7D9F">
        <w:t>Somewhere in the methods you need to specify the four age brackets you mention in the abstract</w:t>
      </w:r>
    </w:p>
  </w:comment>
  <w:comment w:id="14" w:author="Guest User" w:date="2026-01-26T16:48:00Z" w:initials="GU">
    <w:p w14:paraId="57F1B6A6" w14:textId="315614EF" w:rsidR="00B954E4" w:rsidRDefault="000A4D47">
      <w:r>
        <w:annotationRef/>
      </w:r>
      <w:r w:rsidRPr="640C9750">
        <w:t>Is this a continuous variable?</w:t>
      </w:r>
    </w:p>
  </w:comment>
  <w:comment w:id="15" w:author="Oliver Brady" w:date="2026-01-28T11:40:00Z" w:initials="OB">
    <w:p w14:paraId="240DF322" w14:textId="77777777" w:rsidR="00EC3301" w:rsidRDefault="00EC3301" w:rsidP="00EC3301">
      <w:pPr>
        <w:pStyle w:val="CommentText"/>
      </w:pPr>
      <w:r>
        <w:rPr>
          <w:rStyle w:val="CommentReference"/>
        </w:rPr>
        <w:annotationRef/>
      </w:r>
      <w:r w:rsidRPr="5845C2E8">
        <w:t>It would be helpful if these equations showed which variables are age specific -perhaps with an "a" subscript?</w:t>
      </w:r>
    </w:p>
  </w:comment>
  <w:comment w:id="16" w:author="Ahyoung Lim" w:date="2026-02-04T15:39:00Z" w:initials="AL">
    <w:p w14:paraId="463514C6" w14:textId="77777777" w:rsidR="00EC3301" w:rsidRPr="00912072" w:rsidRDefault="00EC3301" w:rsidP="00EC3301">
      <w:pPr>
        <w:pStyle w:val="CommentText"/>
        <w:rPr>
          <w:lang w:val="en-US"/>
        </w:rPr>
      </w:pPr>
      <w:r>
        <w:rPr>
          <w:rStyle w:val="CommentReference"/>
        </w:rPr>
        <w:annotationRef/>
      </w:r>
      <w:r w:rsidRPr="7A80598D">
        <w:t>aesterik (*) reads like programming notation better to use centred dot</w:t>
      </w:r>
    </w:p>
  </w:comment>
  <w:comment w:id="17" w:author="Ahyoung Lim" w:date="2026-02-04T15:39:00Z" w:initials="AL">
    <w:p w14:paraId="7D6ADD52" w14:textId="77777777" w:rsidR="00EC3301" w:rsidRDefault="00EC3301" w:rsidP="00EC3301">
      <w:pPr>
        <w:pStyle w:val="CommentText"/>
      </w:pPr>
      <w:r>
        <w:rPr>
          <w:rStyle w:val="CommentReference"/>
        </w:rPr>
        <w:annotationRef/>
      </w:r>
      <w:r w:rsidRPr="3F8C0FDC">
        <w:t>or ×</w:t>
      </w:r>
    </w:p>
  </w:comment>
  <w:comment w:id="18" w:author="Guest User" w:date="2026-01-26T16:46:00Z" w:initials="GU">
    <w:p w14:paraId="1D977AFB" w14:textId="56187CC3" w:rsidR="00B954E4" w:rsidRDefault="000A4D47">
      <w:r>
        <w:annotationRef/>
      </w:r>
      <w:r w:rsidRPr="363B7AB6">
        <w:t>All possible combinations?</w:t>
      </w:r>
    </w:p>
  </w:comment>
  <w:comment w:id="19" w:author="Oliver Brady" w:date="2026-01-28T11:42:00Z" w:initials="OB">
    <w:p w14:paraId="0D6FDE7F" w14:textId="284406AC" w:rsidR="00330474" w:rsidRDefault="00330474">
      <w:pPr>
        <w:pStyle w:val="CommentText"/>
      </w:pPr>
      <w:r>
        <w:rPr>
          <w:rStyle w:val="CommentReference"/>
        </w:rPr>
        <w:annotationRef/>
      </w:r>
      <w:r w:rsidRPr="1D962717">
        <w:t>maybe give in days or moths to be consistent with previous statement</w:t>
      </w:r>
    </w:p>
  </w:comment>
  <w:comment w:id="20" w:author="Oliver Brady" w:date="2026-01-28T11:43:00Z" w:initials="OB">
    <w:p w14:paraId="0E7B269B" w14:textId="593F3B97" w:rsidR="00330474" w:rsidRDefault="00330474">
      <w:pPr>
        <w:pStyle w:val="CommentText"/>
      </w:pPr>
      <w:r>
        <w:rPr>
          <w:rStyle w:val="CommentReference"/>
        </w:rPr>
        <w:annotationRef/>
      </w:r>
      <w:r w:rsidRPr="6C7C1990">
        <w:t>this is just one outbreak. Would it not be better to based this on an average of Brazilian outbreaks. Would reduce chance and increase consistency with the data used to parameters fatality and hospitalisation rates</w:t>
      </w:r>
    </w:p>
  </w:comment>
  <w:comment w:id="21" w:author="Ahyoung Lim" w:date="2026-02-04T16:39:00Z" w:initials="AL">
    <w:p w14:paraId="7F48017E" w14:textId="305A8E49" w:rsidR="00A94094" w:rsidRDefault="00A94094">
      <w:pPr>
        <w:pStyle w:val="CommentText"/>
      </w:pPr>
      <w:r>
        <w:rPr>
          <w:rStyle w:val="CommentReference"/>
        </w:rPr>
        <w:annotationRef/>
      </w:r>
      <w:r w:rsidRPr="0BD88413">
        <w:t>I wonder if it would be worth testing under different timing of travel (e.g., what is the benefit-risk if travel occurs 1) near the peak 2) outside the peak season etc). currently 7 vs 30 day difference is simply that longer trips = more likely to include high incidence days- so conditioning on peak timing separates that from extra days of exposure</w:t>
      </w:r>
    </w:p>
  </w:comment>
  <w:comment w:id="22" w:author="Ahyoung Lim" w:date="2026-02-04T16:40:00Z" w:initials="AL">
    <w:p w14:paraId="53C785BA" w14:textId="7CEA8C61" w:rsidR="00A94094" w:rsidRDefault="00A94094">
      <w:pPr>
        <w:pStyle w:val="CommentText"/>
      </w:pPr>
      <w:r>
        <w:rPr>
          <w:rStyle w:val="CommentReference"/>
        </w:rPr>
        <w:annotationRef/>
      </w:r>
      <w:r w:rsidRPr="75E7E6BF">
        <w:t>but of course, you can ignore this if you think is inappropriate or out of scope</w:t>
      </w:r>
    </w:p>
  </w:comment>
  <w:comment w:id="23" w:author="Oliver Brady" w:date="2026-01-28T11:45:00Z" w:initials="OB">
    <w:p w14:paraId="5EF1D6A0" w14:textId="2E560A59" w:rsidR="00330474" w:rsidRDefault="00330474">
      <w:pPr>
        <w:pStyle w:val="CommentText"/>
      </w:pPr>
      <w:r>
        <w:rPr>
          <w:rStyle w:val="CommentReference"/>
        </w:rPr>
        <w:annotationRef/>
      </w:r>
      <w:r w:rsidRPr="324CABA3">
        <w:t>worth adding the assumption that "we assume travellers have the same risk of exposure to CHIKV infection as local residents" for clarity</w:t>
      </w:r>
    </w:p>
  </w:comment>
  <w:comment w:id="24" w:author="Ahyoung Lim" w:date="2026-02-04T16:31:00Z" w:initials="AL">
    <w:p w14:paraId="4FE476F6" w14:textId="25B45C0B" w:rsidR="00A94094" w:rsidRDefault="00A94094">
      <w:pPr>
        <w:pStyle w:val="CommentText"/>
      </w:pPr>
      <w:r>
        <w:rPr>
          <w:rStyle w:val="CommentReference"/>
        </w:rPr>
        <w:annotationRef/>
      </w:r>
      <w:r w:rsidRPr="6AA663AB">
        <w:t>this reads quite similar to the intro- could tighten and make it more specific to what you found</w:t>
      </w:r>
    </w:p>
  </w:comment>
  <w:comment w:id="25" w:author="Guest User" w:date="2026-02-06T16:08:00Z" w:initials="GU">
    <w:p w14:paraId="7496472A" w14:textId="34FAA0AD" w:rsidR="00872B45" w:rsidRDefault="00872B45">
      <w:pPr>
        <w:pStyle w:val="CommentText"/>
      </w:pPr>
      <w:r>
        <w:rPr>
          <w:rStyle w:val="CommentReference"/>
        </w:rPr>
        <w:annotationRef/>
      </w:r>
      <w:r w:rsidRPr="3BCBC571">
        <w:t>Yoonie: suggest to remove this sentence and go straight to the next one ("in the context of..")</w:t>
      </w:r>
    </w:p>
  </w:comment>
  <w:comment w:id="26" w:author="Oliver Brady" w:date="2026-01-28T13:05:00Z" w:initials="OB">
    <w:p w14:paraId="61184542" w14:textId="3BEBC373" w:rsidR="00AF3668" w:rsidRDefault="00AF3668">
      <w:pPr>
        <w:pStyle w:val="CommentText"/>
      </w:pPr>
      <w:r>
        <w:rPr>
          <w:rStyle w:val="CommentReference"/>
        </w:rPr>
        <w:annotationRef/>
      </w:r>
      <w:r w:rsidRPr="5A58F627">
        <w:t>I suppose more accurately disease and transmission as its all about indirect effects- whatever you decide make it consistent throughtout</w:t>
      </w:r>
    </w:p>
  </w:comment>
  <w:comment w:id="27" w:author="Guest User" w:date="2026-02-06T16:14:00Z" w:initials="GU">
    <w:p w14:paraId="61A83F72" w14:textId="7C8B0EF0" w:rsidR="00521CBD" w:rsidRDefault="00521CBD">
      <w:pPr>
        <w:pStyle w:val="CommentText"/>
      </w:pPr>
      <w:r>
        <w:rPr>
          <w:rStyle w:val="CommentReference"/>
        </w:rPr>
        <w:annotationRef/>
      </w:r>
      <w:r w:rsidRPr="537C975B">
        <w:t xml:space="preserve">Yoonie: Is uncertainty specific to short-term travel only? </w:t>
      </w:r>
    </w:p>
  </w:comment>
  <w:comment w:id="28" w:author="Oliver Brady" w:date="2026-01-28T13:11:00Z" w:initials="OB">
    <w:p w14:paraId="4CB4D43C" w14:textId="182689B0" w:rsidR="00AF3668" w:rsidRDefault="00AF3668">
      <w:pPr>
        <w:pStyle w:val="CommentText"/>
      </w:pPr>
      <w:r>
        <w:rPr>
          <w:rStyle w:val="CommentReference"/>
        </w:rPr>
        <w:annotationRef/>
      </w:r>
      <w:r w:rsidRPr="1449E1C4">
        <w:t>I think there is a subtlety in the results that should be brought out in the discussion on repeat short visits. A policymaker may incorrectly assume that multiple 7 day visits have the same BCR as one 7 day visit. What do your results say about likely BCR of someone who would make four 7 day visits over the year, what about someone who makes four visits over  the next 10 years (or however long the vaccine is expected to confer protection)</w:t>
      </w:r>
    </w:p>
  </w:comment>
  <w:comment w:id="29" w:author="Oliver Brady" w:date="2026-01-28T13:08:00Z" w:initials="OB">
    <w:p w14:paraId="52DB32A5" w14:textId="3F3828F8" w:rsidR="00AF3668" w:rsidRDefault="00AF3668">
      <w:pPr>
        <w:pStyle w:val="CommentText"/>
      </w:pPr>
      <w:r>
        <w:rPr>
          <w:rStyle w:val="CommentReference"/>
        </w:rPr>
        <w:annotationRef/>
      </w:r>
      <w:r w:rsidRPr="087B1163">
        <w:t>bit hard for vaccination to be contingent on forecasting of an outbreak</w:t>
      </w:r>
    </w:p>
  </w:comment>
  <w:comment w:id="30" w:author="Guest User" w:date="2026-02-06T16:26:00Z" w:initials="GU">
    <w:p w14:paraId="3BCFA599" w14:textId="1F95F071" w:rsidR="00A70E0A" w:rsidRDefault="00A70E0A">
      <w:pPr>
        <w:pStyle w:val="CommentText"/>
      </w:pPr>
      <w:r>
        <w:rPr>
          <w:rStyle w:val="CommentReference"/>
        </w:rPr>
        <w:annotationRef/>
      </w:r>
      <w:r w:rsidRPr="2B05A00F">
        <w:t>Yoonie: were these recommendations based on post marketing reports of serious adverse events only? Or were they also supported by benefit-risk analysis? (FDA CBER?) The former: we can say "the patterns observed in this analysis corroborates recommendations by A,B,C.." The latter: we should explain how the results from this analysis compare with those from other benefit-risk analyses?</w:t>
      </w:r>
    </w:p>
  </w:comment>
  <w:comment w:id="31" w:author="Guest User" w:date="2026-02-06T16:28:00Z" w:initials="GU">
    <w:p w14:paraId="5FD17796" w14:textId="49B9D7EE" w:rsidR="0042397E" w:rsidRDefault="0042397E">
      <w:pPr>
        <w:pStyle w:val="CommentText"/>
      </w:pPr>
      <w:r>
        <w:rPr>
          <w:rStyle w:val="CommentReference"/>
        </w:rPr>
        <w:annotationRef/>
      </w:r>
      <w:r w:rsidRPr="4865100D">
        <w:t>Yoonie: we should perhaps phrase this differently.. hospitalizations are considered as severe adverse events and inform vaccination decisions</w:t>
      </w:r>
    </w:p>
  </w:comment>
  <w:comment w:id="32" w:author="Oliver Brady" w:date="2026-01-28T13:12:00Z" w:initials="OB">
    <w:p w14:paraId="62AC1146" w14:textId="3DD69195" w:rsidR="00AF3668" w:rsidRDefault="00AF3668">
      <w:pPr>
        <w:pStyle w:val="CommentText"/>
      </w:pPr>
      <w:r>
        <w:rPr>
          <w:rStyle w:val="CommentReference"/>
        </w:rPr>
        <w:annotationRef/>
      </w:r>
      <w:r w:rsidRPr="1BDB176D">
        <w:t>add citation</w:t>
      </w:r>
    </w:p>
  </w:comment>
  <w:comment w:id="33" w:author="Oliver Brady" w:date="2026-01-28T13:13:00Z" w:initials="OB">
    <w:p w14:paraId="07E5DA33" w14:textId="6576F891" w:rsidR="00AF3668" w:rsidRDefault="00AF3668">
      <w:pPr>
        <w:pStyle w:val="CommentText"/>
      </w:pPr>
      <w:r>
        <w:rPr>
          <w:rStyle w:val="CommentReference"/>
        </w:rPr>
        <w:annotationRef/>
      </w:r>
      <w:r w:rsidRPr="64BDF1C4">
        <w:t>add citation</w:t>
      </w:r>
    </w:p>
  </w:comment>
  <w:comment w:id="34" w:author="Oliver Brady" w:date="2026-01-28T13:14:00Z" w:initials="OB">
    <w:p w14:paraId="69F89D71" w14:textId="43DA817E" w:rsidR="00AF3668" w:rsidRDefault="00AF3668">
      <w:pPr>
        <w:pStyle w:val="CommentText"/>
      </w:pPr>
      <w:r>
        <w:rPr>
          <w:rStyle w:val="CommentReference"/>
        </w:rPr>
        <w:annotationRef/>
      </w:r>
      <w:r w:rsidRPr="798CFA26">
        <w:t>Are you aware of any other travel vaccines where this is done? And if so, on what evidence was this decision made?</w:t>
      </w:r>
    </w:p>
  </w:comment>
  <w:comment w:id="35" w:author="Guest User" w:date="2026-02-06T16:36:00Z" w:initials="GU">
    <w:p w14:paraId="4F27177F" w14:textId="7051C59F" w:rsidR="00F33672" w:rsidRDefault="00F33672">
      <w:pPr>
        <w:pStyle w:val="CommentText"/>
      </w:pPr>
      <w:r>
        <w:rPr>
          <w:rStyle w:val="CommentReference"/>
        </w:rPr>
        <w:annotationRef/>
      </w:r>
      <w:r w:rsidRPr="08EE885B">
        <w:t>Yoonie: great suggestion. Japanese Encephalitis could be a comparable example requiring context-specific guidance on travel duration, nature of activities. transmission seasons, and age groups</w:t>
      </w:r>
    </w:p>
  </w:comment>
  <w:comment w:id="36" w:author="Guest User" w:date="2026-01-26T17:09:00Z" w:initials="GU">
    <w:p w14:paraId="37E6F75C" w14:textId="19A2E913" w:rsidR="00B954E4" w:rsidRDefault="000A4D47">
      <w:r>
        <w:annotationRef/>
      </w:r>
      <w:r w:rsidRPr="38588FA4">
        <w:t>I'd add that VAERS is a passive system, and reports can be incomplete. As additional post-authorisation data accrue, ideally including active surveillance, age-specific risk estimates should be updated, recognising that passive systems can have incomplete capture even for severe events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2F85C" w15:done="0"/>
  <w15:commentEx w15:paraId="72325684" w15:done="0"/>
  <w15:commentEx w15:paraId="6842709F" w15:done="0"/>
  <w15:commentEx w15:paraId="362A3436" w15:done="0"/>
  <w15:commentEx w15:paraId="3271FFA4" w15:done="0"/>
  <w15:commentEx w15:paraId="2B09AC95" w15:done="0"/>
  <w15:commentEx w15:paraId="3985CC6F" w15:done="0"/>
  <w15:commentEx w15:paraId="7DD78D58" w15:done="0"/>
  <w15:commentEx w15:paraId="156BA205" w15:done="0"/>
  <w15:commentEx w15:paraId="54415EA5" w15:done="0"/>
  <w15:commentEx w15:paraId="03E852AF" w15:done="0"/>
  <w15:commentEx w15:paraId="3D0725DF" w15:done="0"/>
  <w15:commentEx w15:paraId="219ABF89" w15:done="0"/>
  <w15:commentEx w15:paraId="0510AA90" w15:done="1"/>
  <w15:commentEx w15:paraId="57F1B6A6" w15:done="0"/>
  <w15:commentEx w15:paraId="240DF322" w15:done="0"/>
  <w15:commentEx w15:paraId="463514C6" w15:done="0"/>
  <w15:commentEx w15:paraId="7D6ADD52" w15:paraIdParent="463514C6" w15:done="0"/>
  <w15:commentEx w15:paraId="1D977AFB" w15:done="0"/>
  <w15:commentEx w15:paraId="0D6FDE7F" w15:done="0"/>
  <w15:commentEx w15:paraId="0E7B269B" w15:done="1"/>
  <w15:commentEx w15:paraId="7F48017E" w15:done="0"/>
  <w15:commentEx w15:paraId="53C785BA" w15:paraIdParent="7F48017E" w15:done="0"/>
  <w15:commentEx w15:paraId="5EF1D6A0" w15:done="1"/>
  <w15:commentEx w15:paraId="4FE476F6" w15:done="0"/>
  <w15:commentEx w15:paraId="7496472A" w15:done="0"/>
  <w15:commentEx w15:paraId="61184542" w15:done="0"/>
  <w15:commentEx w15:paraId="61A83F72" w15:done="0"/>
  <w15:commentEx w15:paraId="4CB4D43C" w15:done="0"/>
  <w15:commentEx w15:paraId="52DB32A5" w15:done="0"/>
  <w15:commentEx w15:paraId="3BCFA599" w15:done="0"/>
  <w15:commentEx w15:paraId="5FD17796" w15:done="0"/>
  <w15:commentEx w15:paraId="62AC1146" w15:done="0"/>
  <w15:commentEx w15:paraId="07E5DA33" w15:done="0"/>
  <w15:commentEx w15:paraId="69F89D71" w15:done="0"/>
  <w15:commentEx w15:paraId="4F27177F" w15:paraIdParent="69F89D71" w15:done="0"/>
  <w15:commentEx w15:paraId="37E6F7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F322B" w16cex:dateUtc="2026-01-31T13:21:00Z"/>
  <w16cex:commentExtensible w16cex:durableId="46ED222C" w16cex:dateUtc="2026-02-04T15:01:00Z"/>
  <w16cex:commentExtensible w16cex:durableId="283BA965" w16cex:dateUtc="2026-02-04T15:04:00Z"/>
  <w16cex:commentExtensible w16cex:durableId="79FC9D72" w16cex:dateUtc="2026-02-04T15:05:00Z"/>
  <w16cex:commentExtensible w16cex:durableId="65BAAAFF" w16cex:dateUtc="2026-02-04T15:09:00Z"/>
  <w16cex:commentExtensible w16cex:durableId="348AD655" w16cex:dateUtc="2026-01-26T16:23:00Z"/>
  <w16cex:commentExtensible w16cex:durableId="61EFA594" w16cex:dateUtc="2026-02-04T15:17:00Z"/>
  <w16cex:commentExtensible w16cex:durableId="306D9460" w16cex:dateUtc="2026-01-26T16:26:00Z"/>
  <w16cex:commentExtensible w16cex:durableId="5A3BB81D" w16cex:dateUtc="2026-01-28T11:18:00Z"/>
  <w16cex:commentExtensible w16cex:durableId="2BDE53D8" w16cex:dateUtc="2026-01-28T11:22:00Z"/>
  <w16cex:commentExtensible w16cex:durableId="44ABEA6F" w16cex:dateUtc="2026-01-28T11:24:00Z"/>
  <w16cex:commentExtensible w16cex:durableId="0A9FCCEF" w16cex:dateUtc="2026-02-04T15:24:00Z"/>
  <w16cex:commentExtensible w16cex:durableId="24A443F8" w16cex:dateUtc="2026-01-28T11:26:00Z"/>
  <w16cex:commentExtensible w16cex:durableId="37835FD3" w16cex:dateUtc="2026-01-26T16:49:00Z"/>
  <w16cex:commentExtensible w16cex:durableId="6690DE98" w16cex:dateUtc="2026-01-26T16:48:00Z"/>
  <w16cex:commentExtensible w16cex:durableId="3B178C30" w16cex:dateUtc="2026-01-28T11:40:00Z"/>
  <w16cex:commentExtensible w16cex:durableId="0AF772DA" w16cex:dateUtc="2026-02-04T15:39:00Z"/>
  <w16cex:commentExtensible w16cex:durableId="6A6D3DFC" w16cex:dateUtc="2026-02-04T15:39:00Z"/>
  <w16cex:commentExtensible w16cex:durableId="50FC4DCC" w16cex:dateUtc="2026-01-26T16:46:00Z"/>
  <w16cex:commentExtensible w16cex:durableId="3A5A27C8" w16cex:dateUtc="2026-01-28T11:42:00Z"/>
  <w16cex:commentExtensible w16cex:durableId="3DA69DD2" w16cex:dateUtc="2026-01-28T11:43:00Z"/>
  <w16cex:commentExtensible w16cex:durableId="280EE08A" w16cex:dateUtc="2026-02-04T16:39:00Z"/>
  <w16cex:commentExtensible w16cex:durableId="26764AA7" w16cex:dateUtc="2026-02-04T16:40:00Z"/>
  <w16cex:commentExtensible w16cex:durableId="61B5D4A8" w16cex:dateUtc="2026-01-28T11:45:00Z"/>
  <w16cex:commentExtensible w16cex:durableId="2F5DF90A" w16cex:dateUtc="2026-02-04T16:31:00Z"/>
  <w16cex:commentExtensible w16cex:durableId="709F798C" w16cex:dateUtc="2026-02-06T15:08:00Z"/>
  <w16cex:commentExtensible w16cex:durableId="4B9885B7" w16cex:dateUtc="2026-01-28T13:05:00Z"/>
  <w16cex:commentExtensible w16cex:durableId="7C9F6FAE" w16cex:dateUtc="2026-02-06T15:14:00Z"/>
  <w16cex:commentExtensible w16cex:durableId="61B7C7D8" w16cex:dateUtc="2026-01-28T13:11:00Z"/>
  <w16cex:commentExtensible w16cex:durableId="2D414337" w16cex:dateUtc="2026-01-28T13:08:00Z"/>
  <w16cex:commentExtensible w16cex:durableId="792182C4" w16cex:dateUtc="2026-02-06T15:26:00Z"/>
  <w16cex:commentExtensible w16cex:durableId="5D2B8358" w16cex:dateUtc="2026-02-06T15:28:00Z"/>
  <w16cex:commentExtensible w16cex:durableId="28D33033" w16cex:dateUtc="2026-01-28T13:12:00Z"/>
  <w16cex:commentExtensible w16cex:durableId="5F52C067" w16cex:dateUtc="2026-01-28T13:13:00Z"/>
  <w16cex:commentExtensible w16cex:durableId="4B2AAA39" w16cex:dateUtc="2026-01-28T13:14:00Z"/>
  <w16cex:commentExtensible w16cex:durableId="775CF754" w16cex:dateUtc="2026-02-06T15:36:00Z"/>
  <w16cex:commentExtensible w16cex:durableId="0B55A7FD" w16cex:dateUtc="2026-01-26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2F85C" w16cid:durableId="60FF322B"/>
  <w16cid:commentId w16cid:paraId="72325684" w16cid:durableId="46ED222C"/>
  <w16cid:commentId w16cid:paraId="6842709F" w16cid:durableId="283BA965"/>
  <w16cid:commentId w16cid:paraId="362A3436" w16cid:durableId="79FC9D72"/>
  <w16cid:commentId w16cid:paraId="3271FFA4" w16cid:durableId="65BAAAFF"/>
  <w16cid:commentId w16cid:paraId="2B09AC95" w16cid:durableId="348AD655"/>
  <w16cid:commentId w16cid:paraId="3985CC6F" w16cid:durableId="61EFA594"/>
  <w16cid:commentId w16cid:paraId="7DD78D58" w16cid:durableId="306D9460"/>
  <w16cid:commentId w16cid:paraId="156BA205" w16cid:durableId="5A3BB81D"/>
  <w16cid:commentId w16cid:paraId="54415EA5" w16cid:durableId="2BDE53D8"/>
  <w16cid:commentId w16cid:paraId="03E852AF" w16cid:durableId="44ABEA6F"/>
  <w16cid:commentId w16cid:paraId="3D0725DF" w16cid:durableId="0A9FCCEF"/>
  <w16cid:commentId w16cid:paraId="219ABF89" w16cid:durableId="24A443F8"/>
  <w16cid:commentId w16cid:paraId="0510AA90" w16cid:durableId="37835FD3"/>
  <w16cid:commentId w16cid:paraId="57F1B6A6" w16cid:durableId="6690DE98"/>
  <w16cid:commentId w16cid:paraId="240DF322" w16cid:durableId="3B178C30"/>
  <w16cid:commentId w16cid:paraId="463514C6" w16cid:durableId="0AF772DA"/>
  <w16cid:commentId w16cid:paraId="7D6ADD52" w16cid:durableId="6A6D3DFC"/>
  <w16cid:commentId w16cid:paraId="1D977AFB" w16cid:durableId="50FC4DCC"/>
  <w16cid:commentId w16cid:paraId="0D6FDE7F" w16cid:durableId="3A5A27C8"/>
  <w16cid:commentId w16cid:paraId="0E7B269B" w16cid:durableId="3DA69DD2"/>
  <w16cid:commentId w16cid:paraId="7F48017E" w16cid:durableId="280EE08A"/>
  <w16cid:commentId w16cid:paraId="53C785BA" w16cid:durableId="26764AA7"/>
  <w16cid:commentId w16cid:paraId="5EF1D6A0" w16cid:durableId="61B5D4A8"/>
  <w16cid:commentId w16cid:paraId="4FE476F6" w16cid:durableId="2F5DF90A"/>
  <w16cid:commentId w16cid:paraId="7496472A" w16cid:durableId="709F798C"/>
  <w16cid:commentId w16cid:paraId="61184542" w16cid:durableId="4B9885B7"/>
  <w16cid:commentId w16cid:paraId="61A83F72" w16cid:durableId="7C9F6FAE"/>
  <w16cid:commentId w16cid:paraId="4CB4D43C" w16cid:durableId="61B7C7D8"/>
  <w16cid:commentId w16cid:paraId="52DB32A5" w16cid:durableId="2D414337"/>
  <w16cid:commentId w16cid:paraId="3BCFA599" w16cid:durableId="792182C4"/>
  <w16cid:commentId w16cid:paraId="5FD17796" w16cid:durableId="5D2B8358"/>
  <w16cid:commentId w16cid:paraId="62AC1146" w16cid:durableId="28D33033"/>
  <w16cid:commentId w16cid:paraId="07E5DA33" w16cid:durableId="5F52C067"/>
  <w16cid:commentId w16cid:paraId="69F89D71" w16cid:durableId="4B2AAA39"/>
  <w16cid:commentId w16cid:paraId="4F27177F" w16cid:durableId="775CF754"/>
  <w16cid:commentId w16cid:paraId="37E6F75C" w16cid:durableId="0B55A7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5F45" w14:textId="77777777" w:rsidR="004B6D59" w:rsidRDefault="004B6D59" w:rsidP="004D323D">
      <w:r>
        <w:separator/>
      </w:r>
    </w:p>
  </w:endnote>
  <w:endnote w:type="continuationSeparator" w:id="0">
    <w:p w14:paraId="0FC6C445" w14:textId="77777777" w:rsidR="004B6D59" w:rsidRDefault="004B6D59" w:rsidP="004D3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pitch w:val="fixed"/>
    <w:sig w:usb0="00000001" w:usb1="09060000" w:usb2="00000010" w:usb3="00000000" w:csb0="00080000"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61893" w14:textId="77777777" w:rsidR="004B6D59" w:rsidRDefault="004B6D59" w:rsidP="004D323D">
      <w:r>
        <w:separator/>
      </w:r>
    </w:p>
  </w:footnote>
  <w:footnote w:type="continuationSeparator" w:id="0">
    <w:p w14:paraId="445337EC" w14:textId="77777777" w:rsidR="004B6D59" w:rsidRDefault="004B6D59" w:rsidP="004D3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2"/>
  </w:num>
  <w:num w:numId="2" w16cid:durableId="1343513892">
    <w:abstractNumId w:val="6"/>
  </w:num>
  <w:num w:numId="3" w16cid:durableId="1748383324">
    <w:abstractNumId w:val="4"/>
  </w:num>
  <w:num w:numId="4" w16cid:durableId="2102411239">
    <w:abstractNumId w:val="0"/>
  </w:num>
  <w:num w:numId="5" w16cid:durableId="519323661">
    <w:abstractNumId w:val="7"/>
  </w:num>
  <w:num w:numId="6" w16cid:durableId="704134708">
    <w:abstractNumId w:val="9"/>
  </w:num>
  <w:num w:numId="7" w16cid:durableId="1511142150">
    <w:abstractNumId w:val="1"/>
  </w:num>
  <w:num w:numId="8" w16cid:durableId="1512601559">
    <w:abstractNumId w:val="8"/>
  </w:num>
  <w:num w:numId="9" w16cid:durableId="632445180">
    <w:abstractNumId w:val="5"/>
  </w:num>
  <w:num w:numId="10" w16cid:durableId="10238255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72ada2a1-5d29-4eed-b194-f8745777149e::"/>
  </w15:person>
  <w15:person w15:author="Ahyoung Lim">
    <w15:presenceInfo w15:providerId="AD" w15:userId="S::lshal11@lshtm.ac.uk::98b1069c-8a41-487b-a6e8-d78d791ca04b"/>
  </w15:person>
  <w15:person w15:author="Oliver Brady">
    <w15:presenceInfo w15:providerId="AD" w15:userId="S::eideobra@lshtm.ac.uk::0cdc5bd0-546c-4801-89bd-bb0a51db7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8F"/>
    <w:rsid w:val="00000018"/>
    <w:rsid w:val="000008D9"/>
    <w:rsid w:val="00000961"/>
    <w:rsid w:val="00000B1E"/>
    <w:rsid w:val="000010D5"/>
    <w:rsid w:val="000016A1"/>
    <w:rsid w:val="00001A0F"/>
    <w:rsid w:val="00001B9D"/>
    <w:rsid w:val="00001DE3"/>
    <w:rsid w:val="000020C1"/>
    <w:rsid w:val="000024CA"/>
    <w:rsid w:val="000026B7"/>
    <w:rsid w:val="00002852"/>
    <w:rsid w:val="00003905"/>
    <w:rsid w:val="00003C3C"/>
    <w:rsid w:val="0000489E"/>
    <w:rsid w:val="00004B97"/>
    <w:rsid w:val="000053D1"/>
    <w:rsid w:val="00005E7A"/>
    <w:rsid w:val="00006627"/>
    <w:rsid w:val="000066D2"/>
    <w:rsid w:val="0000671D"/>
    <w:rsid w:val="00006C43"/>
    <w:rsid w:val="000071FC"/>
    <w:rsid w:val="00007995"/>
    <w:rsid w:val="00007B88"/>
    <w:rsid w:val="00007DCD"/>
    <w:rsid w:val="00010A1F"/>
    <w:rsid w:val="000111C7"/>
    <w:rsid w:val="00012B89"/>
    <w:rsid w:val="00012D1B"/>
    <w:rsid w:val="00012F3E"/>
    <w:rsid w:val="000132D6"/>
    <w:rsid w:val="00014028"/>
    <w:rsid w:val="0001456F"/>
    <w:rsid w:val="000145EB"/>
    <w:rsid w:val="00014782"/>
    <w:rsid w:val="00014B63"/>
    <w:rsid w:val="00014FA3"/>
    <w:rsid w:val="0001548F"/>
    <w:rsid w:val="00015713"/>
    <w:rsid w:val="00015DB2"/>
    <w:rsid w:val="00016FB9"/>
    <w:rsid w:val="000171DD"/>
    <w:rsid w:val="000177FA"/>
    <w:rsid w:val="00017AFC"/>
    <w:rsid w:val="000202A8"/>
    <w:rsid w:val="0002045F"/>
    <w:rsid w:val="000205AD"/>
    <w:rsid w:val="0002060E"/>
    <w:rsid w:val="000209FA"/>
    <w:rsid w:val="00020D23"/>
    <w:rsid w:val="00021400"/>
    <w:rsid w:val="0002165C"/>
    <w:rsid w:val="00021ECF"/>
    <w:rsid w:val="00021EEC"/>
    <w:rsid w:val="00022098"/>
    <w:rsid w:val="00022605"/>
    <w:rsid w:val="000227B5"/>
    <w:rsid w:val="00022BA9"/>
    <w:rsid w:val="00022F4C"/>
    <w:rsid w:val="00023480"/>
    <w:rsid w:val="00023622"/>
    <w:rsid w:val="00023D88"/>
    <w:rsid w:val="0002460B"/>
    <w:rsid w:val="000246A4"/>
    <w:rsid w:val="0002471F"/>
    <w:rsid w:val="0002551D"/>
    <w:rsid w:val="00025F7B"/>
    <w:rsid w:val="000261AA"/>
    <w:rsid w:val="000262E2"/>
    <w:rsid w:val="00026358"/>
    <w:rsid w:val="00027A06"/>
    <w:rsid w:val="00027FC0"/>
    <w:rsid w:val="000304C0"/>
    <w:rsid w:val="00030B82"/>
    <w:rsid w:val="00030CC4"/>
    <w:rsid w:val="00030F5A"/>
    <w:rsid w:val="00030F79"/>
    <w:rsid w:val="00031051"/>
    <w:rsid w:val="000313AE"/>
    <w:rsid w:val="00031A42"/>
    <w:rsid w:val="000320CC"/>
    <w:rsid w:val="000321D0"/>
    <w:rsid w:val="000321EF"/>
    <w:rsid w:val="00032741"/>
    <w:rsid w:val="00032A71"/>
    <w:rsid w:val="000331BF"/>
    <w:rsid w:val="000331F4"/>
    <w:rsid w:val="00033443"/>
    <w:rsid w:val="00033A59"/>
    <w:rsid w:val="0003454A"/>
    <w:rsid w:val="0003487E"/>
    <w:rsid w:val="00034B75"/>
    <w:rsid w:val="00034D4A"/>
    <w:rsid w:val="00034F4C"/>
    <w:rsid w:val="00035164"/>
    <w:rsid w:val="000356BB"/>
    <w:rsid w:val="000359D0"/>
    <w:rsid w:val="00035AF4"/>
    <w:rsid w:val="00035C91"/>
    <w:rsid w:val="00036292"/>
    <w:rsid w:val="00037210"/>
    <w:rsid w:val="00037687"/>
    <w:rsid w:val="00037713"/>
    <w:rsid w:val="00037BEC"/>
    <w:rsid w:val="00040164"/>
    <w:rsid w:val="00040296"/>
    <w:rsid w:val="00040967"/>
    <w:rsid w:val="00040DFC"/>
    <w:rsid w:val="00041660"/>
    <w:rsid w:val="00041684"/>
    <w:rsid w:val="00041EC1"/>
    <w:rsid w:val="00042182"/>
    <w:rsid w:val="00042605"/>
    <w:rsid w:val="00042D40"/>
    <w:rsid w:val="00042F0A"/>
    <w:rsid w:val="00043456"/>
    <w:rsid w:val="00043C6C"/>
    <w:rsid w:val="00043F13"/>
    <w:rsid w:val="00044E4A"/>
    <w:rsid w:val="000451DA"/>
    <w:rsid w:val="00045398"/>
    <w:rsid w:val="0004573C"/>
    <w:rsid w:val="000457E8"/>
    <w:rsid w:val="00045FFB"/>
    <w:rsid w:val="00046439"/>
    <w:rsid w:val="0004655C"/>
    <w:rsid w:val="00047757"/>
    <w:rsid w:val="000479E8"/>
    <w:rsid w:val="00047C89"/>
    <w:rsid w:val="00052D32"/>
    <w:rsid w:val="00053AF5"/>
    <w:rsid w:val="00053BEB"/>
    <w:rsid w:val="0005472E"/>
    <w:rsid w:val="00054C07"/>
    <w:rsid w:val="00054CAC"/>
    <w:rsid w:val="000550E4"/>
    <w:rsid w:val="0005579B"/>
    <w:rsid w:val="000558E0"/>
    <w:rsid w:val="00055D40"/>
    <w:rsid w:val="00055E29"/>
    <w:rsid w:val="00056074"/>
    <w:rsid w:val="0005617B"/>
    <w:rsid w:val="00056481"/>
    <w:rsid w:val="00056BDE"/>
    <w:rsid w:val="00056D76"/>
    <w:rsid w:val="00057015"/>
    <w:rsid w:val="000571B6"/>
    <w:rsid w:val="00057683"/>
    <w:rsid w:val="00057A1B"/>
    <w:rsid w:val="00060026"/>
    <w:rsid w:val="000619D7"/>
    <w:rsid w:val="00062535"/>
    <w:rsid w:val="00062851"/>
    <w:rsid w:val="00063B20"/>
    <w:rsid w:val="00063B5F"/>
    <w:rsid w:val="00063EFD"/>
    <w:rsid w:val="00063FBC"/>
    <w:rsid w:val="000645C1"/>
    <w:rsid w:val="000647CC"/>
    <w:rsid w:val="00064E46"/>
    <w:rsid w:val="00064F62"/>
    <w:rsid w:val="00065147"/>
    <w:rsid w:val="000654A3"/>
    <w:rsid w:val="00065792"/>
    <w:rsid w:val="00065849"/>
    <w:rsid w:val="00065AB3"/>
    <w:rsid w:val="00065B84"/>
    <w:rsid w:val="00065C25"/>
    <w:rsid w:val="0006618B"/>
    <w:rsid w:val="000661CA"/>
    <w:rsid w:val="00066549"/>
    <w:rsid w:val="00066B9C"/>
    <w:rsid w:val="00067252"/>
    <w:rsid w:val="0007050A"/>
    <w:rsid w:val="00070C81"/>
    <w:rsid w:val="00071582"/>
    <w:rsid w:val="000715DA"/>
    <w:rsid w:val="000716F9"/>
    <w:rsid w:val="000718B2"/>
    <w:rsid w:val="00072724"/>
    <w:rsid w:val="00073347"/>
    <w:rsid w:val="000737C1"/>
    <w:rsid w:val="00073C18"/>
    <w:rsid w:val="00074017"/>
    <w:rsid w:val="0007445C"/>
    <w:rsid w:val="00074D59"/>
    <w:rsid w:val="00076248"/>
    <w:rsid w:val="00076B72"/>
    <w:rsid w:val="0007714E"/>
    <w:rsid w:val="000773F9"/>
    <w:rsid w:val="000778D1"/>
    <w:rsid w:val="00080271"/>
    <w:rsid w:val="000808A7"/>
    <w:rsid w:val="000816BD"/>
    <w:rsid w:val="000818E5"/>
    <w:rsid w:val="00082095"/>
    <w:rsid w:val="000826A9"/>
    <w:rsid w:val="0008280D"/>
    <w:rsid w:val="00082982"/>
    <w:rsid w:val="00082A5C"/>
    <w:rsid w:val="000830DC"/>
    <w:rsid w:val="000835DB"/>
    <w:rsid w:val="0008380B"/>
    <w:rsid w:val="00083976"/>
    <w:rsid w:val="00083AF5"/>
    <w:rsid w:val="00084892"/>
    <w:rsid w:val="00085A43"/>
    <w:rsid w:val="00086C3C"/>
    <w:rsid w:val="00086DDC"/>
    <w:rsid w:val="00086E6D"/>
    <w:rsid w:val="000872C0"/>
    <w:rsid w:val="0008737E"/>
    <w:rsid w:val="00087856"/>
    <w:rsid w:val="000879EF"/>
    <w:rsid w:val="00090772"/>
    <w:rsid w:val="00090A26"/>
    <w:rsid w:val="00090E35"/>
    <w:rsid w:val="00091219"/>
    <w:rsid w:val="000913CE"/>
    <w:rsid w:val="000916F6"/>
    <w:rsid w:val="00091958"/>
    <w:rsid w:val="00091F23"/>
    <w:rsid w:val="000923E4"/>
    <w:rsid w:val="00093710"/>
    <w:rsid w:val="00094242"/>
    <w:rsid w:val="00094D31"/>
    <w:rsid w:val="00094ED7"/>
    <w:rsid w:val="00095589"/>
    <w:rsid w:val="00095731"/>
    <w:rsid w:val="000958AA"/>
    <w:rsid w:val="00095B40"/>
    <w:rsid w:val="000963A7"/>
    <w:rsid w:val="00096839"/>
    <w:rsid w:val="00097A7C"/>
    <w:rsid w:val="000A0345"/>
    <w:rsid w:val="000A0DC7"/>
    <w:rsid w:val="000A0F4D"/>
    <w:rsid w:val="000A15D1"/>
    <w:rsid w:val="000A1626"/>
    <w:rsid w:val="000A173E"/>
    <w:rsid w:val="000A1B75"/>
    <w:rsid w:val="000A2499"/>
    <w:rsid w:val="000A24A3"/>
    <w:rsid w:val="000A24C1"/>
    <w:rsid w:val="000A2A8B"/>
    <w:rsid w:val="000A2DCE"/>
    <w:rsid w:val="000A2F41"/>
    <w:rsid w:val="000A31C1"/>
    <w:rsid w:val="000A38F1"/>
    <w:rsid w:val="000A39BE"/>
    <w:rsid w:val="000A3EC4"/>
    <w:rsid w:val="000A4263"/>
    <w:rsid w:val="000A4759"/>
    <w:rsid w:val="000A4CAA"/>
    <w:rsid w:val="000A4D47"/>
    <w:rsid w:val="000A516F"/>
    <w:rsid w:val="000A59BC"/>
    <w:rsid w:val="000A5BB6"/>
    <w:rsid w:val="000A5C0C"/>
    <w:rsid w:val="000A5D6B"/>
    <w:rsid w:val="000A63B3"/>
    <w:rsid w:val="000A672F"/>
    <w:rsid w:val="000A71F8"/>
    <w:rsid w:val="000A73C7"/>
    <w:rsid w:val="000A77B9"/>
    <w:rsid w:val="000A7B1B"/>
    <w:rsid w:val="000B0A5E"/>
    <w:rsid w:val="000B1034"/>
    <w:rsid w:val="000B11CD"/>
    <w:rsid w:val="000B1438"/>
    <w:rsid w:val="000B165B"/>
    <w:rsid w:val="000B16F9"/>
    <w:rsid w:val="000B1907"/>
    <w:rsid w:val="000B191F"/>
    <w:rsid w:val="000B19A7"/>
    <w:rsid w:val="000B19AF"/>
    <w:rsid w:val="000B1F4A"/>
    <w:rsid w:val="000B2137"/>
    <w:rsid w:val="000B22B0"/>
    <w:rsid w:val="000B247D"/>
    <w:rsid w:val="000B2564"/>
    <w:rsid w:val="000B2C8E"/>
    <w:rsid w:val="000B40EC"/>
    <w:rsid w:val="000B44DB"/>
    <w:rsid w:val="000B45DE"/>
    <w:rsid w:val="000B460A"/>
    <w:rsid w:val="000B47CB"/>
    <w:rsid w:val="000B48C6"/>
    <w:rsid w:val="000B4CCB"/>
    <w:rsid w:val="000B4D95"/>
    <w:rsid w:val="000B62FB"/>
    <w:rsid w:val="000B6345"/>
    <w:rsid w:val="000B6404"/>
    <w:rsid w:val="000B678F"/>
    <w:rsid w:val="000B73BE"/>
    <w:rsid w:val="000B73F4"/>
    <w:rsid w:val="000B741A"/>
    <w:rsid w:val="000B7CD2"/>
    <w:rsid w:val="000C0437"/>
    <w:rsid w:val="000C087D"/>
    <w:rsid w:val="000C0CC5"/>
    <w:rsid w:val="000C0D1A"/>
    <w:rsid w:val="000C0DBC"/>
    <w:rsid w:val="000C107B"/>
    <w:rsid w:val="000C1356"/>
    <w:rsid w:val="000C18CA"/>
    <w:rsid w:val="000C1F01"/>
    <w:rsid w:val="000C2804"/>
    <w:rsid w:val="000C2AFC"/>
    <w:rsid w:val="000C2C14"/>
    <w:rsid w:val="000C2C22"/>
    <w:rsid w:val="000C3646"/>
    <w:rsid w:val="000C3A7B"/>
    <w:rsid w:val="000C45A3"/>
    <w:rsid w:val="000C4A65"/>
    <w:rsid w:val="000C59FA"/>
    <w:rsid w:val="000C5EF8"/>
    <w:rsid w:val="000C682E"/>
    <w:rsid w:val="000C6AFB"/>
    <w:rsid w:val="000C756E"/>
    <w:rsid w:val="000D00E0"/>
    <w:rsid w:val="000D0BE7"/>
    <w:rsid w:val="000D0C52"/>
    <w:rsid w:val="000D0E7F"/>
    <w:rsid w:val="000D1D1F"/>
    <w:rsid w:val="000D238C"/>
    <w:rsid w:val="000D25EC"/>
    <w:rsid w:val="000D279A"/>
    <w:rsid w:val="000D2B01"/>
    <w:rsid w:val="000D3706"/>
    <w:rsid w:val="000D436B"/>
    <w:rsid w:val="000D4BEB"/>
    <w:rsid w:val="000D537E"/>
    <w:rsid w:val="000D540D"/>
    <w:rsid w:val="000D5713"/>
    <w:rsid w:val="000D66EA"/>
    <w:rsid w:val="000D67F4"/>
    <w:rsid w:val="000D6B5D"/>
    <w:rsid w:val="000D6F0A"/>
    <w:rsid w:val="000D7618"/>
    <w:rsid w:val="000E0074"/>
    <w:rsid w:val="000E03AF"/>
    <w:rsid w:val="000E0492"/>
    <w:rsid w:val="000E04D8"/>
    <w:rsid w:val="000E0592"/>
    <w:rsid w:val="000E0908"/>
    <w:rsid w:val="000E115D"/>
    <w:rsid w:val="000E16B7"/>
    <w:rsid w:val="000E24D5"/>
    <w:rsid w:val="000E3740"/>
    <w:rsid w:val="000E3DA5"/>
    <w:rsid w:val="000E3EE0"/>
    <w:rsid w:val="000E3FC0"/>
    <w:rsid w:val="000E41AB"/>
    <w:rsid w:val="000E4CDE"/>
    <w:rsid w:val="000E51AC"/>
    <w:rsid w:val="000E56BD"/>
    <w:rsid w:val="000E6364"/>
    <w:rsid w:val="000E6CBC"/>
    <w:rsid w:val="000E71D4"/>
    <w:rsid w:val="000E7BA0"/>
    <w:rsid w:val="000F04F8"/>
    <w:rsid w:val="000F1399"/>
    <w:rsid w:val="000F30BF"/>
    <w:rsid w:val="000F30FE"/>
    <w:rsid w:val="000F3ACD"/>
    <w:rsid w:val="000F3B1A"/>
    <w:rsid w:val="000F3FEE"/>
    <w:rsid w:val="000F4127"/>
    <w:rsid w:val="000F4814"/>
    <w:rsid w:val="000F4C58"/>
    <w:rsid w:val="000F51C5"/>
    <w:rsid w:val="000F5285"/>
    <w:rsid w:val="000F53EF"/>
    <w:rsid w:val="000F6D6B"/>
    <w:rsid w:val="000F74C8"/>
    <w:rsid w:val="000F76ED"/>
    <w:rsid w:val="000F7F87"/>
    <w:rsid w:val="00100295"/>
    <w:rsid w:val="001006A1"/>
    <w:rsid w:val="00100938"/>
    <w:rsid w:val="00100BD3"/>
    <w:rsid w:val="00101BA9"/>
    <w:rsid w:val="00101D9D"/>
    <w:rsid w:val="001023CB"/>
    <w:rsid w:val="00102FFF"/>
    <w:rsid w:val="00103035"/>
    <w:rsid w:val="00103B49"/>
    <w:rsid w:val="00103D35"/>
    <w:rsid w:val="0010417F"/>
    <w:rsid w:val="001041DF"/>
    <w:rsid w:val="0010485E"/>
    <w:rsid w:val="00104CBB"/>
    <w:rsid w:val="00105025"/>
    <w:rsid w:val="0010589A"/>
    <w:rsid w:val="00105AFE"/>
    <w:rsid w:val="00105B3E"/>
    <w:rsid w:val="0010629E"/>
    <w:rsid w:val="00106816"/>
    <w:rsid w:val="00106C2B"/>
    <w:rsid w:val="00106C6E"/>
    <w:rsid w:val="00106D0B"/>
    <w:rsid w:val="00106D69"/>
    <w:rsid w:val="00107079"/>
    <w:rsid w:val="00107108"/>
    <w:rsid w:val="0010715A"/>
    <w:rsid w:val="001072DF"/>
    <w:rsid w:val="0010751D"/>
    <w:rsid w:val="0010777B"/>
    <w:rsid w:val="00107814"/>
    <w:rsid w:val="00110559"/>
    <w:rsid w:val="001108FB"/>
    <w:rsid w:val="00110ABD"/>
    <w:rsid w:val="00111380"/>
    <w:rsid w:val="001113C6"/>
    <w:rsid w:val="0011244D"/>
    <w:rsid w:val="00112C50"/>
    <w:rsid w:val="00112E31"/>
    <w:rsid w:val="001133A6"/>
    <w:rsid w:val="00113942"/>
    <w:rsid w:val="00114D0C"/>
    <w:rsid w:val="0011643F"/>
    <w:rsid w:val="001164F5"/>
    <w:rsid w:val="001176DD"/>
    <w:rsid w:val="0012075E"/>
    <w:rsid w:val="00120A4B"/>
    <w:rsid w:val="00121576"/>
    <w:rsid w:val="00121BC5"/>
    <w:rsid w:val="001227F7"/>
    <w:rsid w:val="00122FE7"/>
    <w:rsid w:val="001232BB"/>
    <w:rsid w:val="00123498"/>
    <w:rsid w:val="00123814"/>
    <w:rsid w:val="001238AD"/>
    <w:rsid w:val="0012397B"/>
    <w:rsid w:val="00123FC9"/>
    <w:rsid w:val="001246D0"/>
    <w:rsid w:val="0012512E"/>
    <w:rsid w:val="001251E2"/>
    <w:rsid w:val="00125B04"/>
    <w:rsid w:val="0012657A"/>
    <w:rsid w:val="00126B8A"/>
    <w:rsid w:val="00126D11"/>
    <w:rsid w:val="00127372"/>
    <w:rsid w:val="00127522"/>
    <w:rsid w:val="0012772E"/>
    <w:rsid w:val="00127B92"/>
    <w:rsid w:val="00127C75"/>
    <w:rsid w:val="00127CFB"/>
    <w:rsid w:val="00130445"/>
    <w:rsid w:val="00130547"/>
    <w:rsid w:val="001308EC"/>
    <w:rsid w:val="00131CDD"/>
    <w:rsid w:val="00132C70"/>
    <w:rsid w:val="001332D0"/>
    <w:rsid w:val="0013384D"/>
    <w:rsid w:val="00134792"/>
    <w:rsid w:val="00134CA2"/>
    <w:rsid w:val="00134EA3"/>
    <w:rsid w:val="00134FE2"/>
    <w:rsid w:val="00135893"/>
    <w:rsid w:val="001363BF"/>
    <w:rsid w:val="0013671B"/>
    <w:rsid w:val="00136877"/>
    <w:rsid w:val="00136A02"/>
    <w:rsid w:val="00136F68"/>
    <w:rsid w:val="00137198"/>
    <w:rsid w:val="00137711"/>
    <w:rsid w:val="00137C6A"/>
    <w:rsid w:val="00137DA4"/>
    <w:rsid w:val="00137FC2"/>
    <w:rsid w:val="00140176"/>
    <w:rsid w:val="00140BBD"/>
    <w:rsid w:val="001416A7"/>
    <w:rsid w:val="00141748"/>
    <w:rsid w:val="0014184A"/>
    <w:rsid w:val="00142464"/>
    <w:rsid w:val="00142623"/>
    <w:rsid w:val="001427B5"/>
    <w:rsid w:val="00142815"/>
    <w:rsid w:val="00142A52"/>
    <w:rsid w:val="00142AE5"/>
    <w:rsid w:val="001433B7"/>
    <w:rsid w:val="00144DDE"/>
    <w:rsid w:val="001451E9"/>
    <w:rsid w:val="00145544"/>
    <w:rsid w:val="001455A2"/>
    <w:rsid w:val="00145EF2"/>
    <w:rsid w:val="00146151"/>
    <w:rsid w:val="001462E6"/>
    <w:rsid w:val="00146C72"/>
    <w:rsid w:val="00146E48"/>
    <w:rsid w:val="001475C4"/>
    <w:rsid w:val="00147748"/>
    <w:rsid w:val="001477F1"/>
    <w:rsid w:val="001478DF"/>
    <w:rsid w:val="00147BCE"/>
    <w:rsid w:val="00150946"/>
    <w:rsid w:val="00151257"/>
    <w:rsid w:val="001512E9"/>
    <w:rsid w:val="001514F5"/>
    <w:rsid w:val="00151AB8"/>
    <w:rsid w:val="0015302E"/>
    <w:rsid w:val="001537D1"/>
    <w:rsid w:val="00153EDF"/>
    <w:rsid w:val="001548AA"/>
    <w:rsid w:val="001548D8"/>
    <w:rsid w:val="00155513"/>
    <w:rsid w:val="001556E9"/>
    <w:rsid w:val="00156217"/>
    <w:rsid w:val="00156570"/>
    <w:rsid w:val="00157150"/>
    <w:rsid w:val="00157771"/>
    <w:rsid w:val="00157E5C"/>
    <w:rsid w:val="0016039B"/>
    <w:rsid w:val="00160F9A"/>
    <w:rsid w:val="0016122C"/>
    <w:rsid w:val="00161330"/>
    <w:rsid w:val="00161C20"/>
    <w:rsid w:val="00161F4B"/>
    <w:rsid w:val="00161FAA"/>
    <w:rsid w:val="00162098"/>
    <w:rsid w:val="00162234"/>
    <w:rsid w:val="001625FD"/>
    <w:rsid w:val="00162B69"/>
    <w:rsid w:val="00162D48"/>
    <w:rsid w:val="0016310D"/>
    <w:rsid w:val="00163387"/>
    <w:rsid w:val="001635DB"/>
    <w:rsid w:val="00163991"/>
    <w:rsid w:val="00164E54"/>
    <w:rsid w:val="00165139"/>
    <w:rsid w:val="00165C0D"/>
    <w:rsid w:val="00166A62"/>
    <w:rsid w:val="00166B9F"/>
    <w:rsid w:val="00167482"/>
    <w:rsid w:val="00167487"/>
    <w:rsid w:val="00170802"/>
    <w:rsid w:val="001712D9"/>
    <w:rsid w:val="00171440"/>
    <w:rsid w:val="001719CA"/>
    <w:rsid w:val="00172001"/>
    <w:rsid w:val="00172BE3"/>
    <w:rsid w:val="00172DAF"/>
    <w:rsid w:val="001734A7"/>
    <w:rsid w:val="00173C38"/>
    <w:rsid w:val="0017474E"/>
    <w:rsid w:val="00174EE5"/>
    <w:rsid w:val="0017569C"/>
    <w:rsid w:val="0017599A"/>
    <w:rsid w:val="00175FCB"/>
    <w:rsid w:val="001767EE"/>
    <w:rsid w:val="0017695F"/>
    <w:rsid w:val="00176ABC"/>
    <w:rsid w:val="001774CB"/>
    <w:rsid w:val="0017753B"/>
    <w:rsid w:val="00177737"/>
    <w:rsid w:val="00177AB1"/>
    <w:rsid w:val="00180197"/>
    <w:rsid w:val="00180422"/>
    <w:rsid w:val="00181399"/>
    <w:rsid w:val="00181BA6"/>
    <w:rsid w:val="001820E1"/>
    <w:rsid w:val="00182657"/>
    <w:rsid w:val="0018267A"/>
    <w:rsid w:val="001839F4"/>
    <w:rsid w:val="001842B5"/>
    <w:rsid w:val="00184D3C"/>
    <w:rsid w:val="0018516E"/>
    <w:rsid w:val="0018548A"/>
    <w:rsid w:val="00185502"/>
    <w:rsid w:val="001857F2"/>
    <w:rsid w:val="00185870"/>
    <w:rsid w:val="001869F7"/>
    <w:rsid w:val="00186B17"/>
    <w:rsid w:val="00187023"/>
    <w:rsid w:val="00187254"/>
    <w:rsid w:val="00187365"/>
    <w:rsid w:val="001876EB"/>
    <w:rsid w:val="00187F4F"/>
    <w:rsid w:val="001901BB"/>
    <w:rsid w:val="00190353"/>
    <w:rsid w:val="00190A51"/>
    <w:rsid w:val="00191128"/>
    <w:rsid w:val="001913DC"/>
    <w:rsid w:val="0019165B"/>
    <w:rsid w:val="00191AD5"/>
    <w:rsid w:val="00191B9B"/>
    <w:rsid w:val="00191C6E"/>
    <w:rsid w:val="001921E4"/>
    <w:rsid w:val="00192D5E"/>
    <w:rsid w:val="00193060"/>
    <w:rsid w:val="0019350E"/>
    <w:rsid w:val="001937D3"/>
    <w:rsid w:val="001937FC"/>
    <w:rsid w:val="00193CD9"/>
    <w:rsid w:val="0019518B"/>
    <w:rsid w:val="0019518F"/>
    <w:rsid w:val="00196202"/>
    <w:rsid w:val="001966DF"/>
    <w:rsid w:val="00196749"/>
    <w:rsid w:val="00196A2F"/>
    <w:rsid w:val="00196D6B"/>
    <w:rsid w:val="00196E35"/>
    <w:rsid w:val="001978D9"/>
    <w:rsid w:val="00197BA6"/>
    <w:rsid w:val="001A0559"/>
    <w:rsid w:val="001A1361"/>
    <w:rsid w:val="001A162F"/>
    <w:rsid w:val="001A18A5"/>
    <w:rsid w:val="001A1F49"/>
    <w:rsid w:val="001A256A"/>
    <w:rsid w:val="001A2CF0"/>
    <w:rsid w:val="001A324A"/>
    <w:rsid w:val="001A3629"/>
    <w:rsid w:val="001A39CD"/>
    <w:rsid w:val="001A3A4D"/>
    <w:rsid w:val="001A49F9"/>
    <w:rsid w:val="001A4B55"/>
    <w:rsid w:val="001A5314"/>
    <w:rsid w:val="001A533D"/>
    <w:rsid w:val="001A6549"/>
    <w:rsid w:val="001A7247"/>
    <w:rsid w:val="001A73FA"/>
    <w:rsid w:val="001A7777"/>
    <w:rsid w:val="001A7844"/>
    <w:rsid w:val="001A7D98"/>
    <w:rsid w:val="001B03C7"/>
    <w:rsid w:val="001B0953"/>
    <w:rsid w:val="001B1341"/>
    <w:rsid w:val="001B1C51"/>
    <w:rsid w:val="001B2579"/>
    <w:rsid w:val="001B2EFE"/>
    <w:rsid w:val="001B33C9"/>
    <w:rsid w:val="001B35FA"/>
    <w:rsid w:val="001B364B"/>
    <w:rsid w:val="001B377F"/>
    <w:rsid w:val="001B37A2"/>
    <w:rsid w:val="001B39B3"/>
    <w:rsid w:val="001B3DD4"/>
    <w:rsid w:val="001B4045"/>
    <w:rsid w:val="001B4515"/>
    <w:rsid w:val="001B47B8"/>
    <w:rsid w:val="001B487D"/>
    <w:rsid w:val="001B53F8"/>
    <w:rsid w:val="001B6228"/>
    <w:rsid w:val="001B62E4"/>
    <w:rsid w:val="001B66F1"/>
    <w:rsid w:val="001B67D7"/>
    <w:rsid w:val="001B6C49"/>
    <w:rsid w:val="001B70C7"/>
    <w:rsid w:val="001B715B"/>
    <w:rsid w:val="001B7667"/>
    <w:rsid w:val="001B795D"/>
    <w:rsid w:val="001B7ED6"/>
    <w:rsid w:val="001C0025"/>
    <w:rsid w:val="001C0077"/>
    <w:rsid w:val="001C0584"/>
    <w:rsid w:val="001C05A2"/>
    <w:rsid w:val="001C0C93"/>
    <w:rsid w:val="001C1C77"/>
    <w:rsid w:val="001C20E4"/>
    <w:rsid w:val="001C25B3"/>
    <w:rsid w:val="001C2AD8"/>
    <w:rsid w:val="001C2E47"/>
    <w:rsid w:val="001C32ED"/>
    <w:rsid w:val="001C3D8D"/>
    <w:rsid w:val="001C4241"/>
    <w:rsid w:val="001C42B2"/>
    <w:rsid w:val="001C4B0F"/>
    <w:rsid w:val="001C4E2B"/>
    <w:rsid w:val="001C56AC"/>
    <w:rsid w:val="001C56AD"/>
    <w:rsid w:val="001C5CFA"/>
    <w:rsid w:val="001C5E4A"/>
    <w:rsid w:val="001C6144"/>
    <w:rsid w:val="001C6B6C"/>
    <w:rsid w:val="001C76B5"/>
    <w:rsid w:val="001C78F9"/>
    <w:rsid w:val="001D0044"/>
    <w:rsid w:val="001D0296"/>
    <w:rsid w:val="001D0517"/>
    <w:rsid w:val="001D08D4"/>
    <w:rsid w:val="001D0ABF"/>
    <w:rsid w:val="001D0EA5"/>
    <w:rsid w:val="001D170E"/>
    <w:rsid w:val="001D17FB"/>
    <w:rsid w:val="001D244E"/>
    <w:rsid w:val="001D2567"/>
    <w:rsid w:val="001D3AB8"/>
    <w:rsid w:val="001D3EB9"/>
    <w:rsid w:val="001D46D7"/>
    <w:rsid w:val="001D50E1"/>
    <w:rsid w:val="001D554F"/>
    <w:rsid w:val="001D5645"/>
    <w:rsid w:val="001D5AA0"/>
    <w:rsid w:val="001D6407"/>
    <w:rsid w:val="001D6447"/>
    <w:rsid w:val="001D6453"/>
    <w:rsid w:val="001D65DD"/>
    <w:rsid w:val="001D6C5E"/>
    <w:rsid w:val="001D6ECC"/>
    <w:rsid w:val="001D701C"/>
    <w:rsid w:val="001D7097"/>
    <w:rsid w:val="001D7317"/>
    <w:rsid w:val="001D7B2C"/>
    <w:rsid w:val="001E04C7"/>
    <w:rsid w:val="001E0AB5"/>
    <w:rsid w:val="001E1717"/>
    <w:rsid w:val="001E1F35"/>
    <w:rsid w:val="001E2596"/>
    <w:rsid w:val="001E2F57"/>
    <w:rsid w:val="001E3487"/>
    <w:rsid w:val="001E3744"/>
    <w:rsid w:val="001E389C"/>
    <w:rsid w:val="001E3EA8"/>
    <w:rsid w:val="001E409F"/>
    <w:rsid w:val="001E4466"/>
    <w:rsid w:val="001E4506"/>
    <w:rsid w:val="001E4671"/>
    <w:rsid w:val="001E51BB"/>
    <w:rsid w:val="001E5882"/>
    <w:rsid w:val="001E5F02"/>
    <w:rsid w:val="001E68B2"/>
    <w:rsid w:val="001E6AD5"/>
    <w:rsid w:val="001E6B11"/>
    <w:rsid w:val="001E6B99"/>
    <w:rsid w:val="001E6E2D"/>
    <w:rsid w:val="001E6F9A"/>
    <w:rsid w:val="001E6FFC"/>
    <w:rsid w:val="001E734F"/>
    <w:rsid w:val="001E7CE9"/>
    <w:rsid w:val="001F02E9"/>
    <w:rsid w:val="001F0489"/>
    <w:rsid w:val="001F098C"/>
    <w:rsid w:val="001F134F"/>
    <w:rsid w:val="001F1397"/>
    <w:rsid w:val="001F1425"/>
    <w:rsid w:val="001F1785"/>
    <w:rsid w:val="001F19EC"/>
    <w:rsid w:val="001F1A57"/>
    <w:rsid w:val="001F247E"/>
    <w:rsid w:val="001F2517"/>
    <w:rsid w:val="001F2E8E"/>
    <w:rsid w:val="001F2F59"/>
    <w:rsid w:val="001F3613"/>
    <w:rsid w:val="001F3783"/>
    <w:rsid w:val="001F489F"/>
    <w:rsid w:val="001F4B01"/>
    <w:rsid w:val="001F58EA"/>
    <w:rsid w:val="001F5955"/>
    <w:rsid w:val="001F5E51"/>
    <w:rsid w:val="001F618E"/>
    <w:rsid w:val="001F61BA"/>
    <w:rsid w:val="001F6538"/>
    <w:rsid w:val="001F6732"/>
    <w:rsid w:val="001F6A52"/>
    <w:rsid w:val="001F6F63"/>
    <w:rsid w:val="001F706B"/>
    <w:rsid w:val="001F7300"/>
    <w:rsid w:val="001F7E5E"/>
    <w:rsid w:val="002008AD"/>
    <w:rsid w:val="00203565"/>
    <w:rsid w:val="002035F6"/>
    <w:rsid w:val="0020374A"/>
    <w:rsid w:val="00204314"/>
    <w:rsid w:val="00204BBB"/>
    <w:rsid w:val="00204FD3"/>
    <w:rsid w:val="00205086"/>
    <w:rsid w:val="00205695"/>
    <w:rsid w:val="002056F8"/>
    <w:rsid w:val="00205BA5"/>
    <w:rsid w:val="00205EBE"/>
    <w:rsid w:val="00205EF5"/>
    <w:rsid w:val="002064B1"/>
    <w:rsid w:val="002065DE"/>
    <w:rsid w:val="002067BA"/>
    <w:rsid w:val="002072C1"/>
    <w:rsid w:val="00207E90"/>
    <w:rsid w:val="002110D8"/>
    <w:rsid w:val="00211287"/>
    <w:rsid w:val="0021130E"/>
    <w:rsid w:val="00211EF7"/>
    <w:rsid w:val="00211F6D"/>
    <w:rsid w:val="002123C7"/>
    <w:rsid w:val="002125B1"/>
    <w:rsid w:val="00212DC4"/>
    <w:rsid w:val="0021308F"/>
    <w:rsid w:val="00213360"/>
    <w:rsid w:val="00213777"/>
    <w:rsid w:val="00213ECC"/>
    <w:rsid w:val="00214103"/>
    <w:rsid w:val="002143C5"/>
    <w:rsid w:val="002158BA"/>
    <w:rsid w:val="00215BE3"/>
    <w:rsid w:val="00215E2B"/>
    <w:rsid w:val="00215FEB"/>
    <w:rsid w:val="0021608D"/>
    <w:rsid w:val="0021674F"/>
    <w:rsid w:val="00216836"/>
    <w:rsid w:val="0021692B"/>
    <w:rsid w:val="0021699A"/>
    <w:rsid w:val="00216AC8"/>
    <w:rsid w:val="00216ADD"/>
    <w:rsid w:val="00217247"/>
    <w:rsid w:val="002177BD"/>
    <w:rsid w:val="00217E21"/>
    <w:rsid w:val="00220894"/>
    <w:rsid w:val="00220FA8"/>
    <w:rsid w:val="0022134B"/>
    <w:rsid w:val="00221EA9"/>
    <w:rsid w:val="00223764"/>
    <w:rsid w:val="00223A16"/>
    <w:rsid w:val="002245AD"/>
    <w:rsid w:val="00224A3A"/>
    <w:rsid w:val="00224EB7"/>
    <w:rsid w:val="002253DF"/>
    <w:rsid w:val="002257C3"/>
    <w:rsid w:val="00225A7C"/>
    <w:rsid w:val="00225F42"/>
    <w:rsid w:val="00227019"/>
    <w:rsid w:val="0022704A"/>
    <w:rsid w:val="002270CD"/>
    <w:rsid w:val="00227A84"/>
    <w:rsid w:val="00230011"/>
    <w:rsid w:val="0023023F"/>
    <w:rsid w:val="00230626"/>
    <w:rsid w:val="00230742"/>
    <w:rsid w:val="00230CA5"/>
    <w:rsid w:val="00231460"/>
    <w:rsid w:val="002314DC"/>
    <w:rsid w:val="0023154F"/>
    <w:rsid w:val="00231709"/>
    <w:rsid w:val="00232057"/>
    <w:rsid w:val="002326A7"/>
    <w:rsid w:val="00232901"/>
    <w:rsid w:val="00232ACD"/>
    <w:rsid w:val="00232BC4"/>
    <w:rsid w:val="00233075"/>
    <w:rsid w:val="00233138"/>
    <w:rsid w:val="00233BE2"/>
    <w:rsid w:val="00233FBB"/>
    <w:rsid w:val="00234275"/>
    <w:rsid w:val="0023444A"/>
    <w:rsid w:val="002344F9"/>
    <w:rsid w:val="00234712"/>
    <w:rsid w:val="002357FB"/>
    <w:rsid w:val="00235877"/>
    <w:rsid w:val="00235CB7"/>
    <w:rsid w:val="00236868"/>
    <w:rsid w:val="00236EA5"/>
    <w:rsid w:val="00237954"/>
    <w:rsid w:val="00240104"/>
    <w:rsid w:val="002405A8"/>
    <w:rsid w:val="00240690"/>
    <w:rsid w:val="0024069F"/>
    <w:rsid w:val="002410E2"/>
    <w:rsid w:val="002413F5"/>
    <w:rsid w:val="0024185F"/>
    <w:rsid w:val="002418A3"/>
    <w:rsid w:val="00241AC5"/>
    <w:rsid w:val="00242FF1"/>
    <w:rsid w:val="00243C2D"/>
    <w:rsid w:val="00243D84"/>
    <w:rsid w:val="002443DD"/>
    <w:rsid w:val="0024458D"/>
    <w:rsid w:val="00246087"/>
    <w:rsid w:val="0024610E"/>
    <w:rsid w:val="0024666B"/>
    <w:rsid w:val="00246837"/>
    <w:rsid w:val="00246C90"/>
    <w:rsid w:val="00246D98"/>
    <w:rsid w:val="0024716B"/>
    <w:rsid w:val="00247AB8"/>
    <w:rsid w:val="00247F73"/>
    <w:rsid w:val="00250448"/>
    <w:rsid w:val="002506B9"/>
    <w:rsid w:val="002508C5"/>
    <w:rsid w:val="00251B53"/>
    <w:rsid w:val="00251B65"/>
    <w:rsid w:val="002520B9"/>
    <w:rsid w:val="00252499"/>
    <w:rsid w:val="002525FA"/>
    <w:rsid w:val="002526C0"/>
    <w:rsid w:val="00252856"/>
    <w:rsid w:val="00252960"/>
    <w:rsid w:val="002536D6"/>
    <w:rsid w:val="00253701"/>
    <w:rsid w:val="002539B1"/>
    <w:rsid w:val="00254466"/>
    <w:rsid w:val="00254581"/>
    <w:rsid w:val="002546C0"/>
    <w:rsid w:val="0025484B"/>
    <w:rsid w:val="002548E6"/>
    <w:rsid w:val="00254E01"/>
    <w:rsid w:val="00254E0E"/>
    <w:rsid w:val="00255039"/>
    <w:rsid w:val="0025522B"/>
    <w:rsid w:val="00255D5D"/>
    <w:rsid w:val="00255E59"/>
    <w:rsid w:val="002560A4"/>
    <w:rsid w:val="0025624F"/>
    <w:rsid w:val="0025629E"/>
    <w:rsid w:val="00256960"/>
    <w:rsid w:val="00256CBD"/>
    <w:rsid w:val="00256DB6"/>
    <w:rsid w:val="002575FC"/>
    <w:rsid w:val="00257B0A"/>
    <w:rsid w:val="00257DB9"/>
    <w:rsid w:val="0026106D"/>
    <w:rsid w:val="002611BC"/>
    <w:rsid w:val="00261420"/>
    <w:rsid w:val="00261537"/>
    <w:rsid w:val="00261C3D"/>
    <w:rsid w:val="002627CF"/>
    <w:rsid w:val="002628F6"/>
    <w:rsid w:val="00262DDB"/>
    <w:rsid w:val="0026342F"/>
    <w:rsid w:val="00263692"/>
    <w:rsid w:val="00263B79"/>
    <w:rsid w:val="00263F09"/>
    <w:rsid w:val="00265342"/>
    <w:rsid w:val="0026574C"/>
    <w:rsid w:val="00266C3E"/>
    <w:rsid w:val="00266D62"/>
    <w:rsid w:val="00266ED5"/>
    <w:rsid w:val="00267665"/>
    <w:rsid w:val="00267E5B"/>
    <w:rsid w:val="00270616"/>
    <w:rsid w:val="00270A34"/>
    <w:rsid w:val="00270B16"/>
    <w:rsid w:val="00271205"/>
    <w:rsid w:val="0027161E"/>
    <w:rsid w:val="00271988"/>
    <w:rsid w:val="002719CB"/>
    <w:rsid w:val="00271FBE"/>
    <w:rsid w:val="002724A9"/>
    <w:rsid w:val="002733F0"/>
    <w:rsid w:val="0027369C"/>
    <w:rsid w:val="00273DB0"/>
    <w:rsid w:val="00274056"/>
    <w:rsid w:val="00274105"/>
    <w:rsid w:val="00274834"/>
    <w:rsid w:val="00274A04"/>
    <w:rsid w:val="00274C99"/>
    <w:rsid w:val="00274F8A"/>
    <w:rsid w:val="00275200"/>
    <w:rsid w:val="00275933"/>
    <w:rsid w:val="00275DA0"/>
    <w:rsid w:val="00275FAB"/>
    <w:rsid w:val="0027607C"/>
    <w:rsid w:val="00276452"/>
    <w:rsid w:val="00276686"/>
    <w:rsid w:val="002767C8"/>
    <w:rsid w:val="00276DC2"/>
    <w:rsid w:val="002774FB"/>
    <w:rsid w:val="002776F7"/>
    <w:rsid w:val="002779C2"/>
    <w:rsid w:val="00277EEA"/>
    <w:rsid w:val="0028011C"/>
    <w:rsid w:val="00280AB1"/>
    <w:rsid w:val="00281465"/>
    <w:rsid w:val="00281A7A"/>
    <w:rsid w:val="00282259"/>
    <w:rsid w:val="002830C3"/>
    <w:rsid w:val="00283121"/>
    <w:rsid w:val="0028421E"/>
    <w:rsid w:val="00284276"/>
    <w:rsid w:val="0028475C"/>
    <w:rsid w:val="002850E5"/>
    <w:rsid w:val="00285E6E"/>
    <w:rsid w:val="00286830"/>
    <w:rsid w:val="002870AF"/>
    <w:rsid w:val="00287105"/>
    <w:rsid w:val="0028725D"/>
    <w:rsid w:val="0028778B"/>
    <w:rsid w:val="00287965"/>
    <w:rsid w:val="00287EC7"/>
    <w:rsid w:val="00290A49"/>
    <w:rsid w:val="00290DC6"/>
    <w:rsid w:val="002911E0"/>
    <w:rsid w:val="00291366"/>
    <w:rsid w:val="00291A94"/>
    <w:rsid w:val="00291C3A"/>
    <w:rsid w:val="002929BC"/>
    <w:rsid w:val="00292A66"/>
    <w:rsid w:val="00292E34"/>
    <w:rsid w:val="0029314F"/>
    <w:rsid w:val="0029379C"/>
    <w:rsid w:val="00293E28"/>
    <w:rsid w:val="002942A6"/>
    <w:rsid w:val="002948B0"/>
    <w:rsid w:val="0029496B"/>
    <w:rsid w:val="00294D43"/>
    <w:rsid w:val="0029505D"/>
    <w:rsid w:val="002957AF"/>
    <w:rsid w:val="00295CE9"/>
    <w:rsid w:val="00295EAB"/>
    <w:rsid w:val="00296154"/>
    <w:rsid w:val="00297B9C"/>
    <w:rsid w:val="00297CC3"/>
    <w:rsid w:val="002A0059"/>
    <w:rsid w:val="002A076F"/>
    <w:rsid w:val="002A0797"/>
    <w:rsid w:val="002A13BA"/>
    <w:rsid w:val="002A14D0"/>
    <w:rsid w:val="002A1BB1"/>
    <w:rsid w:val="002A1D34"/>
    <w:rsid w:val="002A2D07"/>
    <w:rsid w:val="002A2EBD"/>
    <w:rsid w:val="002A3012"/>
    <w:rsid w:val="002A37EA"/>
    <w:rsid w:val="002A3907"/>
    <w:rsid w:val="002A3A39"/>
    <w:rsid w:val="002A4311"/>
    <w:rsid w:val="002A47C5"/>
    <w:rsid w:val="002A4B33"/>
    <w:rsid w:val="002A54A4"/>
    <w:rsid w:val="002A5966"/>
    <w:rsid w:val="002A5A26"/>
    <w:rsid w:val="002A5DAC"/>
    <w:rsid w:val="002A5DF1"/>
    <w:rsid w:val="002A61D1"/>
    <w:rsid w:val="002A64B8"/>
    <w:rsid w:val="002A69FF"/>
    <w:rsid w:val="002A7561"/>
    <w:rsid w:val="002B0906"/>
    <w:rsid w:val="002B1678"/>
    <w:rsid w:val="002B16EF"/>
    <w:rsid w:val="002B1A5A"/>
    <w:rsid w:val="002B1CD3"/>
    <w:rsid w:val="002B217F"/>
    <w:rsid w:val="002B2A7C"/>
    <w:rsid w:val="002B2CA3"/>
    <w:rsid w:val="002B2DE0"/>
    <w:rsid w:val="002B32FF"/>
    <w:rsid w:val="002B34E7"/>
    <w:rsid w:val="002B38A5"/>
    <w:rsid w:val="002B39BD"/>
    <w:rsid w:val="002B3D74"/>
    <w:rsid w:val="002B3FD6"/>
    <w:rsid w:val="002B43C0"/>
    <w:rsid w:val="002B47B5"/>
    <w:rsid w:val="002B4BEC"/>
    <w:rsid w:val="002B4F61"/>
    <w:rsid w:val="002B5B92"/>
    <w:rsid w:val="002B608A"/>
    <w:rsid w:val="002B63BD"/>
    <w:rsid w:val="002B6434"/>
    <w:rsid w:val="002B651C"/>
    <w:rsid w:val="002B6C24"/>
    <w:rsid w:val="002B70A5"/>
    <w:rsid w:val="002B7330"/>
    <w:rsid w:val="002B7415"/>
    <w:rsid w:val="002C06B3"/>
    <w:rsid w:val="002C0744"/>
    <w:rsid w:val="002C0CAC"/>
    <w:rsid w:val="002C1718"/>
    <w:rsid w:val="002C1895"/>
    <w:rsid w:val="002C1CAE"/>
    <w:rsid w:val="002C221E"/>
    <w:rsid w:val="002C22F2"/>
    <w:rsid w:val="002C2C7D"/>
    <w:rsid w:val="002C2D3C"/>
    <w:rsid w:val="002C33C7"/>
    <w:rsid w:val="002C3582"/>
    <w:rsid w:val="002C3A6E"/>
    <w:rsid w:val="002C3C08"/>
    <w:rsid w:val="002C436B"/>
    <w:rsid w:val="002C44DE"/>
    <w:rsid w:val="002C48EF"/>
    <w:rsid w:val="002C5959"/>
    <w:rsid w:val="002C5D3A"/>
    <w:rsid w:val="002C5EB6"/>
    <w:rsid w:val="002C604F"/>
    <w:rsid w:val="002C61F4"/>
    <w:rsid w:val="002C6385"/>
    <w:rsid w:val="002C68A0"/>
    <w:rsid w:val="002C7078"/>
    <w:rsid w:val="002D0494"/>
    <w:rsid w:val="002D0961"/>
    <w:rsid w:val="002D0EB7"/>
    <w:rsid w:val="002D10DD"/>
    <w:rsid w:val="002D12D2"/>
    <w:rsid w:val="002D12FD"/>
    <w:rsid w:val="002D16D8"/>
    <w:rsid w:val="002D1B40"/>
    <w:rsid w:val="002D1EE5"/>
    <w:rsid w:val="002D2333"/>
    <w:rsid w:val="002D2442"/>
    <w:rsid w:val="002D29ED"/>
    <w:rsid w:val="002D2CEC"/>
    <w:rsid w:val="002D38B6"/>
    <w:rsid w:val="002D434E"/>
    <w:rsid w:val="002D44BC"/>
    <w:rsid w:val="002D4A32"/>
    <w:rsid w:val="002D4FF1"/>
    <w:rsid w:val="002D5290"/>
    <w:rsid w:val="002D5BEF"/>
    <w:rsid w:val="002D5EE2"/>
    <w:rsid w:val="002D6E31"/>
    <w:rsid w:val="002D7F88"/>
    <w:rsid w:val="002E01B6"/>
    <w:rsid w:val="002E0419"/>
    <w:rsid w:val="002E0485"/>
    <w:rsid w:val="002E0661"/>
    <w:rsid w:val="002E1346"/>
    <w:rsid w:val="002E14ED"/>
    <w:rsid w:val="002E21E5"/>
    <w:rsid w:val="002E2754"/>
    <w:rsid w:val="002E2929"/>
    <w:rsid w:val="002E2AC7"/>
    <w:rsid w:val="002E3BB4"/>
    <w:rsid w:val="002E41D9"/>
    <w:rsid w:val="002E4E46"/>
    <w:rsid w:val="002E530A"/>
    <w:rsid w:val="002E536B"/>
    <w:rsid w:val="002E5AFD"/>
    <w:rsid w:val="002E5B8D"/>
    <w:rsid w:val="002E5E24"/>
    <w:rsid w:val="002E5F65"/>
    <w:rsid w:val="002E7573"/>
    <w:rsid w:val="002E77BF"/>
    <w:rsid w:val="002E7FF1"/>
    <w:rsid w:val="002F053D"/>
    <w:rsid w:val="002F05B8"/>
    <w:rsid w:val="002F07D0"/>
    <w:rsid w:val="002F0A64"/>
    <w:rsid w:val="002F0AE8"/>
    <w:rsid w:val="002F0B91"/>
    <w:rsid w:val="002F0BCC"/>
    <w:rsid w:val="002F0FA4"/>
    <w:rsid w:val="002F1A9E"/>
    <w:rsid w:val="002F1E3B"/>
    <w:rsid w:val="002F1E67"/>
    <w:rsid w:val="002F221A"/>
    <w:rsid w:val="002F2680"/>
    <w:rsid w:val="002F2B84"/>
    <w:rsid w:val="002F2FF0"/>
    <w:rsid w:val="002F37D8"/>
    <w:rsid w:val="002F3964"/>
    <w:rsid w:val="002F39A3"/>
    <w:rsid w:val="002F3E5F"/>
    <w:rsid w:val="002F4587"/>
    <w:rsid w:val="002F4CC3"/>
    <w:rsid w:val="002F4DD2"/>
    <w:rsid w:val="002F56CB"/>
    <w:rsid w:val="002F5732"/>
    <w:rsid w:val="002F57F5"/>
    <w:rsid w:val="002F61CA"/>
    <w:rsid w:val="002F694B"/>
    <w:rsid w:val="002F6C43"/>
    <w:rsid w:val="002F742F"/>
    <w:rsid w:val="002F746D"/>
    <w:rsid w:val="0030072C"/>
    <w:rsid w:val="00300A9E"/>
    <w:rsid w:val="00300E60"/>
    <w:rsid w:val="003010DC"/>
    <w:rsid w:val="00301233"/>
    <w:rsid w:val="00301308"/>
    <w:rsid w:val="0030138E"/>
    <w:rsid w:val="00301575"/>
    <w:rsid w:val="00301C50"/>
    <w:rsid w:val="00301D9C"/>
    <w:rsid w:val="003022DC"/>
    <w:rsid w:val="00302403"/>
    <w:rsid w:val="00302BC5"/>
    <w:rsid w:val="00303CC4"/>
    <w:rsid w:val="00304131"/>
    <w:rsid w:val="003043AF"/>
    <w:rsid w:val="003059DC"/>
    <w:rsid w:val="00305F83"/>
    <w:rsid w:val="003060E0"/>
    <w:rsid w:val="00306716"/>
    <w:rsid w:val="00306CF4"/>
    <w:rsid w:val="00306D4D"/>
    <w:rsid w:val="00307423"/>
    <w:rsid w:val="003077E6"/>
    <w:rsid w:val="00307CF1"/>
    <w:rsid w:val="00307FBB"/>
    <w:rsid w:val="00310935"/>
    <w:rsid w:val="00310AC6"/>
    <w:rsid w:val="00310EB0"/>
    <w:rsid w:val="00310F31"/>
    <w:rsid w:val="003112FF"/>
    <w:rsid w:val="00311743"/>
    <w:rsid w:val="00311BA2"/>
    <w:rsid w:val="0031253F"/>
    <w:rsid w:val="0031265D"/>
    <w:rsid w:val="003128B7"/>
    <w:rsid w:val="00312AD9"/>
    <w:rsid w:val="00312DFA"/>
    <w:rsid w:val="00312F83"/>
    <w:rsid w:val="003138EC"/>
    <w:rsid w:val="003145C1"/>
    <w:rsid w:val="0031467D"/>
    <w:rsid w:val="00314F80"/>
    <w:rsid w:val="0031557E"/>
    <w:rsid w:val="00315FE8"/>
    <w:rsid w:val="0031618D"/>
    <w:rsid w:val="0031630C"/>
    <w:rsid w:val="00316779"/>
    <w:rsid w:val="00317B16"/>
    <w:rsid w:val="00317B86"/>
    <w:rsid w:val="00320084"/>
    <w:rsid w:val="00320B0A"/>
    <w:rsid w:val="0032112C"/>
    <w:rsid w:val="0032129D"/>
    <w:rsid w:val="00321578"/>
    <w:rsid w:val="003215D5"/>
    <w:rsid w:val="003219EA"/>
    <w:rsid w:val="003225A3"/>
    <w:rsid w:val="003229B3"/>
    <w:rsid w:val="00322BBC"/>
    <w:rsid w:val="003230D7"/>
    <w:rsid w:val="003230DC"/>
    <w:rsid w:val="00323780"/>
    <w:rsid w:val="0032424A"/>
    <w:rsid w:val="00324537"/>
    <w:rsid w:val="00324570"/>
    <w:rsid w:val="0032483A"/>
    <w:rsid w:val="00324E57"/>
    <w:rsid w:val="00325112"/>
    <w:rsid w:val="003251D2"/>
    <w:rsid w:val="003257AF"/>
    <w:rsid w:val="00325A9A"/>
    <w:rsid w:val="00326065"/>
    <w:rsid w:val="00326158"/>
    <w:rsid w:val="003262C6"/>
    <w:rsid w:val="00326F1E"/>
    <w:rsid w:val="00327A0C"/>
    <w:rsid w:val="00330070"/>
    <w:rsid w:val="00330474"/>
    <w:rsid w:val="00330525"/>
    <w:rsid w:val="003307AC"/>
    <w:rsid w:val="0033084B"/>
    <w:rsid w:val="00331146"/>
    <w:rsid w:val="00331430"/>
    <w:rsid w:val="0033191B"/>
    <w:rsid w:val="00331B01"/>
    <w:rsid w:val="0033207E"/>
    <w:rsid w:val="00332E58"/>
    <w:rsid w:val="00332E6E"/>
    <w:rsid w:val="00333002"/>
    <w:rsid w:val="00333195"/>
    <w:rsid w:val="00333481"/>
    <w:rsid w:val="003335DE"/>
    <w:rsid w:val="00333C31"/>
    <w:rsid w:val="00333C74"/>
    <w:rsid w:val="00333D33"/>
    <w:rsid w:val="00334421"/>
    <w:rsid w:val="003345DF"/>
    <w:rsid w:val="003346B7"/>
    <w:rsid w:val="00334C5A"/>
    <w:rsid w:val="00335465"/>
    <w:rsid w:val="003355E2"/>
    <w:rsid w:val="0033565B"/>
    <w:rsid w:val="0033577F"/>
    <w:rsid w:val="00335D03"/>
    <w:rsid w:val="00335ED2"/>
    <w:rsid w:val="0033605C"/>
    <w:rsid w:val="0033624B"/>
    <w:rsid w:val="00336607"/>
    <w:rsid w:val="00336767"/>
    <w:rsid w:val="003369FE"/>
    <w:rsid w:val="003370F6"/>
    <w:rsid w:val="003373A7"/>
    <w:rsid w:val="0033757B"/>
    <w:rsid w:val="003375D8"/>
    <w:rsid w:val="00337693"/>
    <w:rsid w:val="00337A2D"/>
    <w:rsid w:val="00340323"/>
    <w:rsid w:val="003406F8"/>
    <w:rsid w:val="00340CA9"/>
    <w:rsid w:val="00340DCD"/>
    <w:rsid w:val="00341304"/>
    <w:rsid w:val="00341574"/>
    <w:rsid w:val="003415FC"/>
    <w:rsid w:val="00341C07"/>
    <w:rsid w:val="0034244B"/>
    <w:rsid w:val="003425DA"/>
    <w:rsid w:val="00343087"/>
    <w:rsid w:val="00343C70"/>
    <w:rsid w:val="00343DB2"/>
    <w:rsid w:val="003441A0"/>
    <w:rsid w:val="003442D2"/>
    <w:rsid w:val="003445BE"/>
    <w:rsid w:val="003448C0"/>
    <w:rsid w:val="00344912"/>
    <w:rsid w:val="00344B29"/>
    <w:rsid w:val="00345A1C"/>
    <w:rsid w:val="00345B35"/>
    <w:rsid w:val="0034653E"/>
    <w:rsid w:val="00347138"/>
    <w:rsid w:val="0035074B"/>
    <w:rsid w:val="003513C0"/>
    <w:rsid w:val="00351840"/>
    <w:rsid w:val="003519AD"/>
    <w:rsid w:val="003521BC"/>
    <w:rsid w:val="003525BD"/>
    <w:rsid w:val="003527AD"/>
    <w:rsid w:val="00352EDE"/>
    <w:rsid w:val="00352F40"/>
    <w:rsid w:val="003536A9"/>
    <w:rsid w:val="00353782"/>
    <w:rsid w:val="00353DA0"/>
    <w:rsid w:val="00353F36"/>
    <w:rsid w:val="0035441C"/>
    <w:rsid w:val="00354821"/>
    <w:rsid w:val="00354C0E"/>
    <w:rsid w:val="00355A8E"/>
    <w:rsid w:val="00355B18"/>
    <w:rsid w:val="00355ED9"/>
    <w:rsid w:val="003560A1"/>
    <w:rsid w:val="00356567"/>
    <w:rsid w:val="003569C4"/>
    <w:rsid w:val="00356EAB"/>
    <w:rsid w:val="00356EBA"/>
    <w:rsid w:val="003570C7"/>
    <w:rsid w:val="00357109"/>
    <w:rsid w:val="00357728"/>
    <w:rsid w:val="00360395"/>
    <w:rsid w:val="0036058F"/>
    <w:rsid w:val="00360976"/>
    <w:rsid w:val="00360AB5"/>
    <w:rsid w:val="00361179"/>
    <w:rsid w:val="00361A8B"/>
    <w:rsid w:val="00362165"/>
    <w:rsid w:val="003623E9"/>
    <w:rsid w:val="00362F76"/>
    <w:rsid w:val="003638AF"/>
    <w:rsid w:val="00363AE1"/>
    <w:rsid w:val="003640F9"/>
    <w:rsid w:val="00364A09"/>
    <w:rsid w:val="00364EC9"/>
    <w:rsid w:val="00365324"/>
    <w:rsid w:val="0036541F"/>
    <w:rsid w:val="0036567B"/>
    <w:rsid w:val="0036574A"/>
    <w:rsid w:val="00365A2A"/>
    <w:rsid w:val="00365FD4"/>
    <w:rsid w:val="003661F6"/>
    <w:rsid w:val="003662BA"/>
    <w:rsid w:val="003665E3"/>
    <w:rsid w:val="00366853"/>
    <w:rsid w:val="00366E07"/>
    <w:rsid w:val="00366F50"/>
    <w:rsid w:val="00366F7F"/>
    <w:rsid w:val="003672CB"/>
    <w:rsid w:val="00367491"/>
    <w:rsid w:val="00367727"/>
    <w:rsid w:val="00367A9C"/>
    <w:rsid w:val="003700E6"/>
    <w:rsid w:val="0037062F"/>
    <w:rsid w:val="003707F9"/>
    <w:rsid w:val="00371853"/>
    <w:rsid w:val="00371A6D"/>
    <w:rsid w:val="00371AA2"/>
    <w:rsid w:val="00371E6B"/>
    <w:rsid w:val="0037214F"/>
    <w:rsid w:val="003721F1"/>
    <w:rsid w:val="0037273E"/>
    <w:rsid w:val="00372B9F"/>
    <w:rsid w:val="00372F76"/>
    <w:rsid w:val="0037302C"/>
    <w:rsid w:val="003733DB"/>
    <w:rsid w:val="00373FE5"/>
    <w:rsid w:val="0037437C"/>
    <w:rsid w:val="00374E06"/>
    <w:rsid w:val="00375451"/>
    <w:rsid w:val="00375F38"/>
    <w:rsid w:val="0037616B"/>
    <w:rsid w:val="00376851"/>
    <w:rsid w:val="00376CA1"/>
    <w:rsid w:val="00377180"/>
    <w:rsid w:val="003773BC"/>
    <w:rsid w:val="00377C6C"/>
    <w:rsid w:val="003807EA"/>
    <w:rsid w:val="00380B0E"/>
    <w:rsid w:val="0038187D"/>
    <w:rsid w:val="00381DAC"/>
    <w:rsid w:val="00382109"/>
    <w:rsid w:val="00382244"/>
    <w:rsid w:val="00382A72"/>
    <w:rsid w:val="00382D7F"/>
    <w:rsid w:val="00382E44"/>
    <w:rsid w:val="00383C68"/>
    <w:rsid w:val="00383E41"/>
    <w:rsid w:val="0038502A"/>
    <w:rsid w:val="00385553"/>
    <w:rsid w:val="00385790"/>
    <w:rsid w:val="00385AC9"/>
    <w:rsid w:val="00385CBA"/>
    <w:rsid w:val="003864AE"/>
    <w:rsid w:val="0038691E"/>
    <w:rsid w:val="00386CBF"/>
    <w:rsid w:val="003872D7"/>
    <w:rsid w:val="00390054"/>
    <w:rsid w:val="003906C1"/>
    <w:rsid w:val="003906FA"/>
    <w:rsid w:val="00390E81"/>
    <w:rsid w:val="003911CD"/>
    <w:rsid w:val="00391A3A"/>
    <w:rsid w:val="00391C4C"/>
    <w:rsid w:val="00391C79"/>
    <w:rsid w:val="00393A69"/>
    <w:rsid w:val="00393AF9"/>
    <w:rsid w:val="00393C09"/>
    <w:rsid w:val="00394C03"/>
    <w:rsid w:val="00394DC3"/>
    <w:rsid w:val="003955F8"/>
    <w:rsid w:val="0039570F"/>
    <w:rsid w:val="003958D1"/>
    <w:rsid w:val="0039631B"/>
    <w:rsid w:val="00396363"/>
    <w:rsid w:val="0039658A"/>
    <w:rsid w:val="00396713"/>
    <w:rsid w:val="00396CC4"/>
    <w:rsid w:val="00397C98"/>
    <w:rsid w:val="00397ECB"/>
    <w:rsid w:val="003A00C2"/>
    <w:rsid w:val="003A06D3"/>
    <w:rsid w:val="003A0881"/>
    <w:rsid w:val="003A0D90"/>
    <w:rsid w:val="003A10AF"/>
    <w:rsid w:val="003A1788"/>
    <w:rsid w:val="003A1E71"/>
    <w:rsid w:val="003A20C1"/>
    <w:rsid w:val="003A266E"/>
    <w:rsid w:val="003A2780"/>
    <w:rsid w:val="003A29D0"/>
    <w:rsid w:val="003A2D62"/>
    <w:rsid w:val="003A2F09"/>
    <w:rsid w:val="003A3712"/>
    <w:rsid w:val="003A484D"/>
    <w:rsid w:val="003A4B20"/>
    <w:rsid w:val="003A5AA6"/>
    <w:rsid w:val="003A5B93"/>
    <w:rsid w:val="003A67EA"/>
    <w:rsid w:val="003A6BDE"/>
    <w:rsid w:val="003A6E3B"/>
    <w:rsid w:val="003A6E7D"/>
    <w:rsid w:val="003A714B"/>
    <w:rsid w:val="003A7C5D"/>
    <w:rsid w:val="003B0F41"/>
    <w:rsid w:val="003B1493"/>
    <w:rsid w:val="003B16C5"/>
    <w:rsid w:val="003B1A0A"/>
    <w:rsid w:val="003B23C6"/>
    <w:rsid w:val="003B2465"/>
    <w:rsid w:val="003B2580"/>
    <w:rsid w:val="003B26D2"/>
    <w:rsid w:val="003B30F9"/>
    <w:rsid w:val="003B3226"/>
    <w:rsid w:val="003B3CB3"/>
    <w:rsid w:val="003B4173"/>
    <w:rsid w:val="003B446D"/>
    <w:rsid w:val="003B44B9"/>
    <w:rsid w:val="003B4C36"/>
    <w:rsid w:val="003B4D09"/>
    <w:rsid w:val="003B4E66"/>
    <w:rsid w:val="003B52AB"/>
    <w:rsid w:val="003B5419"/>
    <w:rsid w:val="003B572C"/>
    <w:rsid w:val="003B5A69"/>
    <w:rsid w:val="003B5E76"/>
    <w:rsid w:val="003B651A"/>
    <w:rsid w:val="003B6664"/>
    <w:rsid w:val="003B68F5"/>
    <w:rsid w:val="003B6F17"/>
    <w:rsid w:val="003B7799"/>
    <w:rsid w:val="003B788D"/>
    <w:rsid w:val="003B7962"/>
    <w:rsid w:val="003B7B57"/>
    <w:rsid w:val="003B7ECD"/>
    <w:rsid w:val="003C0010"/>
    <w:rsid w:val="003C0E59"/>
    <w:rsid w:val="003C1153"/>
    <w:rsid w:val="003C1601"/>
    <w:rsid w:val="003C160C"/>
    <w:rsid w:val="003C1827"/>
    <w:rsid w:val="003C1DCB"/>
    <w:rsid w:val="003C203B"/>
    <w:rsid w:val="003C24E7"/>
    <w:rsid w:val="003C285A"/>
    <w:rsid w:val="003C2895"/>
    <w:rsid w:val="003C2A6A"/>
    <w:rsid w:val="003C2C3A"/>
    <w:rsid w:val="003C2F59"/>
    <w:rsid w:val="003C2F86"/>
    <w:rsid w:val="003C34DF"/>
    <w:rsid w:val="003C3E38"/>
    <w:rsid w:val="003C3FC2"/>
    <w:rsid w:val="003C4107"/>
    <w:rsid w:val="003C4428"/>
    <w:rsid w:val="003C465B"/>
    <w:rsid w:val="003C49F3"/>
    <w:rsid w:val="003C4B72"/>
    <w:rsid w:val="003C525F"/>
    <w:rsid w:val="003C5C78"/>
    <w:rsid w:val="003C68F6"/>
    <w:rsid w:val="003C728F"/>
    <w:rsid w:val="003C768B"/>
    <w:rsid w:val="003C790A"/>
    <w:rsid w:val="003C7D1A"/>
    <w:rsid w:val="003D0E17"/>
    <w:rsid w:val="003D0E90"/>
    <w:rsid w:val="003D1106"/>
    <w:rsid w:val="003D1111"/>
    <w:rsid w:val="003D1119"/>
    <w:rsid w:val="003D13F9"/>
    <w:rsid w:val="003D1DA6"/>
    <w:rsid w:val="003D1F48"/>
    <w:rsid w:val="003D1FF4"/>
    <w:rsid w:val="003D22E5"/>
    <w:rsid w:val="003D22FA"/>
    <w:rsid w:val="003D24EE"/>
    <w:rsid w:val="003D287E"/>
    <w:rsid w:val="003D2BB3"/>
    <w:rsid w:val="003D35D3"/>
    <w:rsid w:val="003D3614"/>
    <w:rsid w:val="003D3C05"/>
    <w:rsid w:val="003D3D00"/>
    <w:rsid w:val="003D408F"/>
    <w:rsid w:val="003D44B0"/>
    <w:rsid w:val="003D4E3B"/>
    <w:rsid w:val="003D5246"/>
    <w:rsid w:val="003D5283"/>
    <w:rsid w:val="003D533F"/>
    <w:rsid w:val="003D5461"/>
    <w:rsid w:val="003D5FE2"/>
    <w:rsid w:val="003D6376"/>
    <w:rsid w:val="003D6AC5"/>
    <w:rsid w:val="003D6CF5"/>
    <w:rsid w:val="003D6EE9"/>
    <w:rsid w:val="003D6F58"/>
    <w:rsid w:val="003D75C2"/>
    <w:rsid w:val="003D7BCE"/>
    <w:rsid w:val="003E0957"/>
    <w:rsid w:val="003E0A9F"/>
    <w:rsid w:val="003E15FE"/>
    <w:rsid w:val="003E1718"/>
    <w:rsid w:val="003E1CE6"/>
    <w:rsid w:val="003E1F4C"/>
    <w:rsid w:val="003E1F9C"/>
    <w:rsid w:val="003E2007"/>
    <w:rsid w:val="003E2020"/>
    <w:rsid w:val="003E2174"/>
    <w:rsid w:val="003E2426"/>
    <w:rsid w:val="003E2D1B"/>
    <w:rsid w:val="003E2F03"/>
    <w:rsid w:val="003E2FC5"/>
    <w:rsid w:val="003E3181"/>
    <w:rsid w:val="003E35B3"/>
    <w:rsid w:val="003E3948"/>
    <w:rsid w:val="003E402E"/>
    <w:rsid w:val="003E5AD1"/>
    <w:rsid w:val="003E5C47"/>
    <w:rsid w:val="003E5E67"/>
    <w:rsid w:val="003E65A6"/>
    <w:rsid w:val="003E6B95"/>
    <w:rsid w:val="003E6BB7"/>
    <w:rsid w:val="003E7028"/>
    <w:rsid w:val="003E70A9"/>
    <w:rsid w:val="003E7418"/>
    <w:rsid w:val="003E77F0"/>
    <w:rsid w:val="003E7BFB"/>
    <w:rsid w:val="003E7C84"/>
    <w:rsid w:val="003E7CFB"/>
    <w:rsid w:val="003F087A"/>
    <w:rsid w:val="003F0B37"/>
    <w:rsid w:val="003F0B97"/>
    <w:rsid w:val="003F0BC5"/>
    <w:rsid w:val="003F0DEE"/>
    <w:rsid w:val="003F0E0D"/>
    <w:rsid w:val="003F11B2"/>
    <w:rsid w:val="003F1449"/>
    <w:rsid w:val="003F1561"/>
    <w:rsid w:val="003F1942"/>
    <w:rsid w:val="003F1C0B"/>
    <w:rsid w:val="003F1F97"/>
    <w:rsid w:val="003F2E81"/>
    <w:rsid w:val="003F31AC"/>
    <w:rsid w:val="003F3715"/>
    <w:rsid w:val="003F3DFA"/>
    <w:rsid w:val="003F3EF8"/>
    <w:rsid w:val="003F45F5"/>
    <w:rsid w:val="003F47C1"/>
    <w:rsid w:val="003F48C1"/>
    <w:rsid w:val="003F4D39"/>
    <w:rsid w:val="003F4FDA"/>
    <w:rsid w:val="003F5921"/>
    <w:rsid w:val="003F5B5D"/>
    <w:rsid w:val="003F5D17"/>
    <w:rsid w:val="003F5EA4"/>
    <w:rsid w:val="003F65E7"/>
    <w:rsid w:val="003F722F"/>
    <w:rsid w:val="003F755C"/>
    <w:rsid w:val="00400466"/>
    <w:rsid w:val="0040073B"/>
    <w:rsid w:val="00400A6D"/>
    <w:rsid w:val="00400BD5"/>
    <w:rsid w:val="0040253E"/>
    <w:rsid w:val="00402A4D"/>
    <w:rsid w:val="00403602"/>
    <w:rsid w:val="0040369E"/>
    <w:rsid w:val="004044E9"/>
    <w:rsid w:val="004048E8"/>
    <w:rsid w:val="00405373"/>
    <w:rsid w:val="00405C4D"/>
    <w:rsid w:val="0040635B"/>
    <w:rsid w:val="004064D3"/>
    <w:rsid w:val="00406DA1"/>
    <w:rsid w:val="00406EFA"/>
    <w:rsid w:val="004075AC"/>
    <w:rsid w:val="00407717"/>
    <w:rsid w:val="00407C58"/>
    <w:rsid w:val="004106F4"/>
    <w:rsid w:val="00410DDF"/>
    <w:rsid w:val="0041146E"/>
    <w:rsid w:val="004114D7"/>
    <w:rsid w:val="00412367"/>
    <w:rsid w:val="004124FF"/>
    <w:rsid w:val="004126D8"/>
    <w:rsid w:val="004128C5"/>
    <w:rsid w:val="00413602"/>
    <w:rsid w:val="00413631"/>
    <w:rsid w:val="00414580"/>
    <w:rsid w:val="004159CF"/>
    <w:rsid w:val="00416213"/>
    <w:rsid w:val="00416336"/>
    <w:rsid w:val="004164EA"/>
    <w:rsid w:val="00416593"/>
    <w:rsid w:val="00416994"/>
    <w:rsid w:val="00417C76"/>
    <w:rsid w:val="00417E11"/>
    <w:rsid w:val="00417FB4"/>
    <w:rsid w:val="0042045D"/>
    <w:rsid w:val="00420466"/>
    <w:rsid w:val="004204AC"/>
    <w:rsid w:val="004209E8"/>
    <w:rsid w:val="00420A5B"/>
    <w:rsid w:val="00421070"/>
    <w:rsid w:val="00421632"/>
    <w:rsid w:val="004220D7"/>
    <w:rsid w:val="00422692"/>
    <w:rsid w:val="00422877"/>
    <w:rsid w:val="00422D69"/>
    <w:rsid w:val="00422E86"/>
    <w:rsid w:val="0042357D"/>
    <w:rsid w:val="0042397E"/>
    <w:rsid w:val="00423F37"/>
    <w:rsid w:val="00424827"/>
    <w:rsid w:val="00424BA7"/>
    <w:rsid w:val="0042504B"/>
    <w:rsid w:val="0042509A"/>
    <w:rsid w:val="004250ED"/>
    <w:rsid w:val="00425EB3"/>
    <w:rsid w:val="00425FC3"/>
    <w:rsid w:val="00426699"/>
    <w:rsid w:val="00426711"/>
    <w:rsid w:val="00426777"/>
    <w:rsid w:val="0042690B"/>
    <w:rsid w:val="00426CD8"/>
    <w:rsid w:val="00426E3E"/>
    <w:rsid w:val="004270FF"/>
    <w:rsid w:val="004272FC"/>
    <w:rsid w:val="00427648"/>
    <w:rsid w:val="004276BB"/>
    <w:rsid w:val="00427FFE"/>
    <w:rsid w:val="00430B7C"/>
    <w:rsid w:val="00430BC6"/>
    <w:rsid w:val="00430F75"/>
    <w:rsid w:val="004313ED"/>
    <w:rsid w:val="0043159E"/>
    <w:rsid w:val="004315B8"/>
    <w:rsid w:val="004317E8"/>
    <w:rsid w:val="00431C31"/>
    <w:rsid w:val="00431FFE"/>
    <w:rsid w:val="00433045"/>
    <w:rsid w:val="00433777"/>
    <w:rsid w:val="00433871"/>
    <w:rsid w:val="00433B20"/>
    <w:rsid w:val="00433B63"/>
    <w:rsid w:val="00434098"/>
    <w:rsid w:val="0043412A"/>
    <w:rsid w:val="00434306"/>
    <w:rsid w:val="00434338"/>
    <w:rsid w:val="0043591E"/>
    <w:rsid w:val="00435AFE"/>
    <w:rsid w:val="00435BA8"/>
    <w:rsid w:val="00435F5B"/>
    <w:rsid w:val="0043623F"/>
    <w:rsid w:val="004365FB"/>
    <w:rsid w:val="00437287"/>
    <w:rsid w:val="004373F9"/>
    <w:rsid w:val="004379D5"/>
    <w:rsid w:val="00440485"/>
    <w:rsid w:val="00440693"/>
    <w:rsid w:val="00440D8B"/>
    <w:rsid w:val="00440EFC"/>
    <w:rsid w:val="00441AC8"/>
    <w:rsid w:val="00441B68"/>
    <w:rsid w:val="00442045"/>
    <w:rsid w:val="00442402"/>
    <w:rsid w:val="004425CC"/>
    <w:rsid w:val="004427DA"/>
    <w:rsid w:val="0044351A"/>
    <w:rsid w:val="004435D3"/>
    <w:rsid w:val="004435DD"/>
    <w:rsid w:val="004451A9"/>
    <w:rsid w:val="0044521A"/>
    <w:rsid w:val="00445290"/>
    <w:rsid w:val="00446FEC"/>
    <w:rsid w:val="00447182"/>
    <w:rsid w:val="004474A2"/>
    <w:rsid w:val="00447552"/>
    <w:rsid w:val="00447569"/>
    <w:rsid w:val="00447773"/>
    <w:rsid w:val="00447B35"/>
    <w:rsid w:val="00447E92"/>
    <w:rsid w:val="00450797"/>
    <w:rsid w:val="00450B5F"/>
    <w:rsid w:val="00450CCE"/>
    <w:rsid w:val="004510CA"/>
    <w:rsid w:val="004515F4"/>
    <w:rsid w:val="00452791"/>
    <w:rsid w:val="00452E70"/>
    <w:rsid w:val="00452F99"/>
    <w:rsid w:val="00452FF8"/>
    <w:rsid w:val="00453B82"/>
    <w:rsid w:val="00453FC4"/>
    <w:rsid w:val="004544AD"/>
    <w:rsid w:val="004550A7"/>
    <w:rsid w:val="00455A09"/>
    <w:rsid w:val="00455C16"/>
    <w:rsid w:val="00455DF4"/>
    <w:rsid w:val="0045664C"/>
    <w:rsid w:val="00457476"/>
    <w:rsid w:val="00457FF5"/>
    <w:rsid w:val="004600FC"/>
    <w:rsid w:val="00460700"/>
    <w:rsid w:val="00460AB3"/>
    <w:rsid w:val="00460BD8"/>
    <w:rsid w:val="00460F68"/>
    <w:rsid w:val="00461121"/>
    <w:rsid w:val="00461646"/>
    <w:rsid w:val="00461B2D"/>
    <w:rsid w:val="00461BDB"/>
    <w:rsid w:val="004625E1"/>
    <w:rsid w:val="004626E6"/>
    <w:rsid w:val="00462765"/>
    <w:rsid w:val="004633A5"/>
    <w:rsid w:val="00463762"/>
    <w:rsid w:val="0046397F"/>
    <w:rsid w:val="00463C18"/>
    <w:rsid w:val="004643AC"/>
    <w:rsid w:val="00464806"/>
    <w:rsid w:val="00465444"/>
    <w:rsid w:val="0046559B"/>
    <w:rsid w:val="00465714"/>
    <w:rsid w:val="004658DD"/>
    <w:rsid w:val="00465906"/>
    <w:rsid w:val="00465CBA"/>
    <w:rsid w:val="00465E45"/>
    <w:rsid w:val="0046643C"/>
    <w:rsid w:val="0046683F"/>
    <w:rsid w:val="00466CDF"/>
    <w:rsid w:val="00466EFC"/>
    <w:rsid w:val="00467591"/>
    <w:rsid w:val="00467938"/>
    <w:rsid w:val="004705D0"/>
    <w:rsid w:val="004709EC"/>
    <w:rsid w:val="00470F25"/>
    <w:rsid w:val="004718C0"/>
    <w:rsid w:val="00471A7A"/>
    <w:rsid w:val="00471B14"/>
    <w:rsid w:val="004720B9"/>
    <w:rsid w:val="00472163"/>
    <w:rsid w:val="00472239"/>
    <w:rsid w:val="004727D1"/>
    <w:rsid w:val="004738AD"/>
    <w:rsid w:val="004738CF"/>
    <w:rsid w:val="00474168"/>
    <w:rsid w:val="0047428A"/>
    <w:rsid w:val="00474A65"/>
    <w:rsid w:val="004750D5"/>
    <w:rsid w:val="004753B7"/>
    <w:rsid w:val="0047545B"/>
    <w:rsid w:val="00475521"/>
    <w:rsid w:val="00475A8A"/>
    <w:rsid w:val="00476228"/>
    <w:rsid w:val="004765EA"/>
    <w:rsid w:val="0047679A"/>
    <w:rsid w:val="004768B2"/>
    <w:rsid w:val="0047692B"/>
    <w:rsid w:val="00476DE4"/>
    <w:rsid w:val="004775E4"/>
    <w:rsid w:val="00477807"/>
    <w:rsid w:val="004800D4"/>
    <w:rsid w:val="00480FBF"/>
    <w:rsid w:val="00481BCA"/>
    <w:rsid w:val="00482B41"/>
    <w:rsid w:val="00482FF0"/>
    <w:rsid w:val="004838A3"/>
    <w:rsid w:val="00484A9C"/>
    <w:rsid w:val="00484AD7"/>
    <w:rsid w:val="00484C70"/>
    <w:rsid w:val="0048541C"/>
    <w:rsid w:val="004858A6"/>
    <w:rsid w:val="00486144"/>
    <w:rsid w:val="00486821"/>
    <w:rsid w:val="00486A46"/>
    <w:rsid w:val="00486A77"/>
    <w:rsid w:val="00487EAA"/>
    <w:rsid w:val="00487FE9"/>
    <w:rsid w:val="004902AF"/>
    <w:rsid w:val="00490F44"/>
    <w:rsid w:val="0049159F"/>
    <w:rsid w:val="004922B8"/>
    <w:rsid w:val="00492ABA"/>
    <w:rsid w:val="00493DDD"/>
    <w:rsid w:val="00493E02"/>
    <w:rsid w:val="004942B2"/>
    <w:rsid w:val="0049435B"/>
    <w:rsid w:val="00494815"/>
    <w:rsid w:val="004950D0"/>
    <w:rsid w:val="00495289"/>
    <w:rsid w:val="00495F8C"/>
    <w:rsid w:val="004961E3"/>
    <w:rsid w:val="00496382"/>
    <w:rsid w:val="00496BD5"/>
    <w:rsid w:val="004972E7"/>
    <w:rsid w:val="00497760"/>
    <w:rsid w:val="00497933"/>
    <w:rsid w:val="004A03A7"/>
    <w:rsid w:val="004A03A8"/>
    <w:rsid w:val="004A045D"/>
    <w:rsid w:val="004A0673"/>
    <w:rsid w:val="004A09A8"/>
    <w:rsid w:val="004A0AFD"/>
    <w:rsid w:val="004A0EC3"/>
    <w:rsid w:val="004A18D4"/>
    <w:rsid w:val="004A1CC8"/>
    <w:rsid w:val="004A1D1B"/>
    <w:rsid w:val="004A2068"/>
    <w:rsid w:val="004A22A1"/>
    <w:rsid w:val="004A278D"/>
    <w:rsid w:val="004A38A8"/>
    <w:rsid w:val="004A390B"/>
    <w:rsid w:val="004A3CED"/>
    <w:rsid w:val="004A3D8D"/>
    <w:rsid w:val="004A3E19"/>
    <w:rsid w:val="004A3E79"/>
    <w:rsid w:val="004A4378"/>
    <w:rsid w:val="004A4407"/>
    <w:rsid w:val="004A4951"/>
    <w:rsid w:val="004A4D18"/>
    <w:rsid w:val="004A50A4"/>
    <w:rsid w:val="004A54EC"/>
    <w:rsid w:val="004A5DFA"/>
    <w:rsid w:val="004A7643"/>
    <w:rsid w:val="004A7766"/>
    <w:rsid w:val="004A7CD0"/>
    <w:rsid w:val="004A7E0F"/>
    <w:rsid w:val="004B0060"/>
    <w:rsid w:val="004B027E"/>
    <w:rsid w:val="004B05B1"/>
    <w:rsid w:val="004B0B27"/>
    <w:rsid w:val="004B0C26"/>
    <w:rsid w:val="004B0DE3"/>
    <w:rsid w:val="004B13BA"/>
    <w:rsid w:val="004B212C"/>
    <w:rsid w:val="004B2BF3"/>
    <w:rsid w:val="004B30F5"/>
    <w:rsid w:val="004B37DC"/>
    <w:rsid w:val="004B3947"/>
    <w:rsid w:val="004B3D9F"/>
    <w:rsid w:val="004B47BE"/>
    <w:rsid w:val="004B4DDA"/>
    <w:rsid w:val="004B528C"/>
    <w:rsid w:val="004B5B7B"/>
    <w:rsid w:val="004B60EB"/>
    <w:rsid w:val="004B651B"/>
    <w:rsid w:val="004B65D3"/>
    <w:rsid w:val="004B6D59"/>
    <w:rsid w:val="004B6F9D"/>
    <w:rsid w:val="004B703E"/>
    <w:rsid w:val="004B7282"/>
    <w:rsid w:val="004B76A5"/>
    <w:rsid w:val="004B788F"/>
    <w:rsid w:val="004B7A33"/>
    <w:rsid w:val="004C01C2"/>
    <w:rsid w:val="004C02F7"/>
    <w:rsid w:val="004C1CEB"/>
    <w:rsid w:val="004C1E4C"/>
    <w:rsid w:val="004C20F7"/>
    <w:rsid w:val="004C2500"/>
    <w:rsid w:val="004C3381"/>
    <w:rsid w:val="004C37A7"/>
    <w:rsid w:val="004C3CE8"/>
    <w:rsid w:val="004C3F82"/>
    <w:rsid w:val="004C4465"/>
    <w:rsid w:val="004C504D"/>
    <w:rsid w:val="004C5118"/>
    <w:rsid w:val="004C51F0"/>
    <w:rsid w:val="004C586D"/>
    <w:rsid w:val="004C58A7"/>
    <w:rsid w:val="004D0148"/>
    <w:rsid w:val="004D0319"/>
    <w:rsid w:val="004D03AC"/>
    <w:rsid w:val="004D08DC"/>
    <w:rsid w:val="004D0F57"/>
    <w:rsid w:val="004D0F7F"/>
    <w:rsid w:val="004D1327"/>
    <w:rsid w:val="004D162F"/>
    <w:rsid w:val="004D1CD5"/>
    <w:rsid w:val="004D1E20"/>
    <w:rsid w:val="004D1F3E"/>
    <w:rsid w:val="004D1F81"/>
    <w:rsid w:val="004D254C"/>
    <w:rsid w:val="004D262D"/>
    <w:rsid w:val="004D2B79"/>
    <w:rsid w:val="004D2CCE"/>
    <w:rsid w:val="004D30F8"/>
    <w:rsid w:val="004D323D"/>
    <w:rsid w:val="004D32B6"/>
    <w:rsid w:val="004D348B"/>
    <w:rsid w:val="004D39F5"/>
    <w:rsid w:val="004D4200"/>
    <w:rsid w:val="004D45AD"/>
    <w:rsid w:val="004D51D3"/>
    <w:rsid w:val="004D5C94"/>
    <w:rsid w:val="004D5CC9"/>
    <w:rsid w:val="004D6925"/>
    <w:rsid w:val="004D7F01"/>
    <w:rsid w:val="004E0404"/>
    <w:rsid w:val="004E054D"/>
    <w:rsid w:val="004E0A2A"/>
    <w:rsid w:val="004E12B9"/>
    <w:rsid w:val="004E154D"/>
    <w:rsid w:val="004E18C6"/>
    <w:rsid w:val="004E1D36"/>
    <w:rsid w:val="004E2020"/>
    <w:rsid w:val="004E2227"/>
    <w:rsid w:val="004E2311"/>
    <w:rsid w:val="004E2B23"/>
    <w:rsid w:val="004E40EC"/>
    <w:rsid w:val="004E4283"/>
    <w:rsid w:val="004E4364"/>
    <w:rsid w:val="004E482A"/>
    <w:rsid w:val="004E5279"/>
    <w:rsid w:val="004E58AD"/>
    <w:rsid w:val="004E58E1"/>
    <w:rsid w:val="004E5919"/>
    <w:rsid w:val="004E5A31"/>
    <w:rsid w:val="004E5DE8"/>
    <w:rsid w:val="004E61AC"/>
    <w:rsid w:val="004E681B"/>
    <w:rsid w:val="004E6D22"/>
    <w:rsid w:val="004E7093"/>
    <w:rsid w:val="004E70E7"/>
    <w:rsid w:val="004E70F3"/>
    <w:rsid w:val="004E746B"/>
    <w:rsid w:val="004F0323"/>
    <w:rsid w:val="004F0831"/>
    <w:rsid w:val="004F1263"/>
    <w:rsid w:val="004F18D8"/>
    <w:rsid w:val="004F1AC7"/>
    <w:rsid w:val="004F2F17"/>
    <w:rsid w:val="004F323C"/>
    <w:rsid w:val="004F3755"/>
    <w:rsid w:val="004F39B5"/>
    <w:rsid w:val="004F3EB7"/>
    <w:rsid w:val="004F3F7B"/>
    <w:rsid w:val="004F45AE"/>
    <w:rsid w:val="004F4727"/>
    <w:rsid w:val="004F4D55"/>
    <w:rsid w:val="004F5A41"/>
    <w:rsid w:val="004F5C86"/>
    <w:rsid w:val="004F6BB0"/>
    <w:rsid w:val="004F70E2"/>
    <w:rsid w:val="004F7323"/>
    <w:rsid w:val="004F756B"/>
    <w:rsid w:val="004F7A2D"/>
    <w:rsid w:val="004F7B74"/>
    <w:rsid w:val="00500535"/>
    <w:rsid w:val="00500905"/>
    <w:rsid w:val="00501065"/>
    <w:rsid w:val="005011E1"/>
    <w:rsid w:val="0050131B"/>
    <w:rsid w:val="00501BB8"/>
    <w:rsid w:val="00501DF9"/>
    <w:rsid w:val="00501F31"/>
    <w:rsid w:val="00503702"/>
    <w:rsid w:val="0050373E"/>
    <w:rsid w:val="0050441E"/>
    <w:rsid w:val="00504424"/>
    <w:rsid w:val="005046D1"/>
    <w:rsid w:val="00504825"/>
    <w:rsid w:val="00504C0D"/>
    <w:rsid w:val="0050510A"/>
    <w:rsid w:val="005054A4"/>
    <w:rsid w:val="00505FF3"/>
    <w:rsid w:val="00506626"/>
    <w:rsid w:val="00506F0C"/>
    <w:rsid w:val="00507963"/>
    <w:rsid w:val="00510242"/>
    <w:rsid w:val="005103C5"/>
    <w:rsid w:val="00510442"/>
    <w:rsid w:val="005105C0"/>
    <w:rsid w:val="005106EE"/>
    <w:rsid w:val="0051071B"/>
    <w:rsid w:val="005109E8"/>
    <w:rsid w:val="00510A30"/>
    <w:rsid w:val="00510E01"/>
    <w:rsid w:val="005111EC"/>
    <w:rsid w:val="00511499"/>
    <w:rsid w:val="0051207E"/>
    <w:rsid w:val="005123F4"/>
    <w:rsid w:val="005125E4"/>
    <w:rsid w:val="00512C53"/>
    <w:rsid w:val="00512E56"/>
    <w:rsid w:val="00513293"/>
    <w:rsid w:val="00514411"/>
    <w:rsid w:val="0051564A"/>
    <w:rsid w:val="00515A8F"/>
    <w:rsid w:val="00515AC5"/>
    <w:rsid w:val="00515B85"/>
    <w:rsid w:val="00515DAD"/>
    <w:rsid w:val="00515E26"/>
    <w:rsid w:val="00516448"/>
    <w:rsid w:val="00516550"/>
    <w:rsid w:val="005167EC"/>
    <w:rsid w:val="00516813"/>
    <w:rsid w:val="00516BAD"/>
    <w:rsid w:val="00516D39"/>
    <w:rsid w:val="00516F8A"/>
    <w:rsid w:val="005204ED"/>
    <w:rsid w:val="005206A9"/>
    <w:rsid w:val="005207C8"/>
    <w:rsid w:val="00521093"/>
    <w:rsid w:val="00521CBD"/>
    <w:rsid w:val="0052212E"/>
    <w:rsid w:val="005222FD"/>
    <w:rsid w:val="00522B82"/>
    <w:rsid w:val="00522D33"/>
    <w:rsid w:val="005230A0"/>
    <w:rsid w:val="005244FB"/>
    <w:rsid w:val="00524D1F"/>
    <w:rsid w:val="005253A1"/>
    <w:rsid w:val="005262AB"/>
    <w:rsid w:val="00526650"/>
    <w:rsid w:val="0052694C"/>
    <w:rsid w:val="00526A1A"/>
    <w:rsid w:val="00526A74"/>
    <w:rsid w:val="00526EE0"/>
    <w:rsid w:val="00527057"/>
    <w:rsid w:val="00527173"/>
    <w:rsid w:val="005274F7"/>
    <w:rsid w:val="005279BE"/>
    <w:rsid w:val="005304F2"/>
    <w:rsid w:val="00530F1F"/>
    <w:rsid w:val="005313DA"/>
    <w:rsid w:val="0053152C"/>
    <w:rsid w:val="00531587"/>
    <w:rsid w:val="00531A17"/>
    <w:rsid w:val="0053214D"/>
    <w:rsid w:val="005324F7"/>
    <w:rsid w:val="00533031"/>
    <w:rsid w:val="005331B2"/>
    <w:rsid w:val="00533C82"/>
    <w:rsid w:val="00533CFF"/>
    <w:rsid w:val="00534373"/>
    <w:rsid w:val="00534801"/>
    <w:rsid w:val="00534F97"/>
    <w:rsid w:val="00535276"/>
    <w:rsid w:val="00535433"/>
    <w:rsid w:val="0053589B"/>
    <w:rsid w:val="00535AF2"/>
    <w:rsid w:val="00535E28"/>
    <w:rsid w:val="005363CE"/>
    <w:rsid w:val="00536839"/>
    <w:rsid w:val="00537FA4"/>
    <w:rsid w:val="00540289"/>
    <w:rsid w:val="005403C4"/>
    <w:rsid w:val="00540827"/>
    <w:rsid w:val="00540A2F"/>
    <w:rsid w:val="00540AFE"/>
    <w:rsid w:val="00540C1C"/>
    <w:rsid w:val="005411BE"/>
    <w:rsid w:val="00541C0C"/>
    <w:rsid w:val="00541DBF"/>
    <w:rsid w:val="0054269F"/>
    <w:rsid w:val="00542D1B"/>
    <w:rsid w:val="005431A2"/>
    <w:rsid w:val="00543574"/>
    <w:rsid w:val="0054382A"/>
    <w:rsid w:val="005439B3"/>
    <w:rsid w:val="0054439D"/>
    <w:rsid w:val="00544E04"/>
    <w:rsid w:val="00544E24"/>
    <w:rsid w:val="00545A6C"/>
    <w:rsid w:val="00545FC6"/>
    <w:rsid w:val="00546A0F"/>
    <w:rsid w:val="00546D23"/>
    <w:rsid w:val="00547AAA"/>
    <w:rsid w:val="00547C4D"/>
    <w:rsid w:val="00547DB0"/>
    <w:rsid w:val="00547DBA"/>
    <w:rsid w:val="00547FA1"/>
    <w:rsid w:val="005503BC"/>
    <w:rsid w:val="00550E63"/>
    <w:rsid w:val="00550EE5"/>
    <w:rsid w:val="00551096"/>
    <w:rsid w:val="00551344"/>
    <w:rsid w:val="005514AA"/>
    <w:rsid w:val="00551CAB"/>
    <w:rsid w:val="00551DD7"/>
    <w:rsid w:val="00551F3B"/>
    <w:rsid w:val="00551F78"/>
    <w:rsid w:val="0055241B"/>
    <w:rsid w:val="00552554"/>
    <w:rsid w:val="00553519"/>
    <w:rsid w:val="0055425A"/>
    <w:rsid w:val="0055429A"/>
    <w:rsid w:val="00554522"/>
    <w:rsid w:val="00554777"/>
    <w:rsid w:val="00554E47"/>
    <w:rsid w:val="005550B5"/>
    <w:rsid w:val="0055566B"/>
    <w:rsid w:val="005563BD"/>
    <w:rsid w:val="005564AE"/>
    <w:rsid w:val="0055653C"/>
    <w:rsid w:val="00556677"/>
    <w:rsid w:val="00556D9B"/>
    <w:rsid w:val="005570BA"/>
    <w:rsid w:val="00557438"/>
    <w:rsid w:val="00557700"/>
    <w:rsid w:val="005577E9"/>
    <w:rsid w:val="00557AE5"/>
    <w:rsid w:val="00560030"/>
    <w:rsid w:val="005601F2"/>
    <w:rsid w:val="00560706"/>
    <w:rsid w:val="00560DCD"/>
    <w:rsid w:val="00561519"/>
    <w:rsid w:val="00561D10"/>
    <w:rsid w:val="00562175"/>
    <w:rsid w:val="00562CD0"/>
    <w:rsid w:val="005631EA"/>
    <w:rsid w:val="0056423F"/>
    <w:rsid w:val="00564AD2"/>
    <w:rsid w:val="00565C72"/>
    <w:rsid w:val="00565CE8"/>
    <w:rsid w:val="00565F01"/>
    <w:rsid w:val="005660FE"/>
    <w:rsid w:val="0056687A"/>
    <w:rsid w:val="00566DC3"/>
    <w:rsid w:val="00566DFF"/>
    <w:rsid w:val="00567322"/>
    <w:rsid w:val="00567C5B"/>
    <w:rsid w:val="005702B9"/>
    <w:rsid w:val="00570745"/>
    <w:rsid w:val="00570931"/>
    <w:rsid w:val="00570A3F"/>
    <w:rsid w:val="00570CA9"/>
    <w:rsid w:val="00571589"/>
    <w:rsid w:val="00571D26"/>
    <w:rsid w:val="005722CC"/>
    <w:rsid w:val="00572DCC"/>
    <w:rsid w:val="00572F3A"/>
    <w:rsid w:val="00573132"/>
    <w:rsid w:val="0057341C"/>
    <w:rsid w:val="00573D2A"/>
    <w:rsid w:val="00574075"/>
    <w:rsid w:val="00574385"/>
    <w:rsid w:val="0057499A"/>
    <w:rsid w:val="00574AE7"/>
    <w:rsid w:val="00574BFD"/>
    <w:rsid w:val="00574FCA"/>
    <w:rsid w:val="005751FE"/>
    <w:rsid w:val="00575490"/>
    <w:rsid w:val="0057640B"/>
    <w:rsid w:val="0057663D"/>
    <w:rsid w:val="0057671F"/>
    <w:rsid w:val="00577E74"/>
    <w:rsid w:val="00580044"/>
    <w:rsid w:val="00580332"/>
    <w:rsid w:val="0058047A"/>
    <w:rsid w:val="005806B7"/>
    <w:rsid w:val="00580A33"/>
    <w:rsid w:val="00580B01"/>
    <w:rsid w:val="00580BBC"/>
    <w:rsid w:val="00580CED"/>
    <w:rsid w:val="00580CFC"/>
    <w:rsid w:val="00580D19"/>
    <w:rsid w:val="00580E1E"/>
    <w:rsid w:val="00580F5D"/>
    <w:rsid w:val="0058123C"/>
    <w:rsid w:val="005819A5"/>
    <w:rsid w:val="005819AF"/>
    <w:rsid w:val="00581BCE"/>
    <w:rsid w:val="00582436"/>
    <w:rsid w:val="00582971"/>
    <w:rsid w:val="00582B4B"/>
    <w:rsid w:val="005837ED"/>
    <w:rsid w:val="00583AA2"/>
    <w:rsid w:val="00583D51"/>
    <w:rsid w:val="00583DA5"/>
    <w:rsid w:val="00583FAE"/>
    <w:rsid w:val="005841E4"/>
    <w:rsid w:val="00584770"/>
    <w:rsid w:val="00584789"/>
    <w:rsid w:val="0058488B"/>
    <w:rsid w:val="00584929"/>
    <w:rsid w:val="005849A0"/>
    <w:rsid w:val="00585226"/>
    <w:rsid w:val="0058536A"/>
    <w:rsid w:val="00586102"/>
    <w:rsid w:val="00586CB0"/>
    <w:rsid w:val="00586E6F"/>
    <w:rsid w:val="005879DD"/>
    <w:rsid w:val="00587A66"/>
    <w:rsid w:val="005903DE"/>
    <w:rsid w:val="00590406"/>
    <w:rsid w:val="0059043B"/>
    <w:rsid w:val="00590A18"/>
    <w:rsid w:val="00590DCD"/>
    <w:rsid w:val="00590EBF"/>
    <w:rsid w:val="005913E5"/>
    <w:rsid w:val="005918E9"/>
    <w:rsid w:val="00591A2A"/>
    <w:rsid w:val="00591B8D"/>
    <w:rsid w:val="005928A6"/>
    <w:rsid w:val="00592E7F"/>
    <w:rsid w:val="00592F7D"/>
    <w:rsid w:val="00593379"/>
    <w:rsid w:val="00593485"/>
    <w:rsid w:val="0059405E"/>
    <w:rsid w:val="0059493D"/>
    <w:rsid w:val="00594CAD"/>
    <w:rsid w:val="005956F4"/>
    <w:rsid w:val="00596ABB"/>
    <w:rsid w:val="00597111"/>
    <w:rsid w:val="00597336"/>
    <w:rsid w:val="00597501"/>
    <w:rsid w:val="00597744"/>
    <w:rsid w:val="00597774"/>
    <w:rsid w:val="005A0110"/>
    <w:rsid w:val="005A02B7"/>
    <w:rsid w:val="005A0488"/>
    <w:rsid w:val="005A05B8"/>
    <w:rsid w:val="005A2279"/>
    <w:rsid w:val="005A23AC"/>
    <w:rsid w:val="005A2B7E"/>
    <w:rsid w:val="005A4352"/>
    <w:rsid w:val="005A4540"/>
    <w:rsid w:val="005A46E3"/>
    <w:rsid w:val="005A48C3"/>
    <w:rsid w:val="005A4987"/>
    <w:rsid w:val="005A4BA2"/>
    <w:rsid w:val="005A58B8"/>
    <w:rsid w:val="005A5B72"/>
    <w:rsid w:val="005A5BA3"/>
    <w:rsid w:val="005A5C14"/>
    <w:rsid w:val="005A6150"/>
    <w:rsid w:val="005A747F"/>
    <w:rsid w:val="005A758B"/>
    <w:rsid w:val="005B0930"/>
    <w:rsid w:val="005B09FF"/>
    <w:rsid w:val="005B0AF9"/>
    <w:rsid w:val="005B0D5D"/>
    <w:rsid w:val="005B103A"/>
    <w:rsid w:val="005B1271"/>
    <w:rsid w:val="005B1A69"/>
    <w:rsid w:val="005B1CDF"/>
    <w:rsid w:val="005B1DF6"/>
    <w:rsid w:val="005B2051"/>
    <w:rsid w:val="005B2BBB"/>
    <w:rsid w:val="005B2C28"/>
    <w:rsid w:val="005B370D"/>
    <w:rsid w:val="005B40F3"/>
    <w:rsid w:val="005B417E"/>
    <w:rsid w:val="005B48BD"/>
    <w:rsid w:val="005B4E3E"/>
    <w:rsid w:val="005B4F09"/>
    <w:rsid w:val="005B625A"/>
    <w:rsid w:val="005B63B8"/>
    <w:rsid w:val="005B6944"/>
    <w:rsid w:val="005B714F"/>
    <w:rsid w:val="005B73B4"/>
    <w:rsid w:val="005B7B39"/>
    <w:rsid w:val="005C00D9"/>
    <w:rsid w:val="005C0290"/>
    <w:rsid w:val="005C0646"/>
    <w:rsid w:val="005C1CB7"/>
    <w:rsid w:val="005C37D0"/>
    <w:rsid w:val="005C4684"/>
    <w:rsid w:val="005C4987"/>
    <w:rsid w:val="005C4D99"/>
    <w:rsid w:val="005C5245"/>
    <w:rsid w:val="005C5796"/>
    <w:rsid w:val="005C583C"/>
    <w:rsid w:val="005C59EE"/>
    <w:rsid w:val="005C5F3A"/>
    <w:rsid w:val="005C66BA"/>
    <w:rsid w:val="005C6BAD"/>
    <w:rsid w:val="005C6C9E"/>
    <w:rsid w:val="005C6FA8"/>
    <w:rsid w:val="005C75D6"/>
    <w:rsid w:val="005C7C70"/>
    <w:rsid w:val="005C7CA8"/>
    <w:rsid w:val="005D0199"/>
    <w:rsid w:val="005D01DD"/>
    <w:rsid w:val="005D0490"/>
    <w:rsid w:val="005D0D95"/>
    <w:rsid w:val="005D12B7"/>
    <w:rsid w:val="005D1574"/>
    <w:rsid w:val="005D18A9"/>
    <w:rsid w:val="005D190F"/>
    <w:rsid w:val="005D1E00"/>
    <w:rsid w:val="005D2A09"/>
    <w:rsid w:val="005D2BF3"/>
    <w:rsid w:val="005D2FF4"/>
    <w:rsid w:val="005D3014"/>
    <w:rsid w:val="005D345C"/>
    <w:rsid w:val="005D37FD"/>
    <w:rsid w:val="005D3B77"/>
    <w:rsid w:val="005D3E0B"/>
    <w:rsid w:val="005D448A"/>
    <w:rsid w:val="005D4BD3"/>
    <w:rsid w:val="005D4C5C"/>
    <w:rsid w:val="005D5E94"/>
    <w:rsid w:val="005D646E"/>
    <w:rsid w:val="005D66B3"/>
    <w:rsid w:val="005D6A00"/>
    <w:rsid w:val="005D6A94"/>
    <w:rsid w:val="005D6D84"/>
    <w:rsid w:val="005D7061"/>
    <w:rsid w:val="005D7252"/>
    <w:rsid w:val="005D72C1"/>
    <w:rsid w:val="005D768C"/>
    <w:rsid w:val="005E0135"/>
    <w:rsid w:val="005E02BE"/>
    <w:rsid w:val="005E0A8D"/>
    <w:rsid w:val="005E0F15"/>
    <w:rsid w:val="005E10EF"/>
    <w:rsid w:val="005E190C"/>
    <w:rsid w:val="005E1ABA"/>
    <w:rsid w:val="005E1B3E"/>
    <w:rsid w:val="005E2009"/>
    <w:rsid w:val="005E2A58"/>
    <w:rsid w:val="005E3603"/>
    <w:rsid w:val="005E45B1"/>
    <w:rsid w:val="005E45B2"/>
    <w:rsid w:val="005E46ED"/>
    <w:rsid w:val="005E52D2"/>
    <w:rsid w:val="005E5A57"/>
    <w:rsid w:val="005E5DF1"/>
    <w:rsid w:val="005E6693"/>
    <w:rsid w:val="005E6BBA"/>
    <w:rsid w:val="005E6ED1"/>
    <w:rsid w:val="005E7708"/>
    <w:rsid w:val="005E78B6"/>
    <w:rsid w:val="005F076A"/>
    <w:rsid w:val="005F11CD"/>
    <w:rsid w:val="005F13E7"/>
    <w:rsid w:val="005F1471"/>
    <w:rsid w:val="005F1657"/>
    <w:rsid w:val="005F18EE"/>
    <w:rsid w:val="005F2325"/>
    <w:rsid w:val="005F3BDC"/>
    <w:rsid w:val="005F41B4"/>
    <w:rsid w:val="005F47AF"/>
    <w:rsid w:val="005F4BCB"/>
    <w:rsid w:val="005F4BD4"/>
    <w:rsid w:val="005F5021"/>
    <w:rsid w:val="005F511E"/>
    <w:rsid w:val="005F544F"/>
    <w:rsid w:val="005F6F27"/>
    <w:rsid w:val="005F7308"/>
    <w:rsid w:val="005F7823"/>
    <w:rsid w:val="005F7918"/>
    <w:rsid w:val="005F7A6D"/>
    <w:rsid w:val="006001BA"/>
    <w:rsid w:val="00600631"/>
    <w:rsid w:val="006018B6"/>
    <w:rsid w:val="00601F86"/>
    <w:rsid w:val="006027E4"/>
    <w:rsid w:val="006031AF"/>
    <w:rsid w:val="00603729"/>
    <w:rsid w:val="0060380A"/>
    <w:rsid w:val="00603A5F"/>
    <w:rsid w:val="00603B08"/>
    <w:rsid w:val="00603C0F"/>
    <w:rsid w:val="00604067"/>
    <w:rsid w:val="00604814"/>
    <w:rsid w:val="0060484B"/>
    <w:rsid w:val="00604ECF"/>
    <w:rsid w:val="0060554F"/>
    <w:rsid w:val="006058AA"/>
    <w:rsid w:val="00605976"/>
    <w:rsid w:val="00605CCD"/>
    <w:rsid w:val="006060DE"/>
    <w:rsid w:val="00606478"/>
    <w:rsid w:val="006065B3"/>
    <w:rsid w:val="00607108"/>
    <w:rsid w:val="006071B7"/>
    <w:rsid w:val="0060768F"/>
    <w:rsid w:val="0060776F"/>
    <w:rsid w:val="00607B6D"/>
    <w:rsid w:val="00607C91"/>
    <w:rsid w:val="00607E2E"/>
    <w:rsid w:val="0061027A"/>
    <w:rsid w:val="00610D06"/>
    <w:rsid w:val="00610D15"/>
    <w:rsid w:val="00610F03"/>
    <w:rsid w:val="00611097"/>
    <w:rsid w:val="006110D4"/>
    <w:rsid w:val="006112CF"/>
    <w:rsid w:val="00611C86"/>
    <w:rsid w:val="00612326"/>
    <w:rsid w:val="00612425"/>
    <w:rsid w:val="00612DC6"/>
    <w:rsid w:val="00613321"/>
    <w:rsid w:val="0061345E"/>
    <w:rsid w:val="0061441D"/>
    <w:rsid w:val="00614813"/>
    <w:rsid w:val="006153B9"/>
    <w:rsid w:val="00616473"/>
    <w:rsid w:val="00616D1B"/>
    <w:rsid w:val="00616DDC"/>
    <w:rsid w:val="00617721"/>
    <w:rsid w:val="00617F16"/>
    <w:rsid w:val="006201E0"/>
    <w:rsid w:val="0062034F"/>
    <w:rsid w:val="0062048D"/>
    <w:rsid w:val="00620F9B"/>
    <w:rsid w:val="00621150"/>
    <w:rsid w:val="00621E81"/>
    <w:rsid w:val="006224D0"/>
    <w:rsid w:val="00622BB3"/>
    <w:rsid w:val="006230AA"/>
    <w:rsid w:val="00623585"/>
    <w:rsid w:val="00623FBB"/>
    <w:rsid w:val="006245C7"/>
    <w:rsid w:val="00624BCE"/>
    <w:rsid w:val="00624CAC"/>
    <w:rsid w:val="00625430"/>
    <w:rsid w:val="006254DD"/>
    <w:rsid w:val="006256F6"/>
    <w:rsid w:val="00625921"/>
    <w:rsid w:val="00625A21"/>
    <w:rsid w:val="00625A6B"/>
    <w:rsid w:val="00625B31"/>
    <w:rsid w:val="00625D27"/>
    <w:rsid w:val="00625F91"/>
    <w:rsid w:val="0062664D"/>
    <w:rsid w:val="00626969"/>
    <w:rsid w:val="0062750E"/>
    <w:rsid w:val="00627B1E"/>
    <w:rsid w:val="00627B69"/>
    <w:rsid w:val="00627DE6"/>
    <w:rsid w:val="00627ECE"/>
    <w:rsid w:val="006303F0"/>
    <w:rsid w:val="00630E1F"/>
    <w:rsid w:val="00630FD3"/>
    <w:rsid w:val="006311C0"/>
    <w:rsid w:val="00631355"/>
    <w:rsid w:val="00631DFD"/>
    <w:rsid w:val="00631F3B"/>
    <w:rsid w:val="00632044"/>
    <w:rsid w:val="0063231C"/>
    <w:rsid w:val="006326D0"/>
    <w:rsid w:val="00632DCE"/>
    <w:rsid w:val="00632F63"/>
    <w:rsid w:val="00632FC2"/>
    <w:rsid w:val="00633B24"/>
    <w:rsid w:val="006345FB"/>
    <w:rsid w:val="0063470F"/>
    <w:rsid w:val="00634B82"/>
    <w:rsid w:val="00634C85"/>
    <w:rsid w:val="00634C8B"/>
    <w:rsid w:val="00635023"/>
    <w:rsid w:val="00635B0E"/>
    <w:rsid w:val="00635C98"/>
    <w:rsid w:val="00635F31"/>
    <w:rsid w:val="006364BB"/>
    <w:rsid w:val="006365E4"/>
    <w:rsid w:val="00636657"/>
    <w:rsid w:val="00636DDA"/>
    <w:rsid w:val="00637575"/>
    <w:rsid w:val="00637ACB"/>
    <w:rsid w:val="0064010E"/>
    <w:rsid w:val="0064047E"/>
    <w:rsid w:val="0064065B"/>
    <w:rsid w:val="00640C77"/>
    <w:rsid w:val="006413B8"/>
    <w:rsid w:val="00641459"/>
    <w:rsid w:val="00641546"/>
    <w:rsid w:val="0064196A"/>
    <w:rsid w:val="006424B0"/>
    <w:rsid w:val="0064322B"/>
    <w:rsid w:val="00643266"/>
    <w:rsid w:val="00643B42"/>
    <w:rsid w:val="00643C5A"/>
    <w:rsid w:val="00643D0F"/>
    <w:rsid w:val="00645553"/>
    <w:rsid w:val="00645A8A"/>
    <w:rsid w:val="00645B44"/>
    <w:rsid w:val="006461F3"/>
    <w:rsid w:val="006464D8"/>
    <w:rsid w:val="00646BB9"/>
    <w:rsid w:val="00647496"/>
    <w:rsid w:val="0065014D"/>
    <w:rsid w:val="0065064F"/>
    <w:rsid w:val="00650788"/>
    <w:rsid w:val="006509F1"/>
    <w:rsid w:val="00650D61"/>
    <w:rsid w:val="00651504"/>
    <w:rsid w:val="00651E9D"/>
    <w:rsid w:val="0065217A"/>
    <w:rsid w:val="006524CA"/>
    <w:rsid w:val="00654C91"/>
    <w:rsid w:val="00656290"/>
    <w:rsid w:val="00656653"/>
    <w:rsid w:val="006568A4"/>
    <w:rsid w:val="006568DC"/>
    <w:rsid w:val="00656AD9"/>
    <w:rsid w:val="00656C5D"/>
    <w:rsid w:val="00657879"/>
    <w:rsid w:val="006578BD"/>
    <w:rsid w:val="00657CDB"/>
    <w:rsid w:val="00657D7A"/>
    <w:rsid w:val="00657DDE"/>
    <w:rsid w:val="0066034B"/>
    <w:rsid w:val="00660B53"/>
    <w:rsid w:val="00661366"/>
    <w:rsid w:val="0066184E"/>
    <w:rsid w:val="0066186A"/>
    <w:rsid w:val="00661934"/>
    <w:rsid w:val="00661F9E"/>
    <w:rsid w:val="00662420"/>
    <w:rsid w:val="00662C2F"/>
    <w:rsid w:val="00663016"/>
    <w:rsid w:val="006632B3"/>
    <w:rsid w:val="006632FD"/>
    <w:rsid w:val="00663EB5"/>
    <w:rsid w:val="0066476A"/>
    <w:rsid w:val="00664809"/>
    <w:rsid w:val="00665659"/>
    <w:rsid w:val="006663C1"/>
    <w:rsid w:val="00666ABF"/>
    <w:rsid w:val="006671D4"/>
    <w:rsid w:val="006676B7"/>
    <w:rsid w:val="00667AB2"/>
    <w:rsid w:val="00667CB2"/>
    <w:rsid w:val="00667DFE"/>
    <w:rsid w:val="00670031"/>
    <w:rsid w:val="00670D7C"/>
    <w:rsid w:val="00670DC6"/>
    <w:rsid w:val="00670F84"/>
    <w:rsid w:val="006718B5"/>
    <w:rsid w:val="006722E4"/>
    <w:rsid w:val="00673C5B"/>
    <w:rsid w:val="00673DF0"/>
    <w:rsid w:val="00673FBE"/>
    <w:rsid w:val="006741AF"/>
    <w:rsid w:val="00674855"/>
    <w:rsid w:val="00674983"/>
    <w:rsid w:val="006750F0"/>
    <w:rsid w:val="006752C8"/>
    <w:rsid w:val="0067625A"/>
    <w:rsid w:val="006764B4"/>
    <w:rsid w:val="006769FA"/>
    <w:rsid w:val="00676C40"/>
    <w:rsid w:val="00676CD5"/>
    <w:rsid w:val="00676ED9"/>
    <w:rsid w:val="00677040"/>
    <w:rsid w:val="006770D5"/>
    <w:rsid w:val="00677A1A"/>
    <w:rsid w:val="006804B1"/>
    <w:rsid w:val="006805C9"/>
    <w:rsid w:val="00680792"/>
    <w:rsid w:val="00680A3B"/>
    <w:rsid w:val="00680F58"/>
    <w:rsid w:val="00681497"/>
    <w:rsid w:val="00681631"/>
    <w:rsid w:val="006818DA"/>
    <w:rsid w:val="00681C8A"/>
    <w:rsid w:val="00681E5E"/>
    <w:rsid w:val="00682184"/>
    <w:rsid w:val="006825FA"/>
    <w:rsid w:val="00683420"/>
    <w:rsid w:val="00683559"/>
    <w:rsid w:val="00683A66"/>
    <w:rsid w:val="006849EB"/>
    <w:rsid w:val="00684ADB"/>
    <w:rsid w:val="00684FA8"/>
    <w:rsid w:val="00685023"/>
    <w:rsid w:val="0068503D"/>
    <w:rsid w:val="00685DA7"/>
    <w:rsid w:val="00685E81"/>
    <w:rsid w:val="006863DE"/>
    <w:rsid w:val="00686832"/>
    <w:rsid w:val="00686BBA"/>
    <w:rsid w:val="00686EB4"/>
    <w:rsid w:val="00686ED5"/>
    <w:rsid w:val="00687947"/>
    <w:rsid w:val="00687A78"/>
    <w:rsid w:val="00687B9B"/>
    <w:rsid w:val="006903C0"/>
    <w:rsid w:val="006904BD"/>
    <w:rsid w:val="00690616"/>
    <w:rsid w:val="00690632"/>
    <w:rsid w:val="00690780"/>
    <w:rsid w:val="00691550"/>
    <w:rsid w:val="0069164A"/>
    <w:rsid w:val="00691DCC"/>
    <w:rsid w:val="006928AE"/>
    <w:rsid w:val="00692C88"/>
    <w:rsid w:val="00692F00"/>
    <w:rsid w:val="006931C8"/>
    <w:rsid w:val="006931EC"/>
    <w:rsid w:val="0069341A"/>
    <w:rsid w:val="0069375C"/>
    <w:rsid w:val="00693AAB"/>
    <w:rsid w:val="00694420"/>
    <w:rsid w:val="00694839"/>
    <w:rsid w:val="00694878"/>
    <w:rsid w:val="00694A49"/>
    <w:rsid w:val="00694D5A"/>
    <w:rsid w:val="00694DC3"/>
    <w:rsid w:val="00694E33"/>
    <w:rsid w:val="006958A5"/>
    <w:rsid w:val="00695946"/>
    <w:rsid w:val="00695C58"/>
    <w:rsid w:val="00696093"/>
    <w:rsid w:val="006964D0"/>
    <w:rsid w:val="00696520"/>
    <w:rsid w:val="006965DE"/>
    <w:rsid w:val="0069670F"/>
    <w:rsid w:val="00697037"/>
    <w:rsid w:val="00697325"/>
    <w:rsid w:val="006973EE"/>
    <w:rsid w:val="006974FB"/>
    <w:rsid w:val="0069797A"/>
    <w:rsid w:val="006A08C4"/>
    <w:rsid w:val="006A08D1"/>
    <w:rsid w:val="006A10C0"/>
    <w:rsid w:val="006A13C0"/>
    <w:rsid w:val="006A14A8"/>
    <w:rsid w:val="006A1FEC"/>
    <w:rsid w:val="006A2532"/>
    <w:rsid w:val="006A27BD"/>
    <w:rsid w:val="006A286D"/>
    <w:rsid w:val="006A2DC9"/>
    <w:rsid w:val="006A40EF"/>
    <w:rsid w:val="006A46E3"/>
    <w:rsid w:val="006A47A0"/>
    <w:rsid w:val="006A531E"/>
    <w:rsid w:val="006A57E9"/>
    <w:rsid w:val="006A61AF"/>
    <w:rsid w:val="006A674E"/>
    <w:rsid w:val="006A68F7"/>
    <w:rsid w:val="006A6AA0"/>
    <w:rsid w:val="006A6EFB"/>
    <w:rsid w:val="006A7877"/>
    <w:rsid w:val="006A78A2"/>
    <w:rsid w:val="006B0723"/>
    <w:rsid w:val="006B0A25"/>
    <w:rsid w:val="006B0E91"/>
    <w:rsid w:val="006B1505"/>
    <w:rsid w:val="006B1791"/>
    <w:rsid w:val="006B1A2E"/>
    <w:rsid w:val="006B1EA3"/>
    <w:rsid w:val="006B1FFE"/>
    <w:rsid w:val="006B27CF"/>
    <w:rsid w:val="006B2C07"/>
    <w:rsid w:val="006B3462"/>
    <w:rsid w:val="006B3615"/>
    <w:rsid w:val="006B3812"/>
    <w:rsid w:val="006B3928"/>
    <w:rsid w:val="006B3A10"/>
    <w:rsid w:val="006B51E7"/>
    <w:rsid w:val="006B5B01"/>
    <w:rsid w:val="006B6099"/>
    <w:rsid w:val="006B629C"/>
    <w:rsid w:val="006B63E1"/>
    <w:rsid w:val="006B7042"/>
    <w:rsid w:val="006B76EB"/>
    <w:rsid w:val="006B7B3A"/>
    <w:rsid w:val="006B7B75"/>
    <w:rsid w:val="006B7C87"/>
    <w:rsid w:val="006C0278"/>
    <w:rsid w:val="006C0D32"/>
    <w:rsid w:val="006C1B72"/>
    <w:rsid w:val="006C1EA0"/>
    <w:rsid w:val="006C2523"/>
    <w:rsid w:val="006C3E28"/>
    <w:rsid w:val="006C43C8"/>
    <w:rsid w:val="006C43D2"/>
    <w:rsid w:val="006C4435"/>
    <w:rsid w:val="006C453B"/>
    <w:rsid w:val="006C581F"/>
    <w:rsid w:val="006C5F1F"/>
    <w:rsid w:val="006C60C8"/>
    <w:rsid w:val="006C63F9"/>
    <w:rsid w:val="006C657F"/>
    <w:rsid w:val="006C675D"/>
    <w:rsid w:val="006C67B0"/>
    <w:rsid w:val="006C6A36"/>
    <w:rsid w:val="006C6DA1"/>
    <w:rsid w:val="006C7B5A"/>
    <w:rsid w:val="006C7C32"/>
    <w:rsid w:val="006C7D0C"/>
    <w:rsid w:val="006D0AA5"/>
    <w:rsid w:val="006D0D7C"/>
    <w:rsid w:val="006D0F70"/>
    <w:rsid w:val="006D18D0"/>
    <w:rsid w:val="006D1C00"/>
    <w:rsid w:val="006D2353"/>
    <w:rsid w:val="006D27D9"/>
    <w:rsid w:val="006D33BD"/>
    <w:rsid w:val="006D35DF"/>
    <w:rsid w:val="006D3B45"/>
    <w:rsid w:val="006D3BEE"/>
    <w:rsid w:val="006D41AF"/>
    <w:rsid w:val="006D420F"/>
    <w:rsid w:val="006D4245"/>
    <w:rsid w:val="006D48F8"/>
    <w:rsid w:val="006D4BE2"/>
    <w:rsid w:val="006D5123"/>
    <w:rsid w:val="006D542E"/>
    <w:rsid w:val="006D5F5A"/>
    <w:rsid w:val="006D6689"/>
    <w:rsid w:val="006D67DB"/>
    <w:rsid w:val="006D6B17"/>
    <w:rsid w:val="006D6FCD"/>
    <w:rsid w:val="006D77BF"/>
    <w:rsid w:val="006D7A23"/>
    <w:rsid w:val="006D7A95"/>
    <w:rsid w:val="006D7DA7"/>
    <w:rsid w:val="006D7FAA"/>
    <w:rsid w:val="006E05BF"/>
    <w:rsid w:val="006E0EED"/>
    <w:rsid w:val="006E1252"/>
    <w:rsid w:val="006E12C3"/>
    <w:rsid w:val="006E2280"/>
    <w:rsid w:val="006E26F0"/>
    <w:rsid w:val="006E2AAB"/>
    <w:rsid w:val="006E2BA0"/>
    <w:rsid w:val="006E2E65"/>
    <w:rsid w:val="006E37C0"/>
    <w:rsid w:val="006E43B3"/>
    <w:rsid w:val="006E4BF4"/>
    <w:rsid w:val="006E4E80"/>
    <w:rsid w:val="006E4ECC"/>
    <w:rsid w:val="006E58A1"/>
    <w:rsid w:val="006E5C81"/>
    <w:rsid w:val="006E5D5B"/>
    <w:rsid w:val="006E62F4"/>
    <w:rsid w:val="006E6558"/>
    <w:rsid w:val="006E78E4"/>
    <w:rsid w:val="006E7A3A"/>
    <w:rsid w:val="006F0673"/>
    <w:rsid w:val="006F0891"/>
    <w:rsid w:val="006F14A3"/>
    <w:rsid w:val="006F1781"/>
    <w:rsid w:val="006F1BC3"/>
    <w:rsid w:val="006F24DF"/>
    <w:rsid w:val="006F2B96"/>
    <w:rsid w:val="006F2BD2"/>
    <w:rsid w:val="006F30DD"/>
    <w:rsid w:val="006F312C"/>
    <w:rsid w:val="006F31D7"/>
    <w:rsid w:val="006F3C39"/>
    <w:rsid w:val="006F3C65"/>
    <w:rsid w:val="006F4382"/>
    <w:rsid w:val="006F458C"/>
    <w:rsid w:val="006F4F41"/>
    <w:rsid w:val="006F654D"/>
    <w:rsid w:val="006F65B3"/>
    <w:rsid w:val="006F6A74"/>
    <w:rsid w:val="006F6B6E"/>
    <w:rsid w:val="00700A5B"/>
    <w:rsid w:val="00700DF1"/>
    <w:rsid w:val="007015CA"/>
    <w:rsid w:val="0070167F"/>
    <w:rsid w:val="0070186E"/>
    <w:rsid w:val="00701978"/>
    <w:rsid w:val="007019E3"/>
    <w:rsid w:val="00702776"/>
    <w:rsid w:val="00702ABC"/>
    <w:rsid w:val="00702F2A"/>
    <w:rsid w:val="0070367F"/>
    <w:rsid w:val="007038F6"/>
    <w:rsid w:val="00703D43"/>
    <w:rsid w:val="0070461E"/>
    <w:rsid w:val="0070488C"/>
    <w:rsid w:val="00704DAD"/>
    <w:rsid w:val="0070578C"/>
    <w:rsid w:val="007057A8"/>
    <w:rsid w:val="00705B33"/>
    <w:rsid w:val="007061E0"/>
    <w:rsid w:val="00707260"/>
    <w:rsid w:val="00707C0C"/>
    <w:rsid w:val="00707D14"/>
    <w:rsid w:val="0071004E"/>
    <w:rsid w:val="007104AD"/>
    <w:rsid w:val="00710FD4"/>
    <w:rsid w:val="00711A0F"/>
    <w:rsid w:val="00712AD9"/>
    <w:rsid w:val="00712D4E"/>
    <w:rsid w:val="00712E2A"/>
    <w:rsid w:val="00714298"/>
    <w:rsid w:val="00714767"/>
    <w:rsid w:val="0071481D"/>
    <w:rsid w:val="007148BA"/>
    <w:rsid w:val="0071578F"/>
    <w:rsid w:val="00715841"/>
    <w:rsid w:val="0071681A"/>
    <w:rsid w:val="00716BE6"/>
    <w:rsid w:val="007174AF"/>
    <w:rsid w:val="0071774A"/>
    <w:rsid w:val="00720660"/>
    <w:rsid w:val="00720746"/>
    <w:rsid w:val="00720B46"/>
    <w:rsid w:val="0072127D"/>
    <w:rsid w:val="00721505"/>
    <w:rsid w:val="00721BAE"/>
    <w:rsid w:val="0072291F"/>
    <w:rsid w:val="00722BC4"/>
    <w:rsid w:val="00723101"/>
    <w:rsid w:val="00723622"/>
    <w:rsid w:val="0072387F"/>
    <w:rsid w:val="00723882"/>
    <w:rsid w:val="00723ABC"/>
    <w:rsid w:val="0072466D"/>
    <w:rsid w:val="00724B99"/>
    <w:rsid w:val="00724F76"/>
    <w:rsid w:val="00725415"/>
    <w:rsid w:val="007255A6"/>
    <w:rsid w:val="007260F1"/>
    <w:rsid w:val="00726D04"/>
    <w:rsid w:val="00727183"/>
    <w:rsid w:val="007271AD"/>
    <w:rsid w:val="0072770B"/>
    <w:rsid w:val="00727E29"/>
    <w:rsid w:val="00727ECB"/>
    <w:rsid w:val="007308CB"/>
    <w:rsid w:val="00731188"/>
    <w:rsid w:val="0073218A"/>
    <w:rsid w:val="0073255F"/>
    <w:rsid w:val="00732B18"/>
    <w:rsid w:val="00733107"/>
    <w:rsid w:val="0073313C"/>
    <w:rsid w:val="0073342A"/>
    <w:rsid w:val="0073389E"/>
    <w:rsid w:val="00733DE0"/>
    <w:rsid w:val="00733EA3"/>
    <w:rsid w:val="007346EE"/>
    <w:rsid w:val="00734844"/>
    <w:rsid w:val="00734C03"/>
    <w:rsid w:val="00735456"/>
    <w:rsid w:val="00735707"/>
    <w:rsid w:val="00735812"/>
    <w:rsid w:val="0073585A"/>
    <w:rsid w:val="00735913"/>
    <w:rsid w:val="00735CDD"/>
    <w:rsid w:val="00735D82"/>
    <w:rsid w:val="0073635B"/>
    <w:rsid w:val="00736795"/>
    <w:rsid w:val="007369B9"/>
    <w:rsid w:val="00736C85"/>
    <w:rsid w:val="0073754D"/>
    <w:rsid w:val="00737C09"/>
    <w:rsid w:val="007400D7"/>
    <w:rsid w:val="007401C0"/>
    <w:rsid w:val="0074078A"/>
    <w:rsid w:val="00740E42"/>
    <w:rsid w:val="00740E9B"/>
    <w:rsid w:val="007412EE"/>
    <w:rsid w:val="00741436"/>
    <w:rsid w:val="00741FA1"/>
    <w:rsid w:val="007427B9"/>
    <w:rsid w:val="00742F5D"/>
    <w:rsid w:val="00743BDB"/>
    <w:rsid w:val="00743CA6"/>
    <w:rsid w:val="00743F08"/>
    <w:rsid w:val="00744970"/>
    <w:rsid w:val="00745260"/>
    <w:rsid w:val="007453EA"/>
    <w:rsid w:val="0074597E"/>
    <w:rsid w:val="00745BF5"/>
    <w:rsid w:val="00745D07"/>
    <w:rsid w:val="00746650"/>
    <w:rsid w:val="00746809"/>
    <w:rsid w:val="00747190"/>
    <w:rsid w:val="00747884"/>
    <w:rsid w:val="00747C17"/>
    <w:rsid w:val="00747EDE"/>
    <w:rsid w:val="007502F0"/>
    <w:rsid w:val="00750A06"/>
    <w:rsid w:val="00750DD6"/>
    <w:rsid w:val="0075126A"/>
    <w:rsid w:val="00751A25"/>
    <w:rsid w:val="00751BA8"/>
    <w:rsid w:val="007520B0"/>
    <w:rsid w:val="00752C27"/>
    <w:rsid w:val="00752F39"/>
    <w:rsid w:val="00753197"/>
    <w:rsid w:val="0075325A"/>
    <w:rsid w:val="0075438B"/>
    <w:rsid w:val="0075447E"/>
    <w:rsid w:val="0075475E"/>
    <w:rsid w:val="00754EF8"/>
    <w:rsid w:val="00755B7D"/>
    <w:rsid w:val="00755D5D"/>
    <w:rsid w:val="00755E22"/>
    <w:rsid w:val="007561C3"/>
    <w:rsid w:val="00756E68"/>
    <w:rsid w:val="00757141"/>
    <w:rsid w:val="007571D7"/>
    <w:rsid w:val="0075744C"/>
    <w:rsid w:val="00757867"/>
    <w:rsid w:val="00757911"/>
    <w:rsid w:val="00757C4E"/>
    <w:rsid w:val="00757EEC"/>
    <w:rsid w:val="0076007F"/>
    <w:rsid w:val="007607FF"/>
    <w:rsid w:val="00760E03"/>
    <w:rsid w:val="007610C5"/>
    <w:rsid w:val="007612B5"/>
    <w:rsid w:val="007617AA"/>
    <w:rsid w:val="0076193B"/>
    <w:rsid w:val="00761B93"/>
    <w:rsid w:val="00761CDC"/>
    <w:rsid w:val="00762051"/>
    <w:rsid w:val="007621C0"/>
    <w:rsid w:val="0076268B"/>
    <w:rsid w:val="00763320"/>
    <w:rsid w:val="00763A95"/>
    <w:rsid w:val="00765357"/>
    <w:rsid w:val="0076546A"/>
    <w:rsid w:val="007654AD"/>
    <w:rsid w:val="007654F9"/>
    <w:rsid w:val="00765B2A"/>
    <w:rsid w:val="00765FB7"/>
    <w:rsid w:val="0076652A"/>
    <w:rsid w:val="00766F66"/>
    <w:rsid w:val="0076722B"/>
    <w:rsid w:val="00767428"/>
    <w:rsid w:val="00767682"/>
    <w:rsid w:val="00767994"/>
    <w:rsid w:val="00767B48"/>
    <w:rsid w:val="0077008E"/>
    <w:rsid w:val="007701A8"/>
    <w:rsid w:val="0077058F"/>
    <w:rsid w:val="00770B8B"/>
    <w:rsid w:val="00770D2E"/>
    <w:rsid w:val="00771284"/>
    <w:rsid w:val="007712B0"/>
    <w:rsid w:val="007716A3"/>
    <w:rsid w:val="00771B32"/>
    <w:rsid w:val="00771FFB"/>
    <w:rsid w:val="007720D0"/>
    <w:rsid w:val="0077253E"/>
    <w:rsid w:val="0077272D"/>
    <w:rsid w:val="00772D1F"/>
    <w:rsid w:val="00773002"/>
    <w:rsid w:val="007731BE"/>
    <w:rsid w:val="007732C4"/>
    <w:rsid w:val="00773C3E"/>
    <w:rsid w:val="00774056"/>
    <w:rsid w:val="0077407A"/>
    <w:rsid w:val="00774435"/>
    <w:rsid w:val="00775165"/>
    <w:rsid w:val="0077544B"/>
    <w:rsid w:val="007757BB"/>
    <w:rsid w:val="00775CF2"/>
    <w:rsid w:val="00775FD8"/>
    <w:rsid w:val="007760C3"/>
    <w:rsid w:val="0077635B"/>
    <w:rsid w:val="00776407"/>
    <w:rsid w:val="00776A53"/>
    <w:rsid w:val="00776B29"/>
    <w:rsid w:val="00777DC6"/>
    <w:rsid w:val="00777DCF"/>
    <w:rsid w:val="00777DDC"/>
    <w:rsid w:val="007804C9"/>
    <w:rsid w:val="0078058F"/>
    <w:rsid w:val="007809A1"/>
    <w:rsid w:val="00780C50"/>
    <w:rsid w:val="00781461"/>
    <w:rsid w:val="007818CF"/>
    <w:rsid w:val="00781DD6"/>
    <w:rsid w:val="007821D5"/>
    <w:rsid w:val="00782950"/>
    <w:rsid w:val="00782E57"/>
    <w:rsid w:val="0078306B"/>
    <w:rsid w:val="00783838"/>
    <w:rsid w:val="00783899"/>
    <w:rsid w:val="0078401C"/>
    <w:rsid w:val="007855E1"/>
    <w:rsid w:val="00787947"/>
    <w:rsid w:val="00787BE6"/>
    <w:rsid w:val="00790722"/>
    <w:rsid w:val="00790F1D"/>
    <w:rsid w:val="00791AFD"/>
    <w:rsid w:val="00791B5A"/>
    <w:rsid w:val="00791FB4"/>
    <w:rsid w:val="00792050"/>
    <w:rsid w:val="007922C0"/>
    <w:rsid w:val="007924D2"/>
    <w:rsid w:val="0079257F"/>
    <w:rsid w:val="0079288A"/>
    <w:rsid w:val="0079309A"/>
    <w:rsid w:val="007931A1"/>
    <w:rsid w:val="00795239"/>
    <w:rsid w:val="00795B82"/>
    <w:rsid w:val="00795F6D"/>
    <w:rsid w:val="0079635C"/>
    <w:rsid w:val="00797009"/>
    <w:rsid w:val="0079777A"/>
    <w:rsid w:val="00797879"/>
    <w:rsid w:val="00797B73"/>
    <w:rsid w:val="007A00DC"/>
    <w:rsid w:val="007A00F9"/>
    <w:rsid w:val="007A0247"/>
    <w:rsid w:val="007A03EF"/>
    <w:rsid w:val="007A04B6"/>
    <w:rsid w:val="007A057F"/>
    <w:rsid w:val="007A091D"/>
    <w:rsid w:val="007A0A41"/>
    <w:rsid w:val="007A0D2A"/>
    <w:rsid w:val="007A1C8B"/>
    <w:rsid w:val="007A1DD6"/>
    <w:rsid w:val="007A47A1"/>
    <w:rsid w:val="007A4935"/>
    <w:rsid w:val="007A4A3C"/>
    <w:rsid w:val="007A4B4F"/>
    <w:rsid w:val="007A4CAB"/>
    <w:rsid w:val="007A4FD6"/>
    <w:rsid w:val="007A59F1"/>
    <w:rsid w:val="007A5D23"/>
    <w:rsid w:val="007A5D56"/>
    <w:rsid w:val="007A6370"/>
    <w:rsid w:val="007A63F0"/>
    <w:rsid w:val="007A7437"/>
    <w:rsid w:val="007A7F5C"/>
    <w:rsid w:val="007B040C"/>
    <w:rsid w:val="007B0825"/>
    <w:rsid w:val="007B0ED2"/>
    <w:rsid w:val="007B140A"/>
    <w:rsid w:val="007B1AD1"/>
    <w:rsid w:val="007B2B90"/>
    <w:rsid w:val="007B3056"/>
    <w:rsid w:val="007B35BB"/>
    <w:rsid w:val="007B3656"/>
    <w:rsid w:val="007B3ABC"/>
    <w:rsid w:val="007B4646"/>
    <w:rsid w:val="007B536E"/>
    <w:rsid w:val="007B55E7"/>
    <w:rsid w:val="007B5763"/>
    <w:rsid w:val="007B5EF6"/>
    <w:rsid w:val="007B684B"/>
    <w:rsid w:val="007B685D"/>
    <w:rsid w:val="007B68D0"/>
    <w:rsid w:val="007B6ADE"/>
    <w:rsid w:val="007B7907"/>
    <w:rsid w:val="007C017D"/>
    <w:rsid w:val="007C0356"/>
    <w:rsid w:val="007C036A"/>
    <w:rsid w:val="007C0FDA"/>
    <w:rsid w:val="007C109B"/>
    <w:rsid w:val="007C181D"/>
    <w:rsid w:val="007C2A98"/>
    <w:rsid w:val="007C3560"/>
    <w:rsid w:val="007C4A19"/>
    <w:rsid w:val="007C514A"/>
    <w:rsid w:val="007C5D09"/>
    <w:rsid w:val="007C5F89"/>
    <w:rsid w:val="007C6D66"/>
    <w:rsid w:val="007C7A78"/>
    <w:rsid w:val="007C7E86"/>
    <w:rsid w:val="007D01D6"/>
    <w:rsid w:val="007D0590"/>
    <w:rsid w:val="007D06DE"/>
    <w:rsid w:val="007D0B23"/>
    <w:rsid w:val="007D2433"/>
    <w:rsid w:val="007D28AB"/>
    <w:rsid w:val="007D3216"/>
    <w:rsid w:val="007D3584"/>
    <w:rsid w:val="007D392A"/>
    <w:rsid w:val="007D408E"/>
    <w:rsid w:val="007D4B2E"/>
    <w:rsid w:val="007D50D1"/>
    <w:rsid w:val="007D510D"/>
    <w:rsid w:val="007D5237"/>
    <w:rsid w:val="007D5400"/>
    <w:rsid w:val="007D57B9"/>
    <w:rsid w:val="007D6098"/>
    <w:rsid w:val="007D61F4"/>
    <w:rsid w:val="007D6468"/>
    <w:rsid w:val="007D676D"/>
    <w:rsid w:val="007D6BD1"/>
    <w:rsid w:val="007D726F"/>
    <w:rsid w:val="007D7B78"/>
    <w:rsid w:val="007D7F0C"/>
    <w:rsid w:val="007E07E5"/>
    <w:rsid w:val="007E0AFC"/>
    <w:rsid w:val="007E0BBD"/>
    <w:rsid w:val="007E0F9A"/>
    <w:rsid w:val="007E1110"/>
    <w:rsid w:val="007E1847"/>
    <w:rsid w:val="007E1934"/>
    <w:rsid w:val="007E1ABF"/>
    <w:rsid w:val="007E1D3B"/>
    <w:rsid w:val="007E1F99"/>
    <w:rsid w:val="007E2224"/>
    <w:rsid w:val="007E2409"/>
    <w:rsid w:val="007E2492"/>
    <w:rsid w:val="007E2F23"/>
    <w:rsid w:val="007E2F84"/>
    <w:rsid w:val="007E3615"/>
    <w:rsid w:val="007E3A14"/>
    <w:rsid w:val="007E467C"/>
    <w:rsid w:val="007E4701"/>
    <w:rsid w:val="007E4C30"/>
    <w:rsid w:val="007E4CD3"/>
    <w:rsid w:val="007E5121"/>
    <w:rsid w:val="007E55C8"/>
    <w:rsid w:val="007E59C0"/>
    <w:rsid w:val="007E5BE6"/>
    <w:rsid w:val="007E6317"/>
    <w:rsid w:val="007E64AD"/>
    <w:rsid w:val="007E6789"/>
    <w:rsid w:val="007E6A81"/>
    <w:rsid w:val="007E6B33"/>
    <w:rsid w:val="007E7251"/>
    <w:rsid w:val="007E741D"/>
    <w:rsid w:val="007E76BD"/>
    <w:rsid w:val="007E76D1"/>
    <w:rsid w:val="007E76F6"/>
    <w:rsid w:val="007E78E6"/>
    <w:rsid w:val="007F0134"/>
    <w:rsid w:val="007F035A"/>
    <w:rsid w:val="007F0369"/>
    <w:rsid w:val="007F042D"/>
    <w:rsid w:val="007F0A63"/>
    <w:rsid w:val="007F101B"/>
    <w:rsid w:val="007F125E"/>
    <w:rsid w:val="007F1263"/>
    <w:rsid w:val="007F12D5"/>
    <w:rsid w:val="007F2A10"/>
    <w:rsid w:val="007F2A84"/>
    <w:rsid w:val="007F2D5D"/>
    <w:rsid w:val="007F3A0C"/>
    <w:rsid w:val="007F4788"/>
    <w:rsid w:val="007F4EE0"/>
    <w:rsid w:val="007F5F0E"/>
    <w:rsid w:val="007F6196"/>
    <w:rsid w:val="007F6B4B"/>
    <w:rsid w:val="007F6F6B"/>
    <w:rsid w:val="007F71DE"/>
    <w:rsid w:val="007F73B9"/>
    <w:rsid w:val="007F745F"/>
    <w:rsid w:val="007F7683"/>
    <w:rsid w:val="007F782C"/>
    <w:rsid w:val="007F78D2"/>
    <w:rsid w:val="007F7BAD"/>
    <w:rsid w:val="007F7FB0"/>
    <w:rsid w:val="00800945"/>
    <w:rsid w:val="00800C80"/>
    <w:rsid w:val="00800F09"/>
    <w:rsid w:val="00800F9C"/>
    <w:rsid w:val="00800FF0"/>
    <w:rsid w:val="008012B7"/>
    <w:rsid w:val="00801368"/>
    <w:rsid w:val="00801778"/>
    <w:rsid w:val="00802671"/>
    <w:rsid w:val="008026D2"/>
    <w:rsid w:val="008029FB"/>
    <w:rsid w:val="00802DC2"/>
    <w:rsid w:val="0080400F"/>
    <w:rsid w:val="00804CBF"/>
    <w:rsid w:val="008058D5"/>
    <w:rsid w:val="00805F8B"/>
    <w:rsid w:val="008061DD"/>
    <w:rsid w:val="00806A77"/>
    <w:rsid w:val="00807A46"/>
    <w:rsid w:val="00810491"/>
    <w:rsid w:val="00810BC5"/>
    <w:rsid w:val="00810BC6"/>
    <w:rsid w:val="00810C5D"/>
    <w:rsid w:val="00810D3F"/>
    <w:rsid w:val="00810ED1"/>
    <w:rsid w:val="008112AE"/>
    <w:rsid w:val="0081137B"/>
    <w:rsid w:val="00811ED7"/>
    <w:rsid w:val="008126E8"/>
    <w:rsid w:val="00812A24"/>
    <w:rsid w:val="00812B8E"/>
    <w:rsid w:val="00812D46"/>
    <w:rsid w:val="00812E36"/>
    <w:rsid w:val="00812FA8"/>
    <w:rsid w:val="00813805"/>
    <w:rsid w:val="00813C7F"/>
    <w:rsid w:val="00813D94"/>
    <w:rsid w:val="00814203"/>
    <w:rsid w:val="008142DD"/>
    <w:rsid w:val="00814D44"/>
    <w:rsid w:val="008152A4"/>
    <w:rsid w:val="00815364"/>
    <w:rsid w:val="00815D0F"/>
    <w:rsid w:val="00815FE5"/>
    <w:rsid w:val="00815FEB"/>
    <w:rsid w:val="008165FC"/>
    <w:rsid w:val="00816777"/>
    <w:rsid w:val="00816EDC"/>
    <w:rsid w:val="0081737A"/>
    <w:rsid w:val="00817427"/>
    <w:rsid w:val="00817950"/>
    <w:rsid w:val="00817956"/>
    <w:rsid w:val="00820CE2"/>
    <w:rsid w:val="00821941"/>
    <w:rsid w:val="00821997"/>
    <w:rsid w:val="00821E5D"/>
    <w:rsid w:val="00822ED3"/>
    <w:rsid w:val="00823081"/>
    <w:rsid w:val="00823D72"/>
    <w:rsid w:val="00824D52"/>
    <w:rsid w:val="00824F37"/>
    <w:rsid w:val="0082526A"/>
    <w:rsid w:val="008252E9"/>
    <w:rsid w:val="008255FB"/>
    <w:rsid w:val="008256EE"/>
    <w:rsid w:val="008257A6"/>
    <w:rsid w:val="00825BCF"/>
    <w:rsid w:val="00825D47"/>
    <w:rsid w:val="008266CC"/>
    <w:rsid w:val="00826C6E"/>
    <w:rsid w:val="0082738B"/>
    <w:rsid w:val="00827746"/>
    <w:rsid w:val="00827B08"/>
    <w:rsid w:val="00827ED2"/>
    <w:rsid w:val="00830B68"/>
    <w:rsid w:val="008312D0"/>
    <w:rsid w:val="008313B1"/>
    <w:rsid w:val="008317E7"/>
    <w:rsid w:val="00832075"/>
    <w:rsid w:val="0083281E"/>
    <w:rsid w:val="00832F8B"/>
    <w:rsid w:val="00833992"/>
    <w:rsid w:val="00834125"/>
    <w:rsid w:val="008344F6"/>
    <w:rsid w:val="00834A69"/>
    <w:rsid w:val="00834D95"/>
    <w:rsid w:val="00834F3B"/>
    <w:rsid w:val="00835930"/>
    <w:rsid w:val="0083601E"/>
    <w:rsid w:val="00836416"/>
    <w:rsid w:val="00836750"/>
    <w:rsid w:val="00836B43"/>
    <w:rsid w:val="00836ED6"/>
    <w:rsid w:val="008374DE"/>
    <w:rsid w:val="00837C90"/>
    <w:rsid w:val="00840051"/>
    <w:rsid w:val="0084011C"/>
    <w:rsid w:val="0084055C"/>
    <w:rsid w:val="0084067A"/>
    <w:rsid w:val="008406DE"/>
    <w:rsid w:val="008408CB"/>
    <w:rsid w:val="00840A46"/>
    <w:rsid w:val="008410C6"/>
    <w:rsid w:val="00842EA6"/>
    <w:rsid w:val="00843334"/>
    <w:rsid w:val="00843739"/>
    <w:rsid w:val="00843805"/>
    <w:rsid w:val="00843C1F"/>
    <w:rsid w:val="00843D6A"/>
    <w:rsid w:val="00844314"/>
    <w:rsid w:val="008447A0"/>
    <w:rsid w:val="00844819"/>
    <w:rsid w:val="00844A3D"/>
    <w:rsid w:val="00844F23"/>
    <w:rsid w:val="0084536B"/>
    <w:rsid w:val="00846E64"/>
    <w:rsid w:val="00846FF7"/>
    <w:rsid w:val="008474BC"/>
    <w:rsid w:val="00847DB1"/>
    <w:rsid w:val="00850179"/>
    <w:rsid w:val="00850842"/>
    <w:rsid w:val="008508C9"/>
    <w:rsid w:val="0085112A"/>
    <w:rsid w:val="00851140"/>
    <w:rsid w:val="0085146F"/>
    <w:rsid w:val="00851A5D"/>
    <w:rsid w:val="00851CC3"/>
    <w:rsid w:val="00852285"/>
    <w:rsid w:val="00852437"/>
    <w:rsid w:val="00852AFD"/>
    <w:rsid w:val="0085377B"/>
    <w:rsid w:val="00853C2D"/>
    <w:rsid w:val="008542DF"/>
    <w:rsid w:val="00854329"/>
    <w:rsid w:val="00854873"/>
    <w:rsid w:val="00854F18"/>
    <w:rsid w:val="008563AF"/>
    <w:rsid w:val="0085659D"/>
    <w:rsid w:val="00856C16"/>
    <w:rsid w:val="008574D6"/>
    <w:rsid w:val="00857819"/>
    <w:rsid w:val="008578E7"/>
    <w:rsid w:val="0085798D"/>
    <w:rsid w:val="00857B62"/>
    <w:rsid w:val="00857B9D"/>
    <w:rsid w:val="0086010C"/>
    <w:rsid w:val="00860283"/>
    <w:rsid w:val="008608FF"/>
    <w:rsid w:val="0086105D"/>
    <w:rsid w:val="008612CA"/>
    <w:rsid w:val="00861873"/>
    <w:rsid w:val="00862038"/>
    <w:rsid w:val="00862451"/>
    <w:rsid w:val="00862572"/>
    <w:rsid w:val="00862770"/>
    <w:rsid w:val="0086284D"/>
    <w:rsid w:val="008634E1"/>
    <w:rsid w:val="00863703"/>
    <w:rsid w:val="00863CCE"/>
    <w:rsid w:val="00863DBD"/>
    <w:rsid w:val="00864098"/>
    <w:rsid w:val="0086440A"/>
    <w:rsid w:val="008648CB"/>
    <w:rsid w:val="00864C54"/>
    <w:rsid w:val="00865B29"/>
    <w:rsid w:val="0086637A"/>
    <w:rsid w:val="00866A5C"/>
    <w:rsid w:val="00866E48"/>
    <w:rsid w:val="008674F0"/>
    <w:rsid w:val="00867C06"/>
    <w:rsid w:val="008701D8"/>
    <w:rsid w:val="00870557"/>
    <w:rsid w:val="00870ED5"/>
    <w:rsid w:val="008711D1"/>
    <w:rsid w:val="00871414"/>
    <w:rsid w:val="00871B54"/>
    <w:rsid w:val="008721E7"/>
    <w:rsid w:val="00872753"/>
    <w:rsid w:val="00872B45"/>
    <w:rsid w:val="00872D28"/>
    <w:rsid w:val="00873093"/>
    <w:rsid w:val="0087355C"/>
    <w:rsid w:val="00874139"/>
    <w:rsid w:val="00874A4C"/>
    <w:rsid w:val="00874C97"/>
    <w:rsid w:val="00874D5E"/>
    <w:rsid w:val="00875314"/>
    <w:rsid w:val="00875C13"/>
    <w:rsid w:val="008764CF"/>
    <w:rsid w:val="0087660E"/>
    <w:rsid w:val="00876E91"/>
    <w:rsid w:val="00877A6A"/>
    <w:rsid w:val="00877C09"/>
    <w:rsid w:val="00877EC8"/>
    <w:rsid w:val="008801E7"/>
    <w:rsid w:val="0088027A"/>
    <w:rsid w:val="00880570"/>
    <w:rsid w:val="00880E7D"/>
    <w:rsid w:val="00881161"/>
    <w:rsid w:val="00881EA4"/>
    <w:rsid w:val="008834BD"/>
    <w:rsid w:val="008841E4"/>
    <w:rsid w:val="00884463"/>
    <w:rsid w:val="008845EF"/>
    <w:rsid w:val="008856C5"/>
    <w:rsid w:val="00885A00"/>
    <w:rsid w:val="008861D6"/>
    <w:rsid w:val="0088685C"/>
    <w:rsid w:val="00886BC9"/>
    <w:rsid w:val="008871CB"/>
    <w:rsid w:val="00890016"/>
    <w:rsid w:val="0089086C"/>
    <w:rsid w:val="00890BDD"/>
    <w:rsid w:val="008913A8"/>
    <w:rsid w:val="008914DC"/>
    <w:rsid w:val="0089165D"/>
    <w:rsid w:val="00891C69"/>
    <w:rsid w:val="00891D00"/>
    <w:rsid w:val="00891E0D"/>
    <w:rsid w:val="00891EDA"/>
    <w:rsid w:val="00892036"/>
    <w:rsid w:val="008923B6"/>
    <w:rsid w:val="00892621"/>
    <w:rsid w:val="008926A4"/>
    <w:rsid w:val="0089292C"/>
    <w:rsid w:val="008929F4"/>
    <w:rsid w:val="00892C7F"/>
    <w:rsid w:val="00892F35"/>
    <w:rsid w:val="00893176"/>
    <w:rsid w:val="008933A2"/>
    <w:rsid w:val="00893693"/>
    <w:rsid w:val="00893F62"/>
    <w:rsid w:val="0089434B"/>
    <w:rsid w:val="008945EB"/>
    <w:rsid w:val="00894830"/>
    <w:rsid w:val="0089502D"/>
    <w:rsid w:val="0089533C"/>
    <w:rsid w:val="00895491"/>
    <w:rsid w:val="008954A4"/>
    <w:rsid w:val="00896390"/>
    <w:rsid w:val="0089669C"/>
    <w:rsid w:val="00897D62"/>
    <w:rsid w:val="008A11FA"/>
    <w:rsid w:val="008A12DB"/>
    <w:rsid w:val="008A15C2"/>
    <w:rsid w:val="008A19A0"/>
    <w:rsid w:val="008A1B32"/>
    <w:rsid w:val="008A1BF9"/>
    <w:rsid w:val="008A2D93"/>
    <w:rsid w:val="008A2FE5"/>
    <w:rsid w:val="008A31B3"/>
    <w:rsid w:val="008A4073"/>
    <w:rsid w:val="008A4961"/>
    <w:rsid w:val="008A49B4"/>
    <w:rsid w:val="008A4B2B"/>
    <w:rsid w:val="008A4E65"/>
    <w:rsid w:val="008A50B6"/>
    <w:rsid w:val="008A55DD"/>
    <w:rsid w:val="008A62DF"/>
    <w:rsid w:val="008A6486"/>
    <w:rsid w:val="008A75E0"/>
    <w:rsid w:val="008A7BDF"/>
    <w:rsid w:val="008B0287"/>
    <w:rsid w:val="008B0639"/>
    <w:rsid w:val="008B0812"/>
    <w:rsid w:val="008B090E"/>
    <w:rsid w:val="008B0CCF"/>
    <w:rsid w:val="008B12FF"/>
    <w:rsid w:val="008B1734"/>
    <w:rsid w:val="008B1C87"/>
    <w:rsid w:val="008B1EE3"/>
    <w:rsid w:val="008B293F"/>
    <w:rsid w:val="008B3608"/>
    <w:rsid w:val="008B3C0E"/>
    <w:rsid w:val="008B3CD7"/>
    <w:rsid w:val="008B5217"/>
    <w:rsid w:val="008B56E3"/>
    <w:rsid w:val="008B5E80"/>
    <w:rsid w:val="008B5F0D"/>
    <w:rsid w:val="008B627A"/>
    <w:rsid w:val="008B6A20"/>
    <w:rsid w:val="008B6FAA"/>
    <w:rsid w:val="008B7258"/>
    <w:rsid w:val="008B7C52"/>
    <w:rsid w:val="008B7DFF"/>
    <w:rsid w:val="008C0440"/>
    <w:rsid w:val="008C04E4"/>
    <w:rsid w:val="008C074E"/>
    <w:rsid w:val="008C1EE3"/>
    <w:rsid w:val="008C2A26"/>
    <w:rsid w:val="008C30C9"/>
    <w:rsid w:val="008C33E8"/>
    <w:rsid w:val="008C352B"/>
    <w:rsid w:val="008C367C"/>
    <w:rsid w:val="008C36D0"/>
    <w:rsid w:val="008C3953"/>
    <w:rsid w:val="008C3AE0"/>
    <w:rsid w:val="008C3EE4"/>
    <w:rsid w:val="008C4BEF"/>
    <w:rsid w:val="008C4DD8"/>
    <w:rsid w:val="008C5045"/>
    <w:rsid w:val="008C5B93"/>
    <w:rsid w:val="008C66C3"/>
    <w:rsid w:val="008C6AF8"/>
    <w:rsid w:val="008C7C0E"/>
    <w:rsid w:val="008D0D19"/>
    <w:rsid w:val="008D14CD"/>
    <w:rsid w:val="008D295A"/>
    <w:rsid w:val="008D2A05"/>
    <w:rsid w:val="008D3574"/>
    <w:rsid w:val="008D3966"/>
    <w:rsid w:val="008D4310"/>
    <w:rsid w:val="008D465F"/>
    <w:rsid w:val="008D4729"/>
    <w:rsid w:val="008D4ADA"/>
    <w:rsid w:val="008D5169"/>
    <w:rsid w:val="008D5FF1"/>
    <w:rsid w:val="008D650D"/>
    <w:rsid w:val="008D6B28"/>
    <w:rsid w:val="008D6DED"/>
    <w:rsid w:val="008D7AB0"/>
    <w:rsid w:val="008E09FA"/>
    <w:rsid w:val="008E1088"/>
    <w:rsid w:val="008E1273"/>
    <w:rsid w:val="008E21B9"/>
    <w:rsid w:val="008E2B5D"/>
    <w:rsid w:val="008E2BE2"/>
    <w:rsid w:val="008E2FB9"/>
    <w:rsid w:val="008E32C4"/>
    <w:rsid w:val="008E41B3"/>
    <w:rsid w:val="008E4B66"/>
    <w:rsid w:val="008E4C52"/>
    <w:rsid w:val="008E50C7"/>
    <w:rsid w:val="008E51A5"/>
    <w:rsid w:val="008E5802"/>
    <w:rsid w:val="008E5AB0"/>
    <w:rsid w:val="008E5BE7"/>
    <w:rsid w:val="008E5E28"/>
    <w:rsid w:val="008E5F4E"/>
    <w:rsid w:val="008E61D8"/>
    <w:rsid w:val="008E690B"/>
    <w:rsid w:val="008E6F32"/>
    <w:rsid w:val="008E717D"/>
    <w:rsid w:val="008E7327"/>
    <w:rsid w:val="008E74B8"/>
    <w:rsid w:val="008E7BCF"/>
    <w:rsid w:val="008E7D7F"/>
    <w:rsid w:val="008E7F88"/>
    <w:rsid w:val="008F0624"/>
    <w:rsid w:val="008F0D53"/>
    <w:rsid w:val="008F194B"/>
    <w:rsid w:val="008F1F03"/>
    <w:rsid w:val="008F233D"/>
    <w:rsid w:val="008F2FEF"/>
    <w:rsid w:val="008F38A8"/>
    <w:rsid w:val="008F3DAE"/>
    <w:rsid w:val="008F402B"/>
    <w:rsid w:val="008F4388"/>
    <w:rsid w:val="008F43EA"/>
    <w:rsid w:val="008F4581"/>
    <w:rsid w:val="008F48D7"/>
    <w:rsid w:val="008F4A49"/>
    <w:rsid w:val="008F4B7C"/>
    <w:rsid w:val="008F4D9F"/>
    <w:rsid w:val="008F4DB5"/>
    <w:rsid w:val="008F5C8C"/>
    <w:rsid w:val="008F5F0A"/>
    <w:rsid w:val="008F66AE"/>
    <w:rsid w:val="008F6950"/>
    <w:rsid w:val="008F6BC7"/>
    <w:rsid w:val="008F71CE"/>
    <w:rsid w:val="008F74E3"/>
    <w:rsid w:val="008F7623"/>
    <w:rsid w:val="008F7786"/>
    <w:rsid w:val="008F78A4"/>
    <w:rsid w:val="008F7CCB"/>
    <w:rsid w:val="008F7DEB"/>
    <w:rsid w:val="00900BC3"/>
    <w:rsid w:val="00901166"/>
    <w:rsid w:val="00901284"/>
    <w:rsid w:val="009012B3"/>
    <w:rsid w:val="009017E5"/>
    <w:rsid w:val="00901A67"/>
    <w:rsid w:val="00901D3B"/>
    <w:rsid w:val="00901DB3"/>
    <w:rsid w:val="00901E0F"/>
    <w:rsid w:val="00901F03"/>
    <w:rsid w:val="009022FB"/>
    <w:rsid w:val="00902383"/>
    <w:rsid w:val="00902868"/>
    <w:rsid w:val="00902E91"/>
    <w:rsid w:val="009034EC"/>
    <w:rsid w:val="00903B7B"/>
    <w:rsid w:val="00903DBB"/>
    <w:rsid w:val="00903DCC"/>
    <w:rsid w:val="00904745"/>
    <w:rsid w:val="00904BF8"/>
    <w:rsid w:val="00904E62"/>
    <w:rsid w:val="00904F15"/>
    <w:rsid w:val="009053C6"/>
    <w:rsid w:val="00905BC0"/>
    <w:rsid w:val="00906682"/>
    <w:rsid w:val="0090685B"/>
    <w:rsid w:val="00907262"/>
    <w:rsid w:val="00907314"/>
    <w:rsid w:val="00907A5E"/>
    <w:rsid w:val="00907E1D"/>
    <w:rsid w:val="009103B7"/>
    <w:rsid w:val="00910528"/>
    <w:rsid w:val="00912072"/>
    <w:rsid w:val="00912435"/>
    <w:rsid w:val="009124A5"/>
    <w:rsid w:val="009126E9"/>
    <w:rsid w:val="009127FC"/>
    <w:rsid w:val="00912A9C"/>
    <w:rsid w:val="00912AEF"/>
    <w:rsid w:val="00912E10"/>
    <w:rsid w:val="00912FBE"/>
    <w:rsid w:val="009130F7"/>
    <w:rsid w:val="00913318"/>
    <w:rsid w:val="00913360"/>
    <w:rsid w:val="009133AE"/>
    <w:rsid w:val="0091357C"/>
    <w:rsid w:val="009137F4"/>
    <w:rsid w:val="009137FE"/>
    <w:rsid w:val="009139FA"/>
    <w:rsid w:val="00913FF9"/>
    <w:rsid w:val="00914D08"/>
    <w:rsid w:val="009151D8"/>
    <w:rsid w:val="00915263"/>
    <w:rsid w:val="00915CE2"/>
    <w:rsid w:val="00915DD5"/>
    <w:rsid w:val="00916348"/>
    <w:rsid w:val="00916359"/>
    <w:rsid w:val="00916888"/>
    <w:rsid w:val="00916DCB"/>
    <w:rsid w:val="00916F20"/>
    <w:rsid w:val="0091711D"/>
    <w:rsid w:val="00917358"/>
    <w:rsid w:val="00917A98"/>
    <w:rsid w:val="00917ED0"/>
    <w:rsid w:val="00920187"/>
    <w:rsid w:val="0092058F"/>
    <w:rsid w:val="0092071A"/>
    <w:rsid w:val="009207AA"/>
    <w:rsid w:val="00920B71"/>
    <w:rsid w:val="00921B57"/>
    <w:rsid w:val="00921EB5"/>
    <w:rsid w:val="0092255C"/>
    <w:rsid w:val="00922598"/>
    <w:rsid w:val="009225AB"/>
    <w:rsid w:val="00922793"/>
    <w:rsid w:val="00922D5E"/>
    <w:rsid w:val="00922F13"/>
    <w:rsid w:val="0092355C"/>
    <w:rsid w:val="00923761"/>
    <w:rsid w:val="00923DE8"/>
    <w:rsid w:val="00924002"/>
    <w:rsid w:val="0092452F"/>
    <w:rsid w:val="0092566F"/>
    <w:rsid w:val="00925C27"/>
    <w:rsid w:val="00925D1C"/>
    <w:rsid w:val="00926089"/>
    <w:rsid w:val="009265A3"/>
    <w:rsid w:val="00926D4F"/>
    <w:rsid w:val="00927604"/>
    <w:rsid w:val="009277CA"/>
    <w:rsid w:val="00927D2B"/>
    <w:rsid w:val="00930B26"/>
    <w:rsid w:val="00931071"/>
    <w:rsid w:val="009315A6"/>
    <w:rsid w:val="009315CE"/>
    <w:rsid w:val="00931970"/>
    <w:rsid w:val="00931F18"/>
    <w:rsid w:val="00932474"/>
    <w:rsid w:val="009330B9"/>
    <w:rsid w:val="00934089"/>
    <w:rsid w:val="009342E4"/>
    <w:rsid w:val="00934A7E"/>
    <w:rsid w:val="00934DE2"/>
    <w:rsid w:val="0093566C"/>
    <w:rsid w:val="009357B5"/>
    <w:rsid w:val="00935C5F"/>
    <w:rsid w:val="00935D42"/>
    <w:rsid w:val="00935FD0"/>
    <w:rsid w:val="00936C0C"/>
    <w:rsid w:val="00936C49"/>
    <w:rsid w:val="00936DE4"/>
    <w:rsid w:val="009370EF"/>
    <w:rsid w:val="00937A8E"/>
    <w:rsid w:val="009406EE"/>
    <w:rsid w:val="00940824"/>
    <w:rsid w:val="00941741"/>
    <w:rsid w:val="00941970"/>
    <w:rsid w:val="009419F8"/>
    <w:rsid w:val="009421B6"/>
    <w:rsid w:val="0094220F"/>
    <w:rsid w:val="00942D73"/>
    <w:rsid w:val="00942E93"/>
    <w:rsid w:val="009430B3"/>
    <w:rsid w:val="009436D8"/>
    <w:rsid w:val="009442B7"/>
    <w:rsid w:val="0094470B"/>
    <w:rsid w:val="0094528F"/>
    <w:rsid w:val="00945C25"/>
    <w:rsid w:val="00946577"/>
    <w:rsid w:val="0094665F"/>
    <w:rsid w:val="00946C19"/>
    <w:rsid w:val="00946E06"/>
    <w:rsid w:val="00947300"/>
    <w:rsid w:val="00947A85"/>
    <w:rsid w:val="00947FAC"/>
    <w:rsid w:val="00950342"/>
    <w:rsid w:val="009503A7"/>
    <w:rsid w:val="00950CCE"/>
    <w:rsid w:val="00950FF8"/>
    <w:rsid w:val="00951111"/>
    <w:rsid w:val="00951454"/>
    <w:rsid w:val="00951525"/>
    <w:rsid w:val="00951931"/>
    <w:rsid w:val="00951E51"/>
    <w:rsid w:val="00952028"/>
    <w:rsid w:val="00952BD6"/>
    <w:rsid w:val="00952C62"/>
    <w:rsid w:val="009530F3"/>
    <w:rsid w:val="009535DF"/>
    <w:rsid w:val="00953DCC"/>
    <w:rsid w:val="00953FA2"/>
    <w:rsid w:val="00954374"/>
    <w:rsid w:val="009543FA"/>
    <w:rsid w:val="009546DC"/>
    <w:rsid w:val="00954C64"/>
    <w:rsid w:val="00955020"/>
    <w:rsid w:val="00956942"/>
    <w:rsid w:val="00956AF6"/>
    <w:rsid w:val="0095738B"/>
    <w:rsid w:val="009573F8"/>
    <w:rsid w:val="00957947"/>
    <w:rsid w:val="00957EBD"/>
    <w:rsid w:val="00960891"/>
    <w:rsid w:val="00960B75"/>
    <w:rsid w:val="00960C44"/>
    <w:rsid w:val="00960C92"/>
    <w:rsid w:val="009614E5"/>
    <w:rsid w:val="00962184"/>
    <w:rsid w:val="009624BA"/>
    <w:rsid w:val="00962529"/>
    <w:rsid w:val="00962971"/>
    <w:rsid w:val="00962F7D"/>
    <w:rsid w:val="0096400B"/>
    <w:rsid w:val="009643F7"/>
    <w:rsid w:val="00964544"/>
    <w:rsid w:val="00964D22"/>
    <w:rsid w:val="00964EA3"/>
    <w:rsid w:val="00964ED8"/>
    <w:rsid w:val="009651B7"/>
    <w:rsid w:val="00965229"/>
    <w:rsid w:val="009658DC"/>
    <w:rsid w:val="0096709D"/>
    <w:rsid w:val="00967138"/>
    <w:rsid w:val="0096728E"/>
    <w:rsid w:val="00967330"/>
    <w:rsid w:val="00967355"/>
    <w:rsid w:val="0096748D"/>
    <w:rsid w:val="00967D4F"/>
    <w:rsid w:val="00967ED3"/>
    <w:rsid w:val="00970C63"/>
    <w:rsid w:val="009710B1"/>
    <w:rsid w:val="009715FF"/>
    <w:rsid w:val="00971B05"/>
    <w:rsid w:val="00971CE1"/>
    <w:rsid w:val="00972DAE"/>
    <w:rsid w:val="009730FF"/>
    <w:rsid w:val="0097328E"/>
    <w:rsid w:val="00973437"/>
    <w:rsid w:val="00973E87"/>
    <w:rsid w:val="009749D3"/>
    <w:rsid w:val="00974E84"/>
    <w:rsid w:val="009751C0"/>
    <w:rsid w:val="00975440"/>
    <w:rsid w:val="009755D7"/>
    <w:rsid w:val="00975780"/>
    <w:rsid w:val="00975916"/>
    <w:rsid w:val="00976382"/>
    <w:rsid w:val="00976EAD"/>
    <w:rsid w:val="00977180"/>
    <w:rsid w:val="00977A69"/>
    <w:rsid w:val="00980880"/>
    <w:rsid w:val="00981BED"/>
    <w:rsid w:val="009820EB"/>
    <w:rsid w:val="00982404"/>
    <w:rsid w:val="009838B1"/>
    <w:rsid w:val="00983B7A"/>
    <w:rsid w:val="00983C25"/>
    <w:rsid w:val="00983C70"/>
    <w:rsid w:val="00984274"/>
    <w:rsid w:val="009847E2"/>
    <w:rsid w:val="00984BFA"/>
    <w:rsid w:val="00984F01"/>
    <w:rsid w:val="00985321"/>
    <w:rsid w:val="00985AEE"/>
    <w:rsid w:val="009860D2"/>
    <w:rsid w:val="00986AF0"/>
    <w:rsid w:val="00986EA9"/>
    <w:rsid w:val="00987008"/>
    <w:rsid w:val="00987292"/>
    <w:rsid w:val="009875D1"/>
    <w:rsid w:val="009877EA"/>
    <w:rsid w:val="0099042A"/>
    <w:rsid w:val="0099045B"/>
    <w:rsid w:val="00990C52"/>
    <w:rsid w:val="00990DF6"/>
    <w:rsid w:val="00990E60"/>
    <w:rsid w:val="0099121E"/>
    <w:rsid w:val="00991250"/>
    <w:rsid w:val="009913C1"/>
    <w:rsid w:val="009915DC"/>
    <w:rsid w:val="00991D58"/>
    <w:rsid w:val="009921E5"/>
    <w:rsid w:val="00993707"/>
    <w:rsid w:val="00993B65"/>
    <w:rsid w:val="00993C6E"/>
    <w:rsid w:val="00993D21"/>
    <w:rsid w:val="00994593"/>
    <w:rsid w:val="009946AE"/>
    <w:rsid w:val="0099477A"/>
    <w:rsid w:val="00994D49"/>
    <w:rsid w:val="0099562D"/>
    <w:rsid w:val="009957AD"/>
    <w:rsid w:val="00995EAE"/>
    <w:rsid w:val="00995EB0"/>
    <w:rsid w:val="00995EBF"/>
    <w:rsid w:val="00996244"/>
    <w:rsid w:val="00996454"/>
    <w:rsid w:val="0099655A"/>
    <w:rsid w:val="00996791"/>
    <w:rsid w:val="009972EB"/>
    <w:rsid w:val="00997360"/>
    <w:rsid w:val="00997C66"/>
    <w:rsid w:val="009A0090"/>
    <w:rsid w:val="009A02E9"/>
    <w:rsid w:val="009A03D1"/>
    <w:rsid w:val="009A0C2C"/>
    <w:rsid w:val="009A15A0"/>
    <w:rsid w:val="009A1C21"/>
    <w:rsid w:val="009A1D5D"/>
    <w:rsid w:val="009A20AE"/>
    <w:rsid w:val="009A2156"/>
    <w:rsid w:val="009A21FF"/>
    <w:rsid w:val="009A23AB"/>
    <w:rsid w:val="009A26AA"/>
    <w:rsid w:val="009A29B4"/>
    <w:rsid w:val="009A3501"/>
    <w:rsid w:val="009A3610"/>
    <w:rsid w:val="009A3A28"/>
    <w:rsid w:val="009A3E50"/>
    <w:rsid w:val="009A4BE5"/>
    <w:rsid w:val="009A4F23"/>
    <w:rsid w:val="009A51C8"/>
    <w:rsid w:val="009A53AF"/>
    <w:rsid w:val="009A6107"/>
    <w:rsid w:val="009A621C"/>
    <w:rsid w:val="009A6D6A"/>
    <w:rsid w:val="009A7030"/>
    <w:rsid w:val="009A7883"/>
    <w:rsid w:val="009B0473"/>
    <w:rsid w:val="009B0712"/>
    <w:rsid w:val="009B083B"/>
    <w:rsid w:val="009B0C78"/>
    <w:rsid w:val="009B1639"/>
    <w:rsid w:val="009B1BFB"/>
    <w:rsid w:val="009B1C26"/>
    <w:rsid w:val="009B1D39"/>
    <w:rsid w:val="009B2643"/>
    <w:rsid w:val="009B26AE"/>
    <w:rsid w:val="009B27E9"/>
    <w:rsid w:val="009B3258"/>
    <w:rsid w:val="009B32DB"/>
    <w:rsid w:val="009B3B28"/>
    <w:rsid w:val="009B3C39"/>
    <w:rsid w:val="009B4909"/>
    <w:rsid w:val="009B4B6F"/>
    <w:rsid w:val="009B5BB2"/>
    <w:rsid w:val="009B6189"/>
    <w:rsid w:val="009B644C"/>
    <w:rsid w:val="009B69E6"/>
    <w:rsid w:val="009B7D59"/>
    <w:rsid w:val="009C0095"/>
    <w:rsid w:val="009C0178"/>
    <w:rsid w:val="009C0487"/>
    <w:rsid w:val="009C0C6B"/>
    <w:rsid w:val="009C0DE4"/>
    <w:rsid w:val="009C14F2"/>
    <w:rsid w:val="009C1A5B"/>
    <w:rsid w:val="009C1C2E"/>
    <w:rsid w:val="009C1D84"/>
    <w:rsid w:val="009C1FE8"/>
    <w:rsid w:val="009C243D"/>
    <w:rsid w:val="009C256E"/>
    <w:rsid w:val="009C2A06"/>
    <w:rsid w:val="009C2D3C"/>
    <w:rsid w:val="009C3084"/>
    <w:rsid w:val="009C333F"/>
    <w:rsid w:val="009C357A"/>
    <w:rsid w:val="009C3EE9"/>
    <w:rsid w:val="009C4A1C"/>
    <w:rsid w:val="009C519C"/>
    <w:rsid w:val="009C53CA"/>
    <w:rsid w:val="009C5E7A"/>
    <w:rsid w:val="009C6278"/>
    <w:rsid w:val="009C6AEB"/>
    <w:rsid w:val="009C6E85"/>
    <w:rsid w:val="009C72F8"/>
    <w:rsid w:val="009C758A"/>
    <w:rsid w:val="009D0AED"/>
    <w:rsid w:val="009D162D"/>
    <w:rsid w:val="009D1F08"/>
    <w:rsid w:val="009D22CF"/>
    <w:rsid w:val="009D28DB"/>
    <w:rsid w:val="009D31A7"/>
    <w:rsid w:val="009D3569"/>
    <w:rsid w:val="009D39D8"/>
    <w:rsid w:val="009D3F04"/>
    <w:rsid w:val="009D4068"/>
    <w:rsid w:val="009D4B82"/>
    <w:rsid w:val="009D5335"/>
    <w:rsid w:val="009D55EE"/>
    <w:rsid w:val="009D576A"/>
    <w:rsid w:val="009D5C15"/>
    <w:rsid w:val="009D5D1B"/>
    <w:rsid w:val="009D6162"/>
    <w:rsid w:val="009D6485"/>
    <w:rsid w:val="009D6628"/>
    <w:rsid w:val="009D764B"/>
    <w:rsid w:val="009D76C6"/>
    <w:rsid w:val="009D7E0A"/>
    <w:rsid w:val="009E0228"/>
    <w:rsid w:val="009E0C0F"/>
    <w:rsid w:val="009E1065"/>
    <w:rsid w:val="009E1108"/>
    <w:rsid w:val="009E1F18"/>
    <w:rsid w:val="009E292E"/>
    <w:rsid w:val="009E2C5E"/>
    <w:rsid w:val="009E2E50"/>
    <w:rsid w:val="009E33D5"/>
    <w:rsid w:val="009E364C"/>
    <w:rsid w:val="009E3674"/>
    <w:rsid w:val="009E3A2F"/>
    <w:rsid w:val="009E41FE"/>
    <w:rsid w:val="009E443B"/>
    <w:rsid w:val="009E4609"/>
    <w:rsid w:val="009E4BE5"/>
    <w:rsid w:val="009E4E63"/>
    <w:rsid w:val="009E4FBF"/>
    <w:rsid w:val="009E5385"/>
    <w:rsid w:val="009E5C33"/>
    <w:rsid w:val="009E6746"/>
    <w:rsid w:val="009E6B08"/>
    <w:rsid w:val="009E7006"/>
    <w:rsid w:val="009E7918"/>
    <w:rsid w:val="009E7AC7"/>
    <w:rsid w:val="009F00B6"/>
    <w:rsid w:val="009F0DDF"/>
    <w:rsid w:val="009F135A"/>
    <w:rsid w:val="009F1543"/>
    <w:rsid w:val="009F1680"/>
    <w:rsid w:val="009F19BD"/>
    <w:rsid w:val="009F1FD7"/>
    <w:rsid w:val="009F2060"/>
    <w:rsid w:val="009F2144"/>
    <w:rsid w:val="009F2534"/>
    <w:rsid w:val="009F2845"/>
    <w:rsid w:val="009F2982"/>
    <w:rsid w:val="009F335C"/>
    <w:rsid w:val="009F4341"/>
    <w:rsid w:val="009F44BD"/>
    <w:rsid w:val="009F4728"/>
    <w:rsid w:val="009F4C11"/>
    <w:rsid w:val="009F4D36"/>
    <w:rsid w:val="009F4F89"/>
    <w:rsid w:val="009F5402"/>
    <w:rsid w:val="009F5DC7"/>
    <w:rsid w:val="009F5E5E"/>
    <w:rsid w:val="009F5F13"/>
    <w:rsid w:val="009F6678"/>
    <w:rsid w:val="009F6CD0"/>
    <w:rsid w:val="009F6FA8"/>
    <w:rsid w:val="009F703F"/>
    <w:rsid w:val="009F76A0"/>
    <w:rsid w:val="009F7943"/>
    <w:rsid w:val="009F7B1D"/>
    <w:rsid w:val="00A00574"/>
    <w:rsid w:val="00A00796"/>
    <w:rsid w:val="00A00834"/>
    <w:rsid w:val="00A00840"/>
    <w:rsid w:val="00A00F25"/>
    <w:rsid w:val="00A01F58"/>
    <w:rsid w:val="00A020DA"/>
    <w:rsid w:val="00A02407"/>
    <w:rsid w:val="00A0260E"/>
    <w:rsid w:val="00A026C0"/>
    <w:rsid w:val="00A0332C"/>
    <w:rsid w:val="00A038E2"/>
    <w:rsid w:val="00A03B2F"/>
    <w:rsid w:val="00A03EC7"/>
    <w:rsid w:val="00A03FF7"/>
    <w:rsid w:val="00A04235"/>
    <w:rsid w:val="00A04618"/>
    <w:rsid w:val="00A04B46"/>
    <w:rsid w:val="00A04E4C"/>
    <w:rsid w:val="00A05030"/>
    <w:rsid w:val="00A05E1E"/>
    <w:rsid w:val="00A0651E"/>
    <w:rsid w:val="00A066E3"/>
    <w:rsid w:val="00A06BD9"/>
    <w:rsid w:val="00A07BA3"/>
    <w:rsid w:val="00A07C80"/>
    <w:rsid w:val="00A07F0B"/>
    <w:rsid w:val="00A10045"/>
    <w:rsid w:val="00A103C6"/>
    <w:rsid w:val="00A10611"/>
    <w:rsid w:val="00A10B76"/>
    <w:rsid w:val="00A1103F"/>
    <w:rsid w:val="00A116E7"/>
    <w:rsid w:val="00A122FB"/>
    <w:rsid w:val="00A1271F"/>
    <w:rsid w:val="00A13027"/>
    <w:rsid w:val="00A14B20"/>
    <w:rsid w:val="00A15287"/>
    <w:rsid w:val="00A155CF"/>
    <w:rsid w:val="00A15823"/>
    <w:rsid w:val="00A15E8E"/>
    <w:rsid w:val="00A1603E"/>
    <w:rsid w:val="00A160ED"/>
    <w:rsid w:val="00A160FB"/>
    <w:rsid w:val="00A16841"/>
    <w:rsid w:val="00A16E7A"/>
    <w:rsid w:val="00A17C41"/>
    <w:rsid w:val="00A20634"/>
    <w:rsid w:val="00A20B59"/>
    <w:rsid w:val="00A20E0F"/>
    <w:rsid w:val="00A20F51"/>
    <w:rsid w:val="00A21B6F"/>
    <w:rsid w:val="00A21C78"/>
    <w:rsid w:val="00A22244"/>
    <w:rsid w:val="00A228B6"/>
    <w:rsid w:val="00A23699"/>
    <w:rsid w:val="00A23E71"/>
    <w:rsid w:val="00A23F2F"/>
    <w:rsid w:val="00A24ADF"/>
    <w:rsid w:val="00A24EB7"/>
    <w:rsid w:val="00A254B0"/>
    <w:rsid w:val="00A25872"/>
    <w:rsid w:val="00A25C78"/>
    <w:rsid w:val="00A25F4F"/>
    <w:rsid w:val="00A26523"/>
    <w:rsid w:val="00A2655D"/>
    <w:rsid w:val="00A26782"/>
    <w:rsid w:val="00A26BFB"/>
    <w:rsid w:val="00A26D66"/>
    <w:rsid w:val="00A271C5"/>
    <w:rsid w:val="00A274D1"/>
    <w:rsid w:val="00A27915"/>
    <w:rsid w:val="00A27972"/>
    <w:rsid w:val="00A279E6"/>
    <w:rsid w:val="00A27B92"/>
    <w:rsid w:val="00A300AC"/>
    <w:rsid w:val="00A30378"/>
    <w:rsid w:val="00A30B9B"/>
    <w:rsid w:val="00A30E5C"/>
    <w:rsid w:val="00A31271"/>
    <w:rsid w:val="00A31537"/>
    <w:rsid w:val="00A31607"/>
    <w:rsid w:val="00A31645"/>
    <w:rsid w:val="00A31B70"/>
    <w:rsid w:val="00A31F63"/>
    <w:rsid w:val="00A32097"/>
    <w:rsid w:val="00A323C3"/>
    <w:rsid w:val="00A32635"/>
    <w:rsid w:val="00A32BCB"/>
    <w:rsid w:val="00A33425"/>
    <w:rsid w:val="00A34273"/>
    <w:rsid w:val="00A3434B"/>
    <w:rsid w:val="00A3486A"/>
    <w:rsid w:val="00A34F66"/>
    <w:rsid w:val="00A34F72"/>
    <w:rsid w:val="00A35213"/>
    <w:rsid w:val="00A3536C"/>
    <w:rsid w:val="00A35567"/>
    <w:rsid w:val="00A3562F"/>
    <w:rsid w:val="00A360E2"/>
    <w:rsid w:val="00A362B4"/>
    <w:rsid w:val="00A36B35"/>
    <w:rsid w:val="00A36BB4"/>
    <w:rsid w:val="00A36D29"/>
    <w:rsid w:val="00A3716A"/>
    <w:rsid w:val="00A37189"/>
    <w:rsid w:val="00A37446"/>
    <w:rsid w:val="00A3789F"/>
    <w:rsid w:val="00A37CD5"/>
    <w:rsid w:val="00A37EF3"/>
    <w:rsid w:val="00A402A1"/>
    <w:rsid w:val="00A40895"/>
    <w:rsid w:val="00A40EA2"/>
    <w:rsid w:val="00A40FFF"/>
    <w:rsid w:val="00A411EF"/>
    <w:rsid w:val="00A414AC"/>
    <w:rsid w:val="00A41571"/>
    <w:rsid w:val="00A42022"/>
    <w:rsid w:val="00A42231"/>
    <w:rsid w:val="00A424D5"/>
    <w:rsid w:val="00A4357F"/>
    <w:rsid w:val="00A438F5"/>
    <w:rsid w:val="00A43CAB"/>
    <w:rsid w:val="00A44155"/>
    <w:rsid w:val="00A443E2"/>
    <w:rsid w:val="00A44B68"/>
    <w:rsid w:val="00A453A2"/>
    <w:rsid w:val="00A458B3"/>
    <w:rsid w:val="00A45E5B"/>
    <w:rsid w:val="00A45F34"/>
    <w:rsid w:val="00A46305"/>
    <w:rsid w:val="00A465AC"/>
    <w:rsid w:val="00A468B5"/>
    <w:rsid w:val="00A4692F"/>
    <w:rsid w:val="00A46AF9"/>
    <w:rsid w:val="00A475BA"/>
    <w:rsid w:val="00A47C02"/>
    <w:rsid w:val="00A50B69"/>
    <w:rsid w:val="00A50D7F"/>
    <w:rsid w:val="00A50FDD"/>
    <w:rsid w:val="00A512A1"/>
    <w:rsid w:val="00A51521"/>
    <w:rsid w:val="00A5156B"/>
    <w:rsid w:val="00A518EF"/>
    <w:rsid w:val="00A51F58"/>
    <w:rsid w:val="00A520CF"/>
    <w:rsid w:val="00A52183"/>
    <w:rsid w:val="00A522FC"/>
    <w:rsid w:val="00A524EC"/>
    <w:rsid w:val="00A52A78"/>
    <w:rsid w:val="00A52DDE"/>
    <w:rsid w:val="00A53541"/>
    <w:rsid w:val="00A540D0"/>
    <w:rsid w:val="00A5417D"/>
    <w:rsid w:val="00A54EAF"/>
    <w:rsid w:val="00A5541D"/>
    <w:rsid w:val="00A554C5"/>
    <w:rsid w:val="00A5605F"/>
    <w:rsid w:val="00A56816"/>
    <w:rsid w:val="00A569A2"/>
    <w:rsid w:val="00A56BBE"/>
    <w:rsid w:val="00A57064"/>
    <w:rsid w:val="00A5761C"/>
    <w:rsid w:val="00A578D4"/>
    <w:rsid w:val="00A57DDE"/>
    <w:rsid w:val="00A57EEA"/>
    <w:rsid w:val="00A6008E"/>
    <w:rsid w:val="00A6097F"/>
    <w:rsid w:val="00A61218"/>
    <w:rsid w:val="00A6171C"/>
    <w:rsid w:val="00A61CFD"/>
    <w:rsid w:val="00A62210"/>
    <w:rsid w:val="00A62810"/>
    <w:rsid w:val="00A62988"/>
    <w:rsid w:val="00A630B8"/>
    <w:rsid w:val="00A63161"/>
    <w:rsid w:val="00A633A4"/>
    <w:rsid w:val="00A634FF"/>
    <w:rsid w:val="00A63597"/>
    <w:rsid w:val="00A63AAA"/>
    <w:rsid w:val="00A63C9B"/>
    <w:rsid w:val="00A64BDC"/>
    <w:rsid w:val="00A65097"/>
    <w:rsid w:val="00A657F6"/>
    <w:rsid w:val="00A65C1D"/>
    <w:rsid w:val="00A66107"/>
    <w:rsid w:val="00A700F9"/>
    <w:rsid w:val="00A70328"/>
    <w:rsid w:val="00A70E0A"/>
    <w:rsid w:val="00A71404"/>
    <w:rsid w:val="00A7140B"/>
    <w:rsid w:val="00A716C1"/>
    <w:rsid w:val="00A71819"/>
    <w:rsid w:val="00A719AF"/>
    <w:rsid w:val="00A7264B"/>
    <w:rsid w:val="00A73976"/>
    <w:rsid w:val="00A73A1D"/>
    <w:rsid w:val="00A74451"/>
    <w:rsid w:val="00A75575"/>
    <w:rsid w:val="00A755A9"/>
    <w:rsid w:val="00A7588E"/>
    <w:rsid w:val="00A75B90"/>
    <w:rsid w:val="00A763ED"/>
    <w:rsid w:val="00A7642B"/>
    <w:rsid w:val="00A76996"/>
    <w:rsid w:val="00A76BE4"/>
    <w:rsid w:val="00A77072"/>
    <w:rsid w:val="00A7757C"/>
    <w:rsid w:val="00A77C24"/>
    <w:rsid w:val="00A77EC1"/>
    <w:rsid w:val="00A80588"/>
    <w:rsid w:val="00A80AF2"/>
    <w:rsid w:val="00A80E01"/>
    <w:rsid w:val="00A81643"/>
    <w:rsid w:val="00A819CE"/>
    <w:rsid w:val="00A826D1"/>
    <w:rsid w:val="00A82AAB"/>
    <w:rsid w:val="00A831E5"/>
    <w:rsid w:val="00A84304"/>
    <w:rsid w:val="00A84683"/>
    <w:rsid w:val="00A84A3E"/>
    <w:rsid w:val="00A84C2D"/>
    <w:rsid w:val="00A85430"/>
    <w:rsid w:val="00A8546A"/>
    <w:rsid w:val="00A8551A"/>
    <w:rsid w:val="00A85AA4"/>
    <w:rsid w:val="00A862E8"/>
    <w:rsid w:val="00A8669E"/>
    <w:rsid w:val="00A86FB6"/>
    <w:rsid w:val="00A875BE"/>
    <w:rsid w:val="00A87860"/>
    <w:rsid w:val="00A8787E"/>
    <w:rsid w:val="00A878DF"/>
    <w:rsid w:val="00A87A5D"/>
    <w:rsid w:val="00A900AE"/>
    <w:rsid w:val="00A905D5"/>
    <w:rsid w:val="00A90652"/>
    <w:rsid w:val="00A909DC"/>
    <w:rsid w:val="00A910E1"/>
    <w:rsid w:val="00A9177E"/>
    <w:rsid w:val="00A91B65"/>
    <w:rsid w:val="00A91BCF"/>
    <w:rsid w:val="00A91C4B"/>
    <w:rsid w:val="00A91E00"/>
    <w:rsid w:val="00A92317"/>
    <w:rsid w:val="00A9234C"/>
    <w:rsid w:val="00A92665"/>
    <w:rsid w:val="00A929C4"/>
    <w:rsid w:val="00A93294"/>
    <w:rsid w:val="00A93BEC"/>
    <w:rsid w:val="00A93EC4"/>
    <w:rsid w:val="00A94094"/>
    <w:rsid w:val="00A94167"/>
    <w:rsid w:val="00A9420E"/>
    <w:rsid w:val="00A9466F"/>
    <w:rsid w:val="00A94A5E"/>
    <w:rsid w:val="00A952D6"/>
    <w:rsid w:val="00A95869"/>
    <w:rsid w:val="00A95C4C"/>
    <w:rsid w:val="00A96014"/>
    <w:rsid w:val="00A96024"/>
    <w:rsid w:val="00A96B34"/>
    <w:rsid w:val="00A97631"/>
    <w:rsid w:val="00A9797B"/>
    <w:rsid w:val="00A97BC8"/>
    <w:rsid w:val="00A97D55"/>
    <w:rsid w:val="00A97D63"/>
    <w:rsid w:val="00AA0179"/>
    <w:rsid w:val="00AA07CC"/>
    <w:rsid w:val="00AA0EF7"/>
    <w:rsid w:val="00AA0F31"/>
    <w:rsid w:val="00AA110E"/>
    <w:rsid w:val="00AA1800"/>
    <w:rsid w:val="00AA24B8"/>
    <w:rsid w:val="00AA2790"/>
    <w:rsid w:val="00AA2B4F"/>
    <w:rsid w:val="00AA2E0C"/>
    <w:rsid w:val="00AA3232"/>
    <w:rsid w:val="00AA3409"/>
    <w:rsid w:val="00AA3564"/>
    <w:rsid w:val="00AA46BF"/>
    <w:rsid w:val="00AA4932"/>
    <w:rsid w:val="00AA494A"/>
    <w:rsid w:val="00AA52DF"/>
    <w:rsid w:val="00AA5574"/>
    <w:rsid w:val="00AA5C56"/>
    <w:rsid w:val="00AA6859"/>
    <w:rsid w:val="00AA68C4"/>
    <w:rsid w:val="00AA6B88"/>
    <w:rsid w:val="00AA73EE"/>
    <w:rsid w:val="00AA743D"/>
    <w:rsid w:val="00AA759F"/>
    <w:rsid w:val="00AA7851"/>
    <w:rsid w:val="00AA7B66"/>
    <w:rsid w:val="00AB000B"/>
    <w:rsid w:val="00AB0D60"/>
    <w:rsid w:val="00AB1100"/>
    <w:rsid w:val="00AB141C"/>
    <w:rsid w:val="00AB17AC"/>
    <w:rsid w:val="00AB2438"/>
    <w:rsid w:val="00AB27C0"/>
    <w:rsid w:val="00AB2B3B"/>
    <w:rsid w:val="00AB32A4"/>
    <w:rsid w:val="00AB38C3"/>
    <w:rsid w:val="00AB3D63"/>
    <w:rsid w:val="00AB3F5C"/>
    <w:rsid w:val="00AB448F"/>
    <w:rsid w:val="00AB4738"/>
    <w:rsid w:val="00AB47D7"/>
    <w:rsid w:val="00AB55DF"/>
    <w:rsid w:val="00AB569F"/>
    <w:rsid w:val="00AB5710"/>
    <w:rsid w:val="00AB5F82"/>
    <w:rsid w:val="00AB61B1"/>
    <w:rsid w:val="00AB64F7"/>
    <w:rsid w:val="00AB686A"/>
    <w:rsid w:val="00AB6AD9"/>
    <w:rsid w:val="00AB70E2"/>
    <w:rsid w:val="00AB7DBA"/>
    <w:rsid w:val="00AC03B4"/>
    <w:rsid w:val="00AC058B"/>
    <w:rsid w:val="00AC1EFA"/>
    <w:rsid w:val="00AC20D7"/>
    <w:rsid w:val="00AC22BB"/>
    <w:rsid w:val="00AC268F"/>
    <w:rsid w:val="00AC3217"/>
    <w:rsid w:val="00AC3351"/>
    <w:rsid w:val="00AC3555"/>
    <w:rsid w:val="00AC4123"/>
    <w:rsid w:val="00AC46B6"/>
    <w:rsid w:val="00AC4F01"/>
    <w:rsid w:val="00AC5022"/>
    <w:rsid w:val="00AC5209"/>
    <w:rsid w:val="00AC5923"/>
    <w:rsid w:val="00AC6104"/>
    <w:rsid w:val="00AC6586"/>
    <w:rsid w:val="00AC6B2B"/>
    <w:rsid w:val="00AC6D6E"/>
    <w:rsid w:val="00AC6E89"/>
    <w:rsid w:val="00AC744D"/>
    <w:rsid w:val="00AC7D40"/>
    <w:rsid w:val="00AD09AF"/>
    <w:rsid w:val="00AD13A4"/>
    <w:rsid w:val="00AD1A26"/>
    <w:rsid w:val="00AD20A9"/>
    <w:rsid w:val="00AD212D"/>
    <w:rsid w:val="00AD21C4"/>
    <w:rsid w:val="00AD27B2"/>
    <w:rsid w:val="00AD3393"/>
    <w:rsid w:val="00AD45CA"/>
    <w:rsid w:val="00AD4849"/>
    <w:rsid w:val="00AD4BBA"/>
    <w:rsid w:val="00AD4DA7"/>
    <w:rsid w:val="00AD4F0B"/>
    <w:rsid w:val="00AD5224"/>
    <w:rsid w:val="00AD5BFC"/>
    <w:rsid w:val="00AD5D1A"/>
    <w:rsid w:val="00AD6629"/>
    <w:rsid w:val="00AD765D"/>
    <w:rsid w:val="00AD7807"/>
    <w:rsid w:val="00AD7B19"/>
    <w:rsid w:val="00AE0185"/>
    <w:rsid w:val="00AE069B"/>
    <w:rsid w:val="00AE09C5"/>
    <w:rsid w:val="00AE100A"/>
    <w:rsid w:val="00AE1660"/>
    <w:rsid w:val="00AE1756"/>
    <w:rsid w:val="00AE2408"/>
    <w:rsid w:val="00AE25AF"/>
    <w:rsid w:val="00AE2D10"/>
    <w:rsid w:val="00AE3680"/>
    <w:rsid w:val="00AE45FF"/>
    <w:rsid w:val="00AE5300"/>
    <w:rsid w:val="00AE55BE"/>
    <w:rsid w:val="00AE56B1"/>
    <w:rsid w:val="00AE5AF9"/>
    <w:rsid w:val="00AE623A"/>
    <w:rsid w:val="00AE7552"/>
    <w:rsid w:val="00AE7A36"/>
    <w:rsid w:val="00AE7A46"/>
    <w:rsid w:val="00AE7FA1"/>
    <w:rsid w:val="00AF0293"/>
    <w:rsid w:val="00AF05A1"/>
    <w:rsid w:val="00AF05E3"/>
    <w:rsid w:val="00AF113E"/>
    <w:rsid w:val="00AF1498"/>
    <w:rsid w:val="00AF17E1"/>
    <w:rsid w:val="00AF1A3B"/>
    <w:rsid w:val="00AF2086"/>
    <w:rsid w:val="00AF285A"/>
    <w:rsid w:val="00AF34FA"/>
    <w:rsid w:val="00AF3668"/>
    <w:rsid w:val="00AF373E"/>
    <w:rsid w:val="00AF3F2B"/>
    <w:rsid w:val="00AF3F50"/>
    <w:rsid w:val="00AF41A8"/>
    <w:rsid w:val="00AF487E"/>
    <w:rsid w:val="00AF48CE"/>
    <w:rsid w:val="00AF4B5F"/>
    <w:rsid w:val="00AF4C03"/>
    <w:rsid w:val="00AF4C6D"/>
    <w:rsid w:val="00AF51D4"/>
    <w:rsid w:val="00AF51EB"/>
    <w:rsid w:val="00AF5285"/>
    <w:rsid w:val="00AF5771"/>
    <w:rsid w:val="00AF687D"/>
    <w:rsid w:val="00AF7308"/>
    <w:rsid w:val="00AF7EB6"/>
    <w:rsid w:val="00B00648"/>
    <w:rsid w:val="00B00AF8"/>
    <w:rsid w:val="00B00CA2"/>
    <w:rsid w:val="00B00DE6"/>
    <w:rsid w:val="00B01355"/>
    <w:rsid w:val="00B01FCC"/>
    <w:rsid w:val="00B02356"/>
    <w:rsid w:val="00B02459"/>
    <w:rsid w:val="00B02593"/>
    <w:rsid w:val="00B026D0"/>
    <w:rsid w:val="00B027C4"/>
    <w:rsid w:val="00B02B68"/>
    <w:rsid w:val="00B02FF2"/>
    <w:rsid w:val="00B03197"/>
    <w:rsid w:val="00B034D9"/>
    <w:rsid w:val="00B04693"/>
    <w:rsid w:val="00B04971"/>
    <w:rsid w:val="00B04A91"/>
    <w:rsid w:val="00B04AED"/>
    <w:rsid w:val="00B04D4F"/>
    <w:rsid w:val="00B0532F"/>
    <w:rsid w:val="00B05E3F"/>
    <w:rsid w:val="00B06637"/>
    <w:rsid w:val="00B0689B"/>
    <w:rsid w:val="00B06C12"/>
    <w:rsid w:val="00B06DBC"/>
    <w:rsid w:val="00B0715C"/>
    <w:rsid w:val="00B07322"/>
    <w:rsid w:val="00B07CCD"/>
    <w:rsid w:val="00B07DAC"/>
    <w:rsid w:val="00B07F98"/>
    <w:rsid w:val="00B103D5"/>
    <w:rsid w:val="00B1115C"/>
    <w:rsid w:val="00B111F7"/>
    <w:rsid w:val="00B11263"/>
    <w:rsid w:val="00B1170A"/>
    <w:rsid w:val="00B119EE"/>
    <w:rsid w:val="00B11BAE"/>
    <w:rsid w:val="00B1200E"/>
    <w:rsid w:val="00B1226B"/>
    <w:rsid w:val="00B123C9"/>
    <w:rsid w:val="00B12DFF"/>
    <w:rsid w:val="00B133A3"/>
    <w:rsid w:val="00B134B2"/>
    <w:rsid w:val="00B13B3C"/>
    <w:rsid w:val="00B13B66"/>
    <w:rsid w:val="00B14DB7"/>
    <w:rsid w:val="00B15405"/>
    <w:rsid w:val="00B15AF1"/>
    <w:rsid w:val="00B15D8F"/>
    <w:rsid w:val="00B17096"/>
    <w:rsid w:val="00B17512"/>
    <w:rsid w:val="00B177C2"/>
    <w:rsid w:val="00B202B0"/>
    <w:rsid w:val="00B20678"/>
    <w:rsid w:val="00B20D13"/>
    <w:rsid w:val="00B21036"/>
    <w:rsid w:val="00B218EF"/>
    <w:rsid w:val="00B21B0F"/>
    <w:rsid w:val="00B228DC"/>
    <w:rsid w:val="00B231DF"/>
    <w:rsid w:val="00B23348"/>
    <w:rsid w:val="00B248BB"/>
    <w:rsid w:val="00B25F0E"/>
    <w:rsid w:val="00B264AF"/>
    <w:rsid w:val="00B265B3"/>
    <w:rsid w:val="00B2664E"/>
    <w:rsid w:val="00B26DFC"/>
    <w:rsid w:val="00B26FC6"/>
    <w:rsid w:val="00B27002"/>
    <w:rsid w:val="00B272B6"/>
    <w:rsid w:val="00B27A46"/>
    <w:rsid w:val="00B30526"/>
    <w:rsid w:val="00B3073C"/>
    <w:rsid w:val="00B30B4D"/>
    <w:rsid w:val="00B30D61"/>
    <w:rsid w:val="00B31279"/>
    <w:rsid w:val="00B3133B"/>
    <w:rsid w:val="00B313B9"/>
    <w:rsid w:val="00B31408"/>
    <w:rsid w:val="00B31503"/>
    <w:rsid w:val="00B3157E"/>
    <w:rsid w:val="00B317BC"/>
    <w:rsid w:val="00B3181A"/>
    <w:rsid w:val="00B320CE"/>
    <w:rsid w:val="00B32A8D"/>
    <w:rsid w:val="00B32ACC"/>
    <w:rsid w:val="00B32E49"/>
    <w:rsid w:val="00B3383B"/>
    <w:rsid w:val="00B342D4"/>
    <w:rsid w:val="00B34304"/>
    <w:rsid w:val="00B344EC"/>
    <w:rsid w:val="00B345B8"/>
    <w:rsid w:val="00B34FEA"/>
    <w:rsid w:val="00B358D6"/>
    <w:rsid w:val="00B35938"/>
    <w:rsid w:val="00B35D5D"/>
    <w:rsid w:val="00B3695F"/>
    <w:rsid w:val="00B3793E"/>
    <w:rsid w:val="00B37C23"/>
    <w:rsid w:val="00B408DD"/>
    <w:rsid w:val="00B40EF9"/>
    <w:rsid w:val="00B40F36"/>
    <w:rsid w:val="00B40FE3"/>
    <w:rsid w:val="00B415A0"/>
    <w:rsid w:val="00B41680"/>
    <w:rsid w:val="00B417FE"/>
    <w:rsid w:val="00B41A80"/>
    <w:rsid w:val="00B41AEE"/>
    <w:rsid w:val="00B41B1B"/>
    <w:rsid w:val="00B41B81"/>
    <w:rsid w:val="00B41D57"/>
    <w:rsid w:val="00B4313F"/>
    <w:rsid w:val="00B43167"/>
    <w:rsid w:val="00B4318F"/>
    <w:rsid w:val="00B43D03"/>
    <w:rsid w:val="00B43FF3"/>
    <w:rsid w:val="00B44C52"/>
    <w:rsid w:val="00B45213"/>
    <w:rsid w:val="00B4521D"/>
    <w:rsid w:val="00B45371"/>
    <w:rsid w:val="00B45B2C"/>
    <w:rsid w:val="00B46163"/>
    <w:rsid w:val="00B463CD"/>
    <w:rsid w:val="00B466ED"/>
    <w:rsid w:val="00B4707E"/>
    <w:rsid w:val="00B47C70"/>
    <w:rsid w:val="00B50221"/>
    <w:rsid w:val="00B50482"/>
    <w:rsid w:val="00B50566"/>
    <w:rsid w:val="00B50B43"/>
    <w:rsid w:val="00B50E99"/>
    <w:rsid w:val="00B510DE"/>
    <w:rsid w:val="00B5148A"/>
    <w:rsid w:val="00B5188C"/>
    <w:rsid w:val="00B5188F"/>
    <w:rsid w:val="00B51B4D"/>
    <w:rsid w:val="00B51D6C"/>
    <w:rsid w:val="00B51E52"/>
    <w:rsid w:val="00B52401"/>
    <w:rsid w:val="00B52584"/>
    <w:rsid w:val="00B52767"/>
    <w:rsid w:val="00B52930"/>
    <w:rsid w:val="00B529BD"/>
    <w:rsid w:val="00B539D1"/>
    <w:rsid w:val="00B53BA4"/>
    <w:rsid w:val="00B53ED4"/>
    <w:rsid w:val="00B5430B"/>
    <w:rsid w:val="00B5482C"/>
    <w:rsid w:val="00B54CC7"/>
    <w:rsid w:val="00B54F80"/>
    <w:rsid w:val="00B55411"/>
    <w:rsid w:val="00B5581D"/>
    <w:rsid w:val="00B55969"/>
    <w:rsid w:val="00B55B68"/>
    <w:rsid w:val="00B55DFD"/>
    <w:rsid w:val="00B5622B"/>
    <w:rsid w:val="00B5653C"/>
    <w:rsid w:val="00B56551"/>
    <w:rsid w:val="00B569FE"/>
    <w:rsid w:val="00B5709B"/>
    <w:rsid w:val="00B57A6A"/>
    <w:rsid w:val="00B57CF9"/>
    <w:rsid w:val="00B57D49"/>
    <w:rsid w:val="00B57DC7"/>
    <w:rsid w:val="00B6071B"/>
    <w:rsid w:val="00B60927"/>
    <w:rsid w:val="00B60C6D"/>
    <w:rsid w:val="00B61AF0"/>
    <w:rsid w:val="00B61B6E"/>
    <w:rsid w:val="00B61C3C"/>
    <w:rsid w:val="00B61CB6"/>
    <w:rsid w:val="00B627A5"/>
    <w:rsid w:val="00B631EC"/>
    <w:rsid w:val="00B64AEF"/>
    <w:rsid w:val="00B65447"/>
    <w:rsid w:val="00B659F3"/>
    <w:rsid w:val="00B66614"/>
    <w:rsid w:val="00B666EE"/>
    <w:rsid w:val="00B6673C"/>
    <w:rsid w:val="00B66CB6"/>
    <w:rsid w:val="00B66CD7"/>
    <w:rsid w:val="00B671BF"/>
    <w:rsid w:val="00B67276"/>
    <w:rsid w:val="00B6729B"/>
    <w:rsid w:val="00B673E7"/>
    <w:rsid w:val="00B678B8"/>
    <w:rsid w:val="00B6799F"/>
    <w:rsid w:val="00B67DA9"/>
    <w:rsid w:val="00B70500"/>
    <w:rsid w:val="00B70870"/>
    <w:rsid w:val="00B70CE1"/>
    <w:rsid w:val="00B711E0"/>
    <w:rsid w:val="00B7126F"/>
    <w:rsid w:val="00B71D53"/>
    <w:rsid w:val="00B71E07"/>
    <w:rsid w:val="00B72392"/>
    <w:rsid w:val="00B72997"/>
    <w:rsid w:val="00B72C63"/>
    <w:rsid w:val="00B72CDA"/>
    <w:rsid w:val="00B72E47"/>
    <w:rsid w:val="00B73376"/>
    <w:rsid w:val="00B734A9"/>
    <w:rsid w:val="00B73998"/>
    <w:rsid w:val="00B741EC"/>
    <w:rsid w:val="00B74365"/>
    <w:rsid w:val="00B74400"/>
    <w:rsid w:val="00B74C54"/>
    <w:rsid w:val="00B74EA2"/>
    <w:rsid w:val="00B7538E"/>
    <w:rsid w:val="00B75C9F"/>
    <w:rsid w:val="00B76261"/>
    <w:rsid w:val="00B763BC"/>
    <w:rsid w:val="00B76860"/>
    <w:rsid w:val="00B7745C"/>
    <w:rsid w:val="00B77476"/>
    <w:rsid w:val="00B77DBB"/>
    <w:rsid w:val="00B801E7"/>
    <w:rsid w:val="00B805B8"/>
    <w:rsid w:val="00B80DFF"/>
    <w:rsid w:val="00B80FB1"/>
    <w:rsid w:val="00B8111B"/>
    <w:rsid w:val="00B81B43"/>
    <w:rsid w:val="00B81ED6"/>
    <w:rsid w:val="00B8276E"/>
    <w:rsid w:val="00B828B3"/>
    <w:rsid w:val="00B82991"/>
    <w:rsid w:val="00B82D00"/>
    <w:rsid w:val="00B835B5"/>
    <w:rsid w:val="00B83A9A"/>
    <w:rsid w:val="00B84F86"/>
    <w:rsid w:val="00B85199"/>
    <w:rsid w:val="00B85BAD"/>
    <w:rsid w:val="00B86075"/>
    <w:rsid w:val="00B868B6"/>
    <w:rsid w:val="00B86908"/>
    <w:rsid w:val="00B86C72"/>
    <w:rsid w:val="00B86F82"/>
    <w:rsid w:val="00B874E2"/>
    <w:rsid w:val="00B874ED"/>
    <w:rsid w:val="00B8750A"/>
    <w:rsid w:val="00B8756F"/>
    <w:rsid w:val="00B90A63"/>
    <w:rsid w:val="00B911C9"/>
    <w:rsid w:val="00B911E7"/>
    <w:rsid w:val="00B91AAA"/>
    <w:rsid w:val="00B92673"/>
    <w:rsid w:val="00B92DD4"/>
    <w:rsid w:val="00B93B56"/>
    <w:rsid w:val="00B94721"/>
    <w:rsid w:val="00B94AE7"/>
    <w:rsid w:val="00B94D64"/>
    <w:rsid w:val="00B9545F"/>
    <w:rsid w:val="00B954E4"/>
    <w:rsid w:val="00B95983"/>
    <w:rsid w:val="00B95C5F"/>
    <w:rsid w:val="00B95F17"/>
    <w:rsid w:val="00B966EB"/>
    <w:rsid w:val="00B9691E"/>
    <w:rsid w:val="00B96B52"/>
    <w:rsid w:val="00B96E2E"/>
    <w:rsid w:val="00B96F05"/>
    <w:rsid w:val="00B9717A"/>
    <w:rsid w:val="00B9731B"/>
    <w:rsid w:val="00B97339"/>
    <w:rsid w:val="00B973FC"/>
    <w:rsid w:val="00B974C8"/>
    <w:rsid w:val="00B97E2D"/>
    <w:rsid w:val="00B97FB6"/>
    <w:rsid w:val="00BA057C"/>
    <w:rsid w:val="00BA0712"/>
    <w:rsid w:val="00BA14A9"/>
    <w:rsid w:val="00BA2715"/>
    <w:rsid w:val="00BA3148"/>
    <w:rsid w:val="00BA3254"/>
    <w:rsid w:val="00BA3737"/>
    <w:rsid w:val="00BA3EE0"/>
    <w:rsid w:val="00BA4BBB"/>
    <w:rsid w:val="00BA4D9C"/>
    <w:rsid w:val="00BA526F"/>
    <w:rsid w:val="00BA587B"/>
    <w:rsid w:val="00BA59B0"/>
    <w:rsid w:val="00BA5B41"/>
    <w:rsid w:val="00BA5B5B"/>
    <w:rsid w:val="00BA6DB4"/>
    <w:rsid w:val="00BA77B3"/>
    <w:rsid w:val="00BA7B9A"/>
    <w:rsid w:val="00BB0B85"/>
    <w:rsid w:val="00BB122C"/>
    <w:rsid w:val="00BB199A"/>
    <w:rsid w:val="00BB21F0"/>
    <w:rsid w:val="00BB237C"/>
    <w:rsid w:val="00BB2C36"/>
    <w:rsid w:val="00BB2E68"/>
    <w:rsid w:val="00BB3270"/>
    <w:rsid w:val="00BB3D7D"/>
    <w:rsid w:val="00BB47BF"/>
    <w:rsid w:val="00BB4BF5"/>
    <w:rsid w:val="00BB5ACE"/>
    <w:rsid w:val="00BB5AD7"/>
    <w:rsid w:val="00BB7091"/>
    <w:rsid w:val="00BB76BF"/>
    <w:rsid w:val="00BB76E3"/>
    <w:rsid w:val="00BB7C74"/>
    <w:rsid w:val="00BB7CC2"/>
    <w:rsid w:val="00BC1331"/>
    <w:rsid w:val="00BC1336"/>
    <w:rsid w:val="00BC271D"/>
    <w:rsid w:val="00BC27FF"/>
    <w:rsid w:val="00BC2B38"/>
    <w:rsid w:val="00BC4170"/>
    <w:rsid w:val="00BC4C82"/>
    <w:rsid w:val="00BC4EC7"/>
    <w:rsid w:val="00BC6325"/>
    <w:rsid w:val="00BC6999"/>
    <w:rsid w:val="00BC6FE8"/>
    <w:rsid w:val="00BC707A"/>
    <w:rsid w:val="00BC7A46"/>
    <w:rsid w:val="00BD0E28"/>
    <w:rsid w:val="00BD122B"/>
    <w:rsid w:val="00BD1399"/>
    <w:rsid w:val="00BD13A2"/>
    <w:rsid w:val="00BD147E"/>
    <w:rsid w:val="00BD1BCC"/>
    <w:rsid w:val="00BD1D3F"/>
    <w:rsid w:val="00BD1F30"/>
    <w:rsid w:val="00BD2332"/>
    <w:rsid w:val="00BD251E"/>
    <w:rsid w:val="00BD269E"/>
    <w:rsid w:val="00BD2E28"/>
    <w:rsid w:val="00BD31A7"/>
    <w:rsid w:val="00BD341F"/>
    <w:rsid w:val="00BD35AE"/>
    <w:rsid w:val="00BD3680"/>
    <w:rsid w:val="00BD3EE0"/>
    <w:rsid w:val="00BD3F90"/>
    <w:rsid w:val="00BD423A"/>
    <w:rsid w:val="00BD4AD5"/>
    <w:rsid w:val="00BD4B4A"/>
    <w:rsid w:val="00BD6482"/>
    <w:rsid w:val="00BD7559"/>
    <w:rsid w:val="00BE00EB"/>
    <w:rsid w:val="00BE02AD"/>
    <w:rsid w:val="00BE14BD"/>
    <w:rsid w:val="00BE1FF3"/>
    <w:rsid w:val="00BE255A"/>
    <w:rsid w:val="00BE25A5"/>
    <w:rsid w:val="00BE2AC6"/>
    <w:rsid w:val="00BE3467"/>
    <w:rsid w:val="00BE3803"/>
    <w:rsid w:val="00BE4337"/>
    <w:rsid w:val="00BE4422"/>
    <w:rsid w:val="00BE4435"/>
    <w:rsid w:val="00BE4D2A"/>
    <w:rsid w:val="00BE4D5B"/>
    <w:rsid w:val="00BE4EA2"/>
    <w:rsid w:val="00BE55CB"/>
    <w:rsid w:val="00BE57EF"/>
    <w:rsid w:val="00BE5C49"/>
    <w:rsid w:val="00BE5ED8"/>
    <w:rsid w:val="00BE6E2D"/>
    <w:rsid w:val="00BE702A"/>
    <w:rsid w:val="00BE75CC"/>
    <w:rsid w:val="00BE77FC"/>
    <w:rsid w:val="00BF043E"/>
    <w:rsid w:val="00BF0D1D"/>
    <w:rsid w:val="00BF0FC9"/>
    <w:rsid w:val="00BF11FF"/>
    <w:rsid w:val="00BF1482"/>
    <w:rsid w:val="00BF1D64"/>
    <w:rsid w:val="00BF2290"/>
    <w:rsid w:val="00BF29D1"/>
    <w:rsid w:val="00BF2F7A"/>
    <w:rsid w:val="00BF3079"/>
    <w:rsid w:val="00BF3DDA"/>
    <w:rsid w:val="00BF4731"/>
    <w:rsid w:val="00BF47FF"/>
    <w:rsid w:val="00BF4A21"/>
    <w:rsid w:val="00BF4B25"/>
    <w:rsid w:val="00BF5168"/>
    <w:rsid w:val="00BF59E7"/>
    <w:rsid w:val="00BF5EDD"/>
    <w:rsid w:val="00BF62A7"/>
    <w:rsid w:val="00BF6FFC"/>
    <w:rsid w:val="00BF7615"/>
    <w:rsid w:val="00C001CB"/>
    <w:rsid w:val="00C00867"/>
    <w:rsid w:val="00C0126E"/>
    <w:rsid w:val="00C012DE"/>
    <w:rsid w:val="00C01331"/>
    <w:rsid w:val="00C01EC8"/>
    <w:rsid w:val="00C02544"/>
    <w:rsid w:val="00C027A9"/>
    <w:rsid w:val="00C034A4"/>
    <w:rsid w:val="00C03756"/>
    <w:rsid w:val="00C03CBD"/>
    <w:rsid w:val="00C03D7D"/>
    <w:rsid w:val="00C040DE"/>
    <w:rsid w:val="00C054A1"/>
    <w:rsid w:val="00C056AE"/>
    <w:rsid w:val="00C05FA8"/>
    <w:rsid w:val="00C069AE"/>
    <w:rsid w:val="00C06CD0"/>
    <w:rsid w:val="00C06D9F"/>
    <w:rsid w:val="00C06DF4"/>
    <w:rsid w:val="00C0779F"/>
    <w:rsid w:val="00C104B4"/>
    <w:rsid w:val="00C10720"/>
    <w:rsid w:val="00C108C4"/>
    <w:rsid w:val="00C1095A"/>
    <w:rsid w:val="00C10B40"/>
    <w:rsid w:val="00C10B4E"/>
    <w:rsid w:val="00C10FEC"/>
    <w:rsid w:val="00C11B61"/>
    <w:rsid w:val="00C11C9F"/>
    <w:rsid w:val="00C11E72"/>
    <w:rsid w:val="00C124C9"/>
    <w:rsid w:val="00C126D1"/>
    <w:rsid w:val="00C12CBD"/>
    <w:rsid w:val="00C12D42"/>
    <w:rsid w:val="00C1327E"/>
    <w:rsid w:val="00C13BFD"/>
    <w:rsid w:val="00C150BA"/>
    <w:rsid w:val="00C15D9F"/>
    <w:rsid w:val="00C16382"/>
    <w:rsid w:val="00C16454"/>
    <w:rsid w:val="00C16503"/>
    <w:rsid w:val="00C1666C"/>
    <w:rsid w:val="00C169C6"/>
    <w:rsid w:val="00C176F3"/>
    <w:rsid w:val="00C2028A"/>
    <w:rsid w:val="00C2042F"/>
    <w:rsid w:val="00C20566"/>
    <w:rsid w:val="00C206D8"/>
    <w:rsid w:val="00C207EA"/>
    <w:rsid w:val="00C20A7E"/>
    <w:rsid w:val="00C20E87"/>
    <w:rsid w:val="00C20FEA"/>
    <w:rsid w:val="00C21267"/>
    <w:rsid w:val="00C21414"/>
    <w:rsid w:val="00C217E8"/>
    <w:rsid w:val="00C21949"/>
    <w:rsid w:val="00C21CFB"/>
    <w:rsid w:val="00C23114"/>
    <w:rsid w:val="00C246C7"/>
    <w:rsid w:val="00C24820"/>
    <w:rsid w:val="00C24ABA"/>
    <w:rsid w:val="00C24B23"/>
    <w:rsid w:val="00C24D05"/>
    <w:rsid w:val="00C25065"/>
    <w:rsid w:val="00C25EDB"/>
    <w:rsid w:val="00C2601C"/>
    <w:rsid w:val="00C26C33"/>
    <w:rsid w:val="00C26D7D"/>
    <w:rsid w:val="00C27673"/>
    <w:rsid w:val="00C30254"/>
    <w:rsid w:val="00C311A6"/>
    <w:rsid w:val="00C314DF"/>
    <w:rsid w:val="00C31BE2"/>
    <w:rsid w:val="00C31E5C"/>
    <w:rsid w:val="00C32112"/>
    <w:rsid w:val="00C322BB"/>
    <w:rsid w:val="00C32D6C"/>
    <w:rsid w:val="00C32DD1"/>
    <w:rsid w:val="00C332D9"/>
    <w:rsid w:val="00C33405"/>
    <w:rsid w:val="00C334DA"/>
    <w:rsid w:val="00C33538"/>
    <w:rsid w:val="00C335F9"/>
    <w:rsid w:val="00C33632"/>
    <w:rsid w:val="00C337A2"/>
    <w:rsid w:val="00C33A29"/>
    <w:rsid w:val="00C33B1F"/>
    <w:rsid w:val="00C33DE9"/>
    <w:rsid w:val="00C342E6"/>
    <w:rsid w:val="00C3493A"/>
    <w:rsid w:val="00C34ED4"/>
    <w:rsid w:val="00C35319"/>
    <w:rsid w:val="00C356A0"/>
    <w:rsid w:val="00C3627C"/>
    <w:rsid w:val="00C3696F"/>
    <w:rsid w:val="00C36E23"/>
    <w:rsid w:val="00C37880"/>
    <w:rsid w:val="00C37924"/>
    <w:rsid w:val="00C37AD7"/>
    <w:rsid w:val="00C37CE4"/>
    <w:rsid w:val="00C37F0B"/>
    <w:rsid w:val="00C40396"/>
    <w:rsid w:val="00C40B5C"/>
    <w:rsid w:val="00C40C66"/>
    <w:rsid w:val="00C40E47"/>
    <w:rsid w:val="00C41077"/>
    <w:rsid w:val="00C412C5"/>
    <w:rsid w:val="00C418BF"/>
    <w:rsid w:val="00C41E10"/>
    <w:rsid w:val="00C41F6D"/>
    <w:rsid w:val="00C4238E"/>
    <w:rsid w:val="00C42C8B"/>
    <w:rsid w:val="00C43CBB"/>
    <w:rsid w:val="00C4575B"/>
    <w:rsid w:val="00C45CBC"/>
    <w:rsid w:val="00C4634F"/>
    <w:rsid w:val="00C46A21"/>
    <w:rsid w:val="00C46F38"/>
    <w:rsid w:val="00C47909"/>
    <w:rsid w:val="00C47AED"/>
    <w:rsid w:val="00C5032F"/>
    <w:rsid w:val="00C50C5D"/>
    <w:rsid w:val="00C50F43"/>
    <w:rsid w:val="00C5120E"/>
    <w:rsid w:val="00C51574"/>
    <w:rsid w:val="00C516FA"/>
    <w:rsid w:val="00C51C64"/>
    <w:rsid w:val="00C52278"/>
    <w:rsid w:val="00C5264C"/>
    <w:rsid w:val="00C52E89"/>
    <w:rsid w:val="00C53176"/>
    <w:rsid w:val="00C534E6"/>
    <w:rsid w:val="00C5381A"/>
    <w:rsid w:val="00C538C5"/>
    <w:rsid w:val="00C544A6"/>
    <w:rsid w:val="00C54B6B"/>
    <w:rsid w:val="00C555D5"/>
    <w:rsid w:val="00C55F22"/>
    <w:rsid w:val="00C5645D"/>
    <w:rsid w:val="00C569EB"/>
    <w:rsid w:val="00C56D73"/>
    <w:rsid w:val="00C57F39"/>
    <w:rsid w:val="00C6057B"/>
    <w:rsid w:val="00C60A84"/>
    <w:rsid w:val="00C60BCE"/>
    <w:rsid w:val="00C60FF3"/>
    <w:rsid w:val="00C617A3"/>
    <w:rsid w:val="00C61882"/>
    <w:rsid w:val="00C62603"/>
    <w:rsid w:val="00C62753"/>
    <w:rsid w:val="00C62F3F"/>
    <w:rsid w:val="00C62FC7"/>
    <w:rsid w:val="00C636AC"/>
    <w:rsid w:val="00C63772"/>
    <w:rsid w:val="00C63793"/>
    <w:rsid w:val="00C6415D"/>
    <w:rsid w:val="00C643E6"/>
    <w:rsid w:val="00C64B34"/>
    <w:rsid w:val="00C65EA2"/>
    <w:rsid w:val="00C667D1"/>
    <w:rsid w:val="00C6689C"/>
    <w:rsid w:val="00C6715B"/>
    <w:rsid w:val="00C6723F"/>
    <w:rsid w:val="00C679E3"/>
    <w:rsid w:val="00C67C9E"/>
    <w:rsid w:val="00C67DF6"/>
    <w:rsid w:val="00C67E57"/>
    <w:rsid w:val="00C70653"/>
    <w:rsid w:val="00C71A91"/>
    <w:rsid w:val="00C71EB9"/>
    <w:rsid w:val="00C7223C"/>
    <w:rsid w:val="00C728A7"/>
    <w:rsid w:val="00C730E2"/>
    <w:rsid w:val="00C73347"/>
    <w:rsid w:val="00C73420"/>
    <w:rsid w:val="00C73EAB"/>
    <w:rsid w:val="00C746BC"/>
    <w:rsid w:val="00C749DB"/>
    <w:rsid w:val="00C74A91"/>
    <w:rsid w:val="00C75248"/>
    <w:rsid w:val="00C75B40"/>
    <w:rsid w:val="00C75E63"/>
    <w:rsid w:val="00C75F5E"/>
    <w:rsid w:val="00C75F6B"/>
    <w:rsid w:val="00C76F9D"/>
    <w:rsid w:val="00C771F4"/>
    <w:rsid w:val="00C7765D"/>
    <w:rsid w:val="00C77F78"/>
    <w:rsid w:val="00C80826"/>
    <w:rsid w:val="00C808D8"/>
    <w:rsid w:val="00C80DA1"/>
    <w:rsid w:val="00C80E45"/>
    <w:rsid w:val="00C80FE4"/>
    <w:rsid w:val="00C815F4"/>
    <w:rsid w:val="00C81843"/>
    <w:rsid w:val="00C81A71"/>
    <w:rsid w:val="00C83315"/>
    <w:rsid w:val="00C8339F"/>
    <w:rsid w:val="00C838BE"/>
    <w:rsid w:val="00C8443B"/>
    <w:rsid w:val="00C844AB"/>
    <w:rsid w:val="00C84504"/>
    <w:rsid w:val="00C84736"/>
    <w:rsid w:val="00C84750"/>
    <w:rsid w:val="00C850E7"/>
    <w:rsid w:val="00C8581B"/>
    <w:rsid w:val="00C8590C"/>
    <w:rsid w:val="00C85AF5"/>
    <w:rsid w:val="00C85B11"/>
    <w:rsid w:val="00C85BF3"/>
    <w:rsid w:val="00C864EA"/>
    <w:rsid w:val="00C86619"/>
    <w:rsid w:val="00C86DBA"/>
    <w:rsid w:val="00C86ECC"/>
    <w:rsid w:val="00C8735A"/>
    <w:rsid w:val="00C87A08"/>
    <w:rsid w:val="00C90277"/>
    <w:rsid w:val="00C9034F"/>
    <w:rsid w:val="00C90820"/>
    <w:rsid w:val="00C908DE"/>
    <w:rsid w:val="00C90B66"/>
    <w:rsid w:val="00C90BE7"/>
    <w:rsid w:val="00C9149B"/>
    <w:rsid w:val="00C91598"/>
    <w:rsid w:val="00C917D9"/>
    <w:rsid w:val="00C91FF1"/>
    <w:rsid w:val="00C92467"/>
    <w:rsid w:val="00C92657"/>
    <w:rsid w:val="00C92711"/>
    <w:rsid w:val="00C93134"/>
    <w:rsid w:val="00C93B2B"/>
    <w:rsid w:val="00C93CB6"/>
    <w:rsid w:val="00C93F1B"/>
    <w:rsid w:val="00C950C2"/>
    <w:rsid w:val="00C959EE"/>
    <w:rsid w:val="00C95E78"/>
    <w:rsid w:val="00C962D0"/>
    <w:rsid w:val="00C969B5"/>
    <w:rsid w:val="00C96CDF"/>
    <w:rsid w:val="00C96EB2"/>
    <w:rsid w:val="00C972F4"/>
    <w:rsid w:val="00C974FA"/>
    <w:rsid w:val="00C9754F"/>
    <w:rsid w:val="00C975A0"/>
    <w:rsid w:val="00C97D18"/>
    <w:rsid w:val="00CA05A4"/>
    <w:rsid w:val="00CA1019"/>
    <w:rsid w:val="00CA14F5"/>
    <w:rsid w:val="00CA1A31"/>
    <w:rsid w:val="00CA1CFF"/>
    <w:rsid w:val="00CA2796"/>
    <w:rsid w:val="00CA2DC0"/>
    <w:rsid w:val="00CA2EF1"/>
    <w:rsid w:val="00CA3295"/>
    <w:rsid w:val="00CA38BD"/>
    <w:rsid w:val="00CA4127"/>
    <w:rsid w:val="00CA415D"/>
    <w:rsid w:val="00CA4453"/>
    <w:rsid w:val="00CA4484"/>
    <w:rsid w:val="00CA453F"/>
    <w:rsid w:val="00CA487E"/>
    <w:rsid w:val="00CA49FD"/>
    <w:rsid w:val="00CA4B50"/>
    <w:rsid w:val="00CA51BD"/>
    <w:rsid w:val="00CA602C"/>
    <w:rsid w:val="00CA62A2"/>
    <w:rsid w:val="00CA63C4"/>
    <w:rsid w:val="00CA659E"/>
    <w:rsid w:val="00CA7CDF"/>
    <w:rsid w:val="00CB0249"/>
    <w:rsid w:val="00CB13AD"/>
    <w:rsid w:val="00CB1E6F"/>
    <w:rsid w:val="00CB224F"/>
    <w:rsid w:val="00CB23B1"/>
    <w:rsid w:val="00CB266B"/>
    <w:rsid w:val="00CB2E94"/>
    <w:rsid w:val="00CB3C69"/>
    <w:rsid w:val="00CB3EEC"/>
    <w:rsid w:val="00CB4B25"/>
    <w:rsid w:val="00CB4C99"/>
    <w:rsid w:val="00CB4CC3"/>
    <w:rsid w:val="00CB4F2B"/>
    <w:rsid w:val="00CB507F"/>
    <w:rsid w:val="00CB5358"/>
    <w:rsid w:val="00CB58FA"/>
    <w:rsid w:val="00CB5B63"/>
    <w:rsid w:val="00CB5F6E"/>
    <w:rsid w:val="00CB6118"/>
    <w:rsid w:val="00CB7346"/>
    <w:rsid w:val="00CB737F"/>
    <w:rsid w:val="00CB7465"/>
    <w:rsid w:val="00CB7591"/>
    <w:rsid w:val="00CB77B1"/>
    <w:rsid w:val="00CB7E3D"/>
    <w:rsid w:val="00CC048A"/>
    <w:rsid w:val="00CC0B2D"/>
    <w:rsid w:val="00CC19A6"/>
    <w:rsid w:val="00CC1B40"/>
    <w:rsid w:val="00CC2986"/>
    <w:rsid w:val="00CC2F86"/>
    <w:rsid w:val="00CC3874"/>
    <w:rsid w:val="00CC38B4"/>
    <w:rsid w:val="00CC4184"/>
    <w:rsid w:val="00CC41B6"/>
    <w:rsid w:val="00CC42F2"/>
    <w:rsid w:val="00CC4300"/>
    <w:rsid w:val="00CC435A"/>
    <w:rsid w:val="00CC44DE"/>
    <w:rsid w:val="00CC46F3"/>
    <w:rsid w:val="00CC46F7"/>
    <w:rsid w:val="00CC48CA"/>
    <w:rsid w:val="00CC54C7"/>
    <w:rsid w:val="00CC5791"/>
    <w:rsid w:val="00CC58DD"/>
    <w:rsid w:val="00CC60A3"/>
    <w:rsid w:val="00CC6D59"/>
    <w:rsid w:val="00CC7335"/>
    <w:rsid w:val="00CC7B6E"/>
    <w:rsid w:val="00CD06FF"/>
    <w:rsid w:val="00CD12F9"/>
    <w:rsid w:val="00CD150B"/>
    <w:rsid w:val="00CD16B7"/>
    <w:rsid w:val="00CD1BF4"/>
    <w:rsid w:val="00CD1F7C"/>
    <w:rsid w:val="00CD26E1"/>
    <w:rsid w:val="00CD2881"/>
    <w:rsid w:val="00CD2A83"/>
    <w:rsid w:val="00CD3385"/>
    <w:rsid w:val="00CD3B73"/>
    <w:rsid w:val="00CD4297"/>
    <w:rsid w:val="00CD4CD2"/>
    <w:rsid w:val="00CD4DF9"/>
    <w:rsid w:val="00CD4E98"/>
    <w:rsid w:val="00CD50D1"/>
    <w:rsid w:val="00CD5A32"/>
    <w:rsid w:val="00CD5D4C"/>
    <w:rsid w:val="00CD6485"/>
    <w:rsid w:val="00CD67B8"/>
    <w:rsid w:val="00CD6AB9"/>
    <w:rsid w:val="00CD6ABE"/>
    <w:rsid w:val="00CD711D"/>
    <w:rsid w:val="00CD7661"/>
    <w:rsid w:val="00CD7727"/>
    <w:rsid w:val="00CD7F34"/>
    <w:rsid w:val="00CD7F8B"/>
    <w:rsid w:val="00CE0269"/>
    <w:rsid w:val="00CE02D3"/>
    <w:rsid w:val="00CE05A4"/>
    <w:rsid w:val="00CE0C5A"/>
    <w:rsid w:val="00CE0D3F"/>
    <w:rsid w:val="00CE3216"/>
    <w:rsid w:val="00CE3FDC"/>
    <w:rsid w:val="00CE4296"/>
    <w:rsid w:val="00CE45F8"/>
    <w:rsid w:val="00CE543D"/>
    <w:rsid w:val="00CE556C"/>
    <w:rsid w:val="00CE55B4"/>
    <w:rsid w:val="00CE5A01"/>
    <w:rsid w:val="00CE5A62"/>
    <w:rsid w:val="00CE5CBE"/>
    <w:rsid w:val="00CE62BF"/>
    <w:rsid w:val="00CE6392"/>
    <w:rsid w:val="00CE63B1"/>
    <w:rsid w:val="00CE648D"/>
    <w:rsid w:val="00CE65D1"/>
    <w:rsid w:val="00CE68B0"/>
    <w:rsid w:val="00CE70EE"/>
    <w:rsid w:val="00CE719F"/>
    <w:rsid w:val="00CF00AA"/>
    <w:rsid w:val="00CF01F0"/>
    <w:rsid w:val="00CF0633"/>
    <w:rsid w:val="00CF0DCF"/>
    <w:rsid w:val="00CF121E"/>
    <w:rsid w:val="00CF1289"/>
    <w:rsid w:val="00CF1364"/>
    <w:rsid w:val="00CF18C1"/>
    <w:rsid w:val="00CF19AF"/>
    <w:rsid w:val="00CF24BD"/>
    <w:rsid w:val="00CF2775"/>
    <w:rsid w:val="00CF279F"/>
    <w:rsid w:val="00CF2F69"/>
    <w:rsid w:val="00CF2F86"/>
    <w:rsid w:val="00CF3D3D"/>
    <w:rsid w:val="00CF419E"/>
    <w:rsid w:val="00CF41F2"/>
    <w:rsid w:val="00CF559D"/>
    <w:rsid w:val="00CF64B6"/>
    <w:rsid w:val="00CF651E"/>
    <w:rsid w:val="00CF65F0"/>
    <w:rsid w:val="00CF6EF7"/>
    <w:rsid w:val="00CF6F2E"/>
    <w:rsid w:val="00CF76B5"/>
    <w:rsid w:val="00CF78EA"/>
    <w:rsid w:val="00CF7A40"/>
    <w:rsid w:val="00CF7A87"/>
    <w:rsid w:val="00CF7B4D"/>
    <w:rsid w:val="00CF7F04"/>
    <w:rsid w:val="00D00A20"/>
    <w:rsid w:val="00D00B88"/>
    <w:rsid w:val="00D00F5A"/>
    <w:rsid w:val="00D0113A"/>
    <w:rsid w:val="00D015C6"/>
    <w:rsid w:val="00D020E8"/>
    <w:rsid w:val="00D021E1"/>
    <w:rsid w:val="00D02667"/>
    <w:rsid w:val="00D029DC"/>
    <w:rsid w:val="00D02B95"/>
    <w:rsid w:val="00D034CB"/>
    <w:rsid w:val="00D0398F"/>
    <w:rsid w:val="00D03ABB"/>
    <w:rsid w:val="00D04063"/>
    <w:rsid w:val="00D0411D"/>
    <w:rsid w:val="00D0446B"/>
    <w:rsid w:val="00D04647"/>
    <w:rsid w:val="00D051B5"/>
    <w:rsid w:val="00D05655"/>
    <w:rsid w:val="00D057A0"/>
    <w:rsid w:val="00D057C2"/>
    <w:rsid w:val="00D05F60"/>
    <w:rsid w:val="00D06084"/>
    <w:rsid w:val="00D06234"/>
    <w:rsid w:val="00D06C16"/>
    <w:rsid w:val="00D07331"/>
    <w:rsid w:val="00D077BA"/>
    <w:rsid w:val="00D07B17"/>
    <w:rsid w:val="00D07B4F"/>
    <w:rsid w:val="00D10F0F"/>
    <w:rsid w:val="00D11586"/>
    <w:rsid w:val="00D11C7F"/>
    <w:rsid w:val="00D12A84"/>
    <w:rsid w:val="00D12EC2"/>
    <w:rsid w:val="00D131EA"/>
    <w:rsid w:val="00D13421"/>
    <w:rsid w:val="00D13437"/>
    <w:rsid w:val="00D13697"/>
    <w:rsid w:val="00D137BE"/>
    <w:rsid w:val="00D13B1F"/>
    <w:rsid w:val="00D148AA"/>
    <w:rsid w:val="00D14949"/>
    <w:rsid w:val="00D1494C"/>
    <w:rsid w:val="00D149F4"/>
    <w:rsid w:val="00D152D7"/>
    <w:rsid w:val="00D157AC"/>
    <w:rsid w:val="00D15D2D"/>
    <w:rsid w:val="00D15E1A"/>
    <w:rsid w:val="00D16095"/>
    <w:rsid w:val="00D160E8"/>
    <w:rsid w:val="00D1692D"/>
    <w:rsid w:val="00D1749A"/>
    <w:rsid w:val="00D17920"/>
    <w:rsid w:val="00D17E67"/>
    <w:rsid w:val="00D20772"/>
    <w:rsid w:val="00D20E33"/>
    <w:rsid w:val="00D211F6"/>
    <w:rsid w:val="00D215DE"/>
    <w:rsid w:val="00D22019"/>
    <w:rsid w:val="00D22239"/>
    <w:rsid w:val="00D2324B"/>
    <w:rsid w:val="00D23372"/>
    <w:rsid w:val="00D2346F"/>
    <w:rsid w:val="00D23899"/>
    <w:rsid w:val="00D23EEA"/>
    <w:rsid w:val="00D240A7"/>
    <w:rsid w:val="00D25110"/>
    <w:rsid w:val="00D252A8"/>
    <w:rsid w:val="00D2563E"/>
    <w:rsid w:val="00D25B7D"/>
    <w:rsid w:val="00D25D6C"/>
    <w:rsid w:val="00D26E24"/>
    <w:rsid w:val="00D26E76"/>
    <w:rsid w:val="00D272FF"/>
    <w:rsid w:val="00D27AA6"/>
    <w:rsid w:val="00D3055B"/>
    <w:rsid w:val="00D30AB6"/>
    <w:rsid w:val="00D30CD6"/>
    <w:rsid w:val="00D30EA3"/>
    <w:rsid w:val="00D31354"/>
    <w:rsid w:val="00D32290"/>
    <w:rsid w:val="00D322F6"/>
    <w:rsid w:val="00D327CF"/>
    <w:rsid w:val="00D32A8E"/>
    <w:rsid w:val="00D331F4"/>
    <w:rsid w:val="00D33D7D"/>
    <w:rsid w:val="00D3427D"/>
    <w:rsid w:val="00D35492"/>
    <w:rsid w:val="00D3559A"/>
    <w:rsid w:val="00D35626"/>
    <w:rsid w:val="00D35CD7"/>
    <w:rsid w:val="00D3607B"/>
    <w:rsid w:val="00D36613"/>
    <w:rsid w:val="00D36AC3"/>
    <w:rsid w:val="00D36F77"/>
    <w:rsid w:val="00D37411"/>
    <w:rsid w:val="00D3744A"/>
    <w:rsid w:val="00D37941"/>
    <w:rsid w:val="00D37B74"/>
    <w:rsid w:val="00D40262"/>
    <w:rsid w:val="00D40AE5"/>
    <w:rsid w:val="00D40B0C"/>
    <w:rsid w:val="00D40CE0"/>
    <w:rsid w:val="00D41087"/>
    <w:rsid w:val="00D411C7"/>
    <w:rsid w:val="00D41545"/>
    <w:rsid w:val="00D41929"/>
    <w:rsid w:val="00D41F31"/>
    <w:rsid w:val="00D427B8"/>
    <w:rsid w:val="00D42AB4"/>
    <w:rsid w:val="00D4330D"/>
    <w:rsid w:val="00D439D6"/>
    <w:rsid w:val="00D43D1F"/>
    <w:rsid w:val="00D43EF7"/>
    <w:rsid w:val="00D441DE"/>
    <w:rsid w:val="00D44BDE"/>
    <w:rsid w:val="00D44E61"/>
    <w:rsid w:val="00D4511C"/>
    <w:rsid w:val="00D455CA"/>
    <w:rsid w:val="00D45941"/>
    <w:rsid w:val="00D45ACC"/>
    <w:rsid w:val="00D46493"/>
    <w:rsid w:val="00D46862"/>
    <w:rsid w:val="00D46A18"/>
    <w:rsid w:val="00D46FF7"/>
    <w:rsid w:val="00D476DA"/>
    <w:rsid w:val="00D47BA1"/>
    <w:rsid w:val="00D47F2C"/>
    <w:rsid w:val="00D5086A"/>
    <w:rsid w:val="00D50A09"/>
    <w:rsid w:val="00D50C01"/>
    <w:rsid w:val="00D50CB1"/>
    <w:rsid w:val="00D512DE"/>
    <w:rsid w:val="00D515C9"/>
    <w:rsid w:val="00D51AE9"/>
    <w:rsid w:val="00D51B27"/>
    <w:rsid w:val="00D51C22"/>
    <w:rsid w:val="00D51F2A"/>
    <w:rsid w:val="00D521A4"/>
    <w:rsid w:val="00D522F6"/>
    <w:rsid w:val="00D5262E"/>
    <w:rsid w:val="00D52741"/>
    <w:rsid w:val="00D52BE9"/>
    <w:rsid w:val="00D53170"/>
    <w:rsid w:val="00D53490"/>
    <w:rsid w:val="00D5398F"/>
    <w:rsid w:val="00D53B08"/>
    <w:rsid w:val="00D53C72"/>
    <w:rsid w:val="00D53F87"/>
    <w:rsid w:val="00D5407D"/>
    <w:rsid w:val="00D540A8"/>
    <w:rsid w:val="00D541DC"/>
    <w:rsid w:val="00D54665"/>
    <w:rsid w:val="00D54D1D"/>
    <w:rsid w:val="00D55064"/>
    <w:rsid w:val="00D55490"/>
    <w:rsid w:val="00D564EE"/>
    <w:rsid w:val="00D56EFE"/>
    <w:rsid w:val="00D57102"/>
    <w:rsid w:val="00D57885"/>
    <w:rsid w:val="00D57B65"/>
    <w:rsid w:val="00D6008D"/>
    <w:rsid w:val="00D60190"/>
    <w:rsid w:val="00D60442"/>
    <w:rsid w:val="00D606D2"/>
    <w:rsid w:val="00D60DA1"/>
    <w:rsid w:val="00D612A1"/>
    <w:rsid w:val="00D61BBA"/>
    <w:rsid w:val="00D61BFC"/>
    <w:rsid w:val="00D6200A"/>
    <w:rsid w:val="00D623FD"/>
    <w:rsid w:val="00D62758"/>
    <w:rsid w:val="00D63114"/>
    <w:rsid w:val="00D63129"/>
    <w:rsid w:val="00D632C0"/>
    <w:rsid w:val="00D64B7A"/>
    <w:rsid w:val="00D65372"/>
    <w:rsid w:val="00D654C2"/>
    <w:rsid w:val="00D65C96"/>
    <w:rsid w:val="00D65D2D"/>
    <w:rsid w:val="00D65D57"/>
    <w:rsid w:val="00D66B31"/>
    <w:rsid w:val="00D673E2"/>
    <w:rsid w:val="00D6777C"/>
    <w:rsid w:val="00D7003A"/>
    <w:rsid w:val="00D710F0"/>
    <w:rsid w:val="00D71B5F"/>
    <w:rsid w:val="00D721FE"/>
    <w:rsid w:val="00D72AAA"/>
    <w:rsid w:val="00D73180"/>
    <w:rsid w:val="00D732AE"/>
    <w:rsid w:val="00D73480"/>
    <w:rsid w:val="00D735D5"/>
    <w:rsid w:val="00D74829"/>
    <w:rsid w:val="00D74937"/>
    <w:rsid w:val="00D749B0"/>
    <w:rsid w:val="00D74B84"/>
    <w:rsid w:val="00D74CBA"/>
    <w:rsid w:val="00D75001"/>
    <w:rsid w:val="00D761BA"/>
    <w:rsid w:val="00D7699F"/>
    <w:rsid w:val="00D76CFD"/>
    <w:rsid w:val="00D7705C"/>
    <w:rsid w:val="00D77630"/>
    <w:rsid w:val="00D77915"/>
    <w:rsid w:val="00D80549"/>
    <w:rsid w:val="00D806E8"/>
    <w:rsid w:val="00D80803"/>
    <w:rsid w:val="00D80B1E"/>
    <w:rsid w:val="00D80BCF"/>
    <w:rsid w:val="00D80D27"/>
    <w:rsid w:val="00D80D39"/>
    <w:rsid w:val="00D80E5E"/>
    <w:rsid w:val="00D825CF"/>
    <w:rsid w:val="00D82729"/>
    <w:rsid w:val="00D828FE"/>
    <w:rsid w:val="00D82BC6"/>
    <w:rsid w:val="00D82D1F"/>
    <w:rsid w:val="00D830AD"/>
    <w:rsid w:val="00D836F3"/>
    <w:rsid w:val="00D83EC3"/>
    <w:rsid w:val="00D84166"/>
    <w:rsid w:val="00D84ADE"/>
    <w:rsid w:val="00D850B0"/>
    <w:rsid w:val="00D8553F"/>
    <w:rsid w:val="00D85ABB"/>
    <w:rsid w:val="00D860A3"/>
    <w:rsid w:val="00D860ED"/>
    <w:rsid w:val="00D86278"/>
    <w:rsid w:val="00D86C17"/>
    <w:rsid w:val="00D86CDF"/>
    <w:rsid w:val="00D8708E"/>
    <w:rsid w:val="00D871CC"/>
    <w:rsid w:val="00D8749B"/>
    <w:rsid w:val="00D876C8"/>
    <w:rsid w:val="00D877AD"/>
    <w:rsid w:val="00D87B62"/>
    <w:rsid w:val="00D9032E"/>
    <w:rsid w:val="00D90D18"/>
    <w:rsid w:val="00D90D89"/>
    <w:rsid w:val="00D90DD3"/>
    <w:rsid w:val="00D914A3"/>
    <w:rsid w:val="00D93A98"/>
    <w:rsid w:val="00D93DA6"/>
    <w:rsid w:val="00D93E22"/>
    <w:rsid w:val="00D93E2D"/>
    <w:rsid w:val="00D93E6C"/>
    <w:rsid w:val="00D93F31"/>
    <w:rsid w:val="00D94384"/>
    <w:rsid w:val="00D94E0F"/>
    <w:rsid w:val="00D95177"/>
    <w:rsid w:val="00D9542D"/>
    <w:rsid w:val="00D95B6E"/>
    <w:rsid w:val="00D963D0"/>
    <w:rsid w:val="00D965B4"/>
    <w:rsid w:val="00D96EF4"/>
    <w:rsid w:val="00D9746C"/>
    <w:rsid w:val="00D978DF"/>
    <w:rsid w:val="00D97A2F"/>
    <w:rsid w:val="00D97F26"/>
    <w:rsid w:val="00DA00D0"/>
    <w:rsid w:val="00DA1136"/>
    <w:rsid w:val="00DA28EA"/>
    <w:rsid w:val="00DA2C3B"/>
    <w:rsid w:val="00DA306F"/>
    <w:rsid w:val="00DA38F1"/>
    <w:rsid w:val="00DA3B22"/>
    <w:rsid w:val="00DA3DF1"/>
    <w:rsid w:val="00DA4722"/>
    <w:rsid w:val="00DA4C4C"/>
    <w:rsid w:val="00DA52D8"/>
    <w:rsid w:val="00DA5336"/>
    <w:rsid w:val="00DA656B"/>
    <w:rsid w:val="00DA6CF0"/>
    <w:rsid w:val="00DA7B61"/>
    <w:rsid w:val="00DB0A9B"/>
    <w:rsid w:val="00DB0AF6"/>
    <w:rsid w:val="00DB0C28"/>
    <w:rsid w:val="00DB0E05"/>
    <w:rsid w:val="00DB1BA0"/>
    <w:rsid w:val="00DB2CA0"/>
    <w:rsid w:val="00DB3740"/>
    <w:rsid w:val="00DB375D"/>
    <w:rsid w:val="00DB3BC1"/>
    <w:rsid w:val="00DB3ECB"/>
    <w:rsid w:val="00DB42A0"/>
    <w:rsid w:val="00DB470E"/>
    <w:rsid w:val="00DB491C"/>
    <w:rsid w:val="00DB4E09"/>
    <w:rsid w:val="00DB5642"/>
    <w:rsid w:val="00DB5781"/>
    <w:rsid w:val="00DB5982"/>
    <w:rsid w:val="00DB5BF1"/>
    <w:rsid w:val="00DB5C27"/>
    <w:rsid w:val="00DB6918"/>
    <w:rsid w:val="00DB6950"/>
    <w:rsid w:val="00DB6AB6"/>
    <w:rsid w:val="00DB6CE4"/>
    <w:rsid w:val="00DB6E17"/>
    <w:rsid w:val="00DB7060"/>
    <w:rsid w:val="00DB7331"/>
    <w:rsid w:val="00DB7707"/>
    <w:rsid w:val="00DB7965"/>
    <w:rsid w:val="00DB7CC5"/>
    <w:rsid w:val="00DB7CD8"/>
    <w:rsid w:val="00DB7D49"/>
    <w:rsid w:val="00DB7DC8"/>
    <w:rsid w:val="00DC02DE"/>
    <w:rsid w:val="00DC037F"/>
    <w:rsid w:val="00DC0A34"/>
    <w:rsid w:val="00DC0F1C"/>
    <w:rsid w:val="00DC1603"/>
    <w:rsid w:val="00DC1A26"/>
    <w:rsid w:val="00DC1E48"/>
    <w:rsid w:val="00DC1FCC"/>
    <w:rsid w:val="00DC2432"/>
    <w:rsid w:val="00DC2721"/>
    <w:rsid w:val="00DC27C1"/>
    <w:rsid w:val="00DC2B23"/>
    <w:rsid w:val="00DC32AB"/>
    <w:rsid w:val="00DC3374"/>
    <w:rsid w:val="00DC363C"/>
    <w:rsid w:val="00DC3C6A"/>
    <w:rsid w:val="00DC444F"/>
    <w:rsid w:val="00DC477D"/>
    <w:rsid w:val="00DC4B8A"/>
    <w:rsid w:val="00DC54E4"/>
    <w:rsid w:val="00DC5D65"/>
    <w:rsid w:val="00DC5E50"/>
    <w:rsid w:val="00DC5F23"/>
    <w:rsid w:val="00DC63BB"/>
    <w:rsid w:val="00DC6756"/>
    <w:rsid w:val="00DC67B3"/>
    <w:rsid w:val="00DC6D3B"/>
    <w:rsid w:val="00DC75BF"/>
    <w:rsid w:val="00DC79B7"/>
    <w:rsid w:val="00DD0005"/>
    <w:rsid w:val="00DD0832"/>
    <w:rsid w:val="00DD0E32"/>
    <w:rsid w:val="00DD0E48"/>
    <w:rsid w:val="00DD1488"/>
    <w:rsid w:val="00DD165C"/>
    <w:rsid w:val="00DD1B2A"/>
    <w:rsid w:val="00DD1F17"/>
    <w:rsid w:val="00DD1FE1"/>
    <w:rsid w:val="00DD20EA"/>
    <w:rsid w:val="00DD23C4"/>
    <w:rsid w:val="00DD2D1B"/>
    <w:rsid w:val="00DD34EB"/>
    <w:rsid w:val="00DD3636"/>
    <w:rsid w:val="00DD383C"/>
    <w:rsid w:val="00DD3938"/>
    <w:rsid w:val="00DD396A"/>
    <w:rsid w:val="00DD3C42"/>
    <w:rsid w:val="00DD3D41"/>
    <w:rsid w:val="00DD4243"/>
    <w:rsid w:val="00DD4718"/>
    <w:rsid w:val="00DD4E4B"/>
    <w:rsid w:val="00DD56D1"/>
    <w:rsid w:val="00DD5A87"/>
    <w:rsid w:val="00DD5BE5"/>
    <w:rsid w:val="00DD5CAD"/>
    <w:rsid w:val="00DD688C"/>
    <w:rsid w:val="00DD6D18"/>
    <w:rsid w:val="00DD7783"/>
    <w:rsid w:val="00DD792F"/>
    <w:rsid w:val="00DE0826"/>
    <w:rsid w:val="00DE084B"/>
    <w:rsid w:val="00DE0BFC"/>
    <w:rsid w:val="00DE0C0D"/>
    <w:rsid w:val="00DE1702"/>
    <w:rsid w:val="00DE17CC"/>
    <w:rsid w:val="00DE1816"/>
    <w:rsid w:val="00DE1B89"/>
    <w:rsid w:val="00DE1F5C"/>
    <w:rsid w:val="00DE24FF"/>
    <w:rsid w:val="00DE2767"/>
    <w:rsid w:val="00DE2CC4"/>
    <w:rsid w:val="00DE3D10"/>
    <w:rsid w:val="00DE3FA7"/>
    <w:rsid w:val="00DE443C"/>
    <w:rsid w:val="00DE4465"/>
    <w:rsid w:val="00DE454E"/>
    <w:rsid w:val="00DE4C0D"/>
    <w:rsid w:val="00DE4C65"/>
    <w:rsid w:val="00DE4DE8"/>
    <w:rsid w:val="00DE5236"/>
    <w:rsid w:val="00DE57CB"/>
    <w:rsid w:val="00DE6695"/>
    <w:rsid w:val="00DE6D3A"/>
    <w:rsid w:val="00DE7791"/>
    <w:rsid w:val="00DE7B9A"/>
    <w:rsid w:val="00DE7BB7"/>
    <w:rsid w:val="00DF04A1"/>
    <w:rsid w:val="00DF06E7"/>
    <w:rsid w:val="00DF079F"/>
    <w:rsid w:val="00DF12A2"/>
    <w:rsid w:val="00DF1F2D"/>
    <w:rsid w:val="00DF1F76"/>
    <w:rsid w:val="00DF2160"/>
    <w:rsid w:val="00DF2385"/>
    <w:rsid w:val="00DF2530"/>
    <w:rsid w:val="00DF262B"/>
    <w:rsid w:val="00DF2942"/>
    <w:rsid w:val="00DF3578"/>
    <w:rsid w:val="00DF35C0"/>
    <w:rsid w:val="00DF3896"/>
    <w:rsid w:val="00DF399D"/>
    <w:rsid w:val="00DF3B1D"/>
    <w:rsid w:val="00DF3D68"/>
    <w:rsid w:val="00DF4179"/>
    <w:rsid w:val="00DF4696"/>
    <w:rsid w:val="00DF4AC1"/>
    <w:rsid w:val="00DF4E98"/>
    <w:rsid w:val="00DF554B"/>
    <w:rsid w:val="00DF5A56"/>
    <w:rsid w:val="00DF7402"/>
    <w:rsid w:val="00E00A86"/>
    <w:rsid w:val="00E01C2D"/>
    <w:rsid w:val="00E01C84"/>
    <w:rsid w:val="00E021E9"/>
    <w:rsid w:val="00E026D2"/>
    <w:rsid w:val="00E0290F"/>
    <w:rsid w:val="00E02D3F"/>
    <w:rsid w:val="00E036AF"/>
    <w:rsid w:val="00E03E29"/>
    <w:rsid w:val="00E04387"/>
    <w:rsid w:val="00E044A8"/>
    <w:rsid w:val="00E04B42"/>
    <w:rsid w:val="00E059D5"/>
    <w:rsid w:val="00E05AE5"/>
    <w:rsid w:val="00E05B93"/>
    <w:rsid w:val="00E05C63"/>
    <w:rsid w:val="00E05FC3"/>
    <w:rsid w:val="00E06B82"/>
    <w:rsid w:val="00E06F54"/>
    <w:rsid w:val="00E071D4"/>
    <w:rsid w:val="00E07561"/>
    <w:rsid w:val="00E07646"/>
    <w:rsid w:val="00E07775"/>
    <w:rsid w:val="00E0788C"/>
    <w:rsid w:val="00E104CF"/>
    <w:rsid w:val="00E11E45"/>
    <w:rsid w:val="00E12440"/>
    <w:rsid w:val="00E124A5"/>
    <w:rsid w:val="00E12716"/>
    <w:rsid w:val="00E127D5"/>
    <w:rsid w:val="00E13EF4"/>
    <w:rsid w:val="00E1448C"/>
    <w:rsid w:val="00E14961"/>
    <w:rsid w:val="00E14AA4"/>
    <w:rsid w:val="00E153DB"/>
    <w:rsid w:val="00E159C7"/>
    <w:rsid w:val="00E15CCF"/>
    <w:rsid w:val="00E1638F"/>
    <w:rsid w:val="00E16848"/>
    <w:rsid w:val="00E16871"/>
    <w:rsid w:val="00E16D29"/>
    <w:rsid w:val="00E16F11"/>
    <w:rsid w:val="00E171C9"/>
    <w:rsid w:val="00E17309"/>
    <w:rsid w:val="00E17600"/>
    <w:rsid w:val="00E17933"/>
    <w:rsid w:val="00E179A3"/>
    <w:rsid w:val="00E17CD7"/>
    <w:rsid w:val="00E20452"/>
    <w:rsid w:val="00E20BF5"/>
    <w:rsid w:val="00E211BB"/>
    <w:rsid w:val="00E2198D"/>
    <w:rsid w:val="00E22D85"/>
    <w:rsid w:val="00E2303D"/>
    <w:rsid w:val="00E235A8"/>
    <w:rsid w:val="00E239DE"/>
    <w:rsid w:val="00E24545"/>
    <w:rsid w:val="00E24631"/>
    <w:rsid w:val="00E24889"/>
    <w:rsid w:val="00E24AC9"/>
    <w:rsid w:val="00E24CAB"/>
    <w:rsid w:val="00E25177"/>
    <w:rsid w:val="00E262C6"/>
    <w:rsid w:val="00E26919"/>
    <w:rsid w:val="00E26BB0"/>
    <w:rsid w:val="00E26C82"/>
    <w:rsid w:val="00E27599"/>
    <w:rsid w:val="00E301E8"/>
    <w:rsid w:val="00E3121E"/>
    <w:rsid w:val="00E31379"/>
    <w:rsid w:val="00E32743"/>
    <w:rsid w:val="00E32793"/>
    <w:rsid w:val="00E32917"/>
    <w:rsid w:val="00E32F89"/>
    <w:rsid w:val="00E33195"/>
    <w:rsid w:val="00E3363F"/>
    <w:rsid w:val="00E3486A"/>
    <w:rsid w:val="00E35805"/>
    <w:rsid w:val="00E35896"/>
    <w:rsid w:val="00E358AC"/>
    <w:rsid w:val="00E35A00"/>
    <w:rsid w:val="00E35FD2"/>
    <w:rsid w:val="00E3689C"/>
    <w:rsid w:val="00E36904"/>
    <w:rsid w:val="00E375F4"/>
    <w:rsid w:val="00E37B7B"/>
    <w:rsid w:val="00E37CBC"/>
    <w:rsid w:val="00E37FCF"/>
    <w:rsid w:val="00E409E0"/>
    <w:rsid w:val="00E40F59"/>
    <w:rsid w:val="00E413D8"/>
    <w:rsid w:val="00E4153A"/>
    <w:rsid w:val="00E419B6"/>
    <w:rsid w:val="00E41A25"/>
    <w:rsid w:val="00E41D27"/>
    <w:rsid w:val="00E41E23"/>
    <w:rsid w:val="00E43A94"/>
    <w:rsid w:val="00E43E37"/>
    <w:rsid w:val="00E44665"/>
    <w:rsid w:val="00E44B7F"/>
    <w:rsid w:val="00E44FE8"/>
    <w:rsid w:val="00E45289"/>
    <w:rsid w:val="00E45386"/>
    <w:rsid w:val="00E4582C"/>
    <w:rsid w:val="00E4584C"/>
    <w:rsid w:val="00E460EA"/>
    <w:rsid w:val="00E4648F"/>
    <w:rsid w:val="00E4664B"/>
    <w:rsid w:val="00E46693"/>
    <w:rsid w:val="00E470A3"/>
    <w:rsid w:val="00E47238"/>
    <w:rsid w:val="00E47710"/>
    <w:rsid w:val="00E47D64"/>
    <w:rsid w:val="00E47DBA"/>
    <w:rsid w:val="00E47E7D"/>
    <w:rsid w:val="00E47ED9"/>
    <w:rsid w:val="00E5011D"/>
    <w:rsid w:val="00E5050B"/>
    <w:rsid w:val="00E5052D"/>
    <w:rsid w:val="00E51CED"/>
    <w:rsid w:val="00E52A30"/>
    <w:rsid w:val="00E53150"/>
    <w:rsid w:val="00E53319"/>
    <w:rsid w:val="00E53338"/>
    <w:rsid w:val="00E53C15"/>
    <w:rsid w:val="00E542DE"/>
    <w:rsid w:val="00E544F2"/>
    <w:rsid w:val="00E54A29"/>
    <w:rsid w:val="00E55097"/>
    <w:rsid w:val="00E5557A"/>
    <w:rsid w:val="00E557FC"/>
    <w:rsid w:val="00E55DFA"/>
    <w:rsid w:val="00E56164"/>
    <w:rsid w:val="00E56232"/>
    <w:rsid w:val="00E56E9B"/>
    <w:rsid w:val="00E57F9A"/>
    <w:rsid w:val="00E6002F"/>
    <w:rsid w:val="00E6031D"/>
    <w:rsid w:val="00E604C3"/>
    <w:rsid w:val="00E6089B"/>
    <w:rsid w:val="00E60FA1"/>
    <w:rsid w:val="00E61606"/>
    <w:rsid w:val="00E61C48"/>
    <w:rsid w:val="00E63BE6"/>
    <w:rsid w:val="00E63CBB"/>
    <w:rsid w:val="00E63EEA"/>
    <w:rsid w:val="00E6433C"/>
    <w:rsid w:val="00E64C2E"/>
    <w:rsid w:val="00E653C4"/>
    <w:rsid w:val="00E65AD8"/>
    <w:rsid w:val="00E6686B"/>
    <w:rsid w:val="00E66902"/>
    <w:rsid w:val="00E66D42"/>
    <w:rsid w:val="00E66D57"/>
    <w:rsid w:val="00E6726A"/>
    <w:rsid w:val="00E67348"/>
    <w:rsid w:val="00E6757F"/>
    <w:rsid w:val="00E678B3"/>
    <w:rsid w:val="00E67C13"/>
    <w:rsid w:val="00E67C19"/>
    <w:rsid w:val="00E702D9"/>
    <w:rsid w:val="00E703F0"/>
    <w:rsid w:val="00E7069B"/>
    <w:rsid w:val="00E70BDA"/>
    <w:rsid w:val="00E71048"/>
    <w:rsid w:val="00E7107A"/>
    <w:rsid w:val="00E7195E"/>
    <w:rsid w:val="00E72502"/>
    <w:rsid w:val="00E72A77"/>
    <w:rsid w:val="00E72AAA"/>
    <w:rsid w:val="00E72F05"/>
    <w:rsid w:val="00E7324C"/>
    <w:rsid w:val="00E7398E"/>
    <w:rsid w:val="00E7419C"/>
    <w:rsid w:val="00E75231"/>
    <w:rsid w:val="00E7537B"/>
    <w:rsid w:val="00E758C0"/>
    <w:rsid w:val="00E75B8F"/>
    <w:rsid w:val="00E75E6C"/>
    <w:rsid w:val="00E75F5D"/>
    <w:rsid w:val="00E762CE"/>
    <w:rsid w:val="00E76307"/>
    <w:rsid w:val="00E7667C"/>
    <w:rsid w:val="00E7731E"/>
    <w:rsid w:val="00E77329"/>
    <w:rsid w:val="00E7747B"/>
    <w:rsid w:val="00E7762F"/>
    <w:rsid w:val="00E77C6C"/>
    <w:rsid w:val="00E8056A"/>
    <w:rsid w:val="00E80A89"/>
    <w:rsid w:val="00E812D3"/>
    <w:rsid w:val="00E81E26"/>
    <w:rsid w:val="00E82396"/>
    <w:rsid w:val="00E8258C"/>
    <w:rsid w:val="00E825BE"/>
    <w:rsid w:val="00E82A71"/>
    <w:rsid w:val="00E83630"/>
    <w:rsid w:val="00E83E3D"/>
    <w:rsid w:val="00E842A2"/>
    <w:rsid w:val="00E84632"/>
    <w:rsid w:val="00E84D55"/>
    <w:rsid w:val="00E852A8"/>
    <w:rsid w:val="00E858C4"/>
    <w:rsid w:val="00E86257"/>
    <w:rsid w:val="00E86C1F"/>
    <w:rsid w:val="00E875E7"/>
    <w:rsid w:val="00E87767"/>
    <w:rsid w:val="00E87833"/>
    <w:rsid w:val="00E8793D"/>
    <w:rsid w:val="00E87B3C"/>
    <w:rsid w:val="00E87E83"/>
    <w:rsid w:val="00E90074"/>
    <w:rsid w:val="00E901F9"/>
    <w:rsid w:val="00E906FE"/>
    <w:rsid w:val="00E90A99"/>
    <w:rsid w:val="00E90B5F"/>
    <w:rsid w:val="00E90EE5"/>
    <w:rsid w:val="00E91B2C"/>
    <w:rsid w:val="00E921B4"/>
    <w:rsid w:val="00E9253C"/>
    <w:rsid w:val="00E93041"/>
    <w:rsid w:val="00E933A3"/>
    <w:rsid w:val="00E93BC6"/>
    <w:rsid w:val="00E9438F"/>
    <w:rsid w:val="00E94735"/>
    <w:rsid w:val="00E953B4"/>
    <w:rsid w:val="00E957F0"/>
    <w:rsid w:val="00E95B12"/>
    <w:rsid w:val="00E95CC2"/>
    <w:rsid w:val="00E95CF5"/>
    <w:rsid w:val="00E962A5"/>
    <w:rsid w:val="00E9649D"/>
    <w:rsid w:val="00E96831"/>
    <w:rsid w:val="00E96895"/>
    <w:rsid w:val="00E9694C"/>
    <w:rsid w:val="00E9695A"/>
    <w:rsid w:val="00E96AEC"/>
    <w:rsid w:val="00E97283"/>
    <w:rsid w:val="00E97862"/>
    <w:rsid w:val="00E9791D"/>
    <w:rsid w:val="00EA0108"/>
    <w:rsid w:val="00EA04D4"/>
    <w:rsid w:val="00EA0583"/>
    <w:rsid w:val="00EA1016"/>
    <w:rsid w:val="00EA1A0C"/>
    <w:rsid w:val="00EA1B48"/>
    <w:rsid w:val="00EA200D"/>
    <w:rsid w:val="00EA20B1"/>
    <w:rsid w:val="00EA225A"/>
    <w:rsid w:val="00EA3064"/>
    <w:rsid w:val="00EA31CD"/>
    <w:rsid w:val="00EA3A3D"/>
    <w:rsid w:val="00EA4931"/>
    <w:rsid w:val="00EA4E6E"/>
    <w:rsid w:val="00EA6065"/>
    <w:rsid w:val="00EA655E"/>
    <w:rsid w:val="00EA6869"/>
    <w:rsid w:val="00EA6C1B"/>
    <w:rsid w:val="00EA74B9"/>
    <w:rsid w:val="00EA7743"/>
    <w:rsid w:val="00EA79E1"/>
    <w:rsid w:val="00EB00DD"/>
    <w:rsid w:val="00EB0DCD"/>
    <w:rsid w:val="00EB0DF7"/>
    <w:rsid w:val="00EB0F31"/>
    <w:rsid w:val="00EB1288"/>
    <w:rsid w:val="00EB1424"/>
    <w:rsid w:val="00EB16A4"/>
    <w:rsid w:val="00EB2479"/>
    <w:rsid w:val="00EB2D3E"/>
    <w:rsid w:val="00EB31BB"/>
    <w:rsid w:val="00EB3806"/>
    <w:rsid w:val="00EB3C86"/>
    <w:rsid w:val="00EB3FFF"/>
    <w:rsid w:val="00EB430D"/>
    <w:rsid w:val="00EB48EF"/>
    <w:rsid w:val="00EB52E6"/>
    <w:rsid w:val="00EB5307"/>
    <w:rsid w:val="00EB530C"/>
    <w:rsid w:val="00EB5F37"/>
    <w:rsid w:val="00EB63B5"/>
    <w:rsid w:val="00EB65B9"/>
    <w:rsid w:val="00EB6AF4"/>
    <w:rsid w:val="00EB6E6B"/>
    <w:rsid w:val="00EB75BC"/>
    <w:rsid w:val="00EB75CD"/>
    <w:rsid w:val="00EB7792"/>
    <w:rsid w:val="00EB7A62"/>
    <w:rsid w:val="00EC029F"/>
    <w:rsid w:val="00EC02DC"/>
    <w:rsid w:val="00EC0624"/>
    <w:rsid w:val="00EC092B"/>
    <w:rsid w:val="00EC09A1"/>
    <w:rsid w:val="00EC1416"/>
    <w:rsid w:val="00EC14D5"/>
    <w:rsid w:val="00EC1A2F"/>
    <w:rsid w:val="00EC1E1E"/>
    <w:rsid w:val="00EC303A"/>
    <w:rsid w:val="00EC3301"/>
    <w:rsid w:val="00EC337C"/>
    <w:rsid w:val="00EC4C24"/>
    <w:rsid w:val="00EC5829"/>
    <w:rsid w:val="00EC5F78"/>
    <w:rsid w:val="00EC602C"/>
    <w:rsid w:val="00EC6226"/>
    <w:rsid w:val="00EC66ED"/>
    <w:rsid w:val="00EC6979"/>
    <w:rsid w:val="00EC6C87"/>
    <w:rsid w:val="00EC712E"/>
    <w:rsid w:val="00EC7512"/>
    <w:rsid w:val="00EC7617"/>
    <w:rsid w:val="00ED0308"/>
    <w:rsid w:val="00ED0953"/>
    <w:rsid w:val="00ED1356"/>
    <w:rsid w:val="00ED334F"/>
    <w:rsid w:val="00ED33C8"/>
    <w:rsid w:val="00ED3900"/>
    <w:rsid w:val="00ED3AB3"/>
    <w:rsid w:val="00ED3E24"/>
    <w:rsid w:val="00ED3E9D"/>
    <w:rsid w:val="00ED40A9"/>
    <w:rsid w:val="00ED476A"/>
    <w:rsid w:val="00ED492A"/>
    <w:rsid w:val="00ED49EC"/>
    <w:rsid w:val="00ED524E"/>
    <w:rsid w:val="00ED5D6F"/>
    <w:rsid w:val="00ED5E5E"/>
    <w:rsid w:val="00ED5FCE"/>
    <w:rsid w:val="00ED625D"/>
    <w:rsid w:val="00ED6443"/>
    <w:rsid w:val="00ED698D"/>
    <w:rsid w:val="00ED6BEC"/>
    <w:rsid w:val="00ED6C0A"/>
    <w:rsid w:val="00ED6F8F"/>
    <w:rsid w:val="00ED7A47"/>
    <w:rsid w:val="00EE0C66"/>
    <w:rsid w:val="00EE1884"/>
    <w:rsid w:val="00EE2057"/>
    <w:rsid w:val="00EE27FD"/>
    <w:rsid w:val="00EE2C20"/>
    <w:rsid w:val="00EE2D76"/>
    <w:rsid w:val="00EE2DF1"/>
    <w:rsid w:val="00EE36F1"/>
    <w:rsid w:val="00EE373F"/>
    <w:rsid w:val="00EE3A23"/>
    <w:rsid w:val="00EE3AD7"/>
    <w:rsid w:val="00EE3CEC"/>
    <w:rsid w:val="00EE3E07"/>
    <w:rsid w:val="00EE4628"/>
    <w:rsid w:val="00EE46A5"/>
    <w:rsid w:val="00EE4FBD"/>
    <w:rsid w:val="00EE501F"/>
    <w:rsid w:val="00EE5092"/>
    <w:rsid w:val="00EE595E"/>
    <w:rsid w:val="00EE60FF"/>
    <w:rsid w:val="00EE6443"/>
    <w:rsid w:val="00EE67CF"/>
    <w:rsid w:val="00EE6E17"/>
    <w:rsid w:val="00EE74E5"/>
    <w:rsid w:val="00EE75A6"/>
    <w:rsid w:val="00EE7AAF"/>
    <w:rsid w:val="00EF0041"/>
    <w:rsid w:val="00EF0E4A"/>
    <w:rsid w:val="00EF1050"/>
    <w:rsid w:val="00EF1B08"/>
    <w:rsid w:val="00EF283F"/>
    <w:rsid w:val="00EF2A6D"/>
    <w:rsid w:val="00EF367F"/>
    <w:rsid w:val="00EF391A"/>
    <w:rsid w:val="00EF47EF"/>
    <w:rsid w:val="00EF4860"/>
    <w:rsid w:val="00EF497A"/>
    <w:rsid w:val="00EF4A5F"/>
    <w:rsid w:val="00EF4BF8"/>
    <w:rsid w:val="00EF4ED3"/>
    <w:rsid w:val="00EF4EE8"/>
    <w:rsid w:val="00EF5344"/>
    <w:rsid w:val="00EF6343"/>
    <w:rsid w:val="00EF69A2"/>
    <w:rsid w:val="00EF7510"/>
    <w:rsid w:val="00EF7759"/>
    <w:rsid w:val="00EF776A"/>
    <w:rsid w:val="00EF78D6"/>
    <w:rsid w:val="00EF7FEF"/>
    <w:rsid w:val="00F002D3"/>
    <w:rsid w:val="00F011ED"/>
    <w:rsid w:val="00F01640"/>
    <w:rsid w:val="00F0172A"/>
    <w:rsid w:val="00F0191D"/>
    <w:rsid w:val="00F0282D"/>
    <w:rsid w:val="00F02AC9"/>
    <w:rsid w:val="00F02B7F"/>
    <w:rsid w:val="00F02BE0"/>
    <w:rsid w:val="00F0369F"/>
    <w:rsid w:val="00F04708"/>
    <w:rsid w:val="00F04954"/>
    <w:rsid w:val="00F04DAA"/>
    <w:rsid w:val="00F0512C"/>
    <w:rsid w:val="00F052C9"/>
    <w:rsid w:val="00F05DAF"/>
    <w:rsid w:val="00F05EEA"/>
    <w:rsid w:val="00F06C9E"/>
    <w:rsid w:val="00F06E33"/>
    <w:rsid w:val="00F06EF1"/>
    <w:rsid w:val="00F0715D"/>
    <w:rsid w:val="00F072C3"/>
    <w:rsid w:val="00F076EF"/>
    <w:rsid w:val="00F07D76"/>
    <w:rsid w:val="00F101EB"/>
    <w:rsid w:val="00F10A98"/>
    <w:rsid w:val="00F10F6E"/>
    <w:rsid w:val="00F11136"/>
    <w:rsid w:val="00F11377"/>
    <w:rsid w:val="00F11648"/>
    <w:rsid w:val="00F11B19"/>
    <w:rsid w:val="00F121E8"/>
    <w:rsid w:val="00F124C3"/>
    <w:rsid w:val="00F125DD"/>
    <w:rsid w:val="00F12742"/>
    <w:rsid w:val="00F12A65"/>
    <w:rsid w:val="00F13123"/>
    <w:rsid w:val="00F13AD0"/>
    <w:rsid w:val="00F13B3D"/>
    <w:rsid w:val="00F14086"/>
    <w:rsid w:val="00F140DE"/>
    <w:rsid w:val="00F14147"/>
    <w:rsid w:val="00F143C0"/>
    <w:rsid w:val="00F1473B"/>
    <w:rsid w:val="00F1478C"/>
    <w:rsid w:val="00F147AB"/>
    <w:rsid w:val="00F150A6"/>
    <w:rsid w:val="00F15527"/>
    <w:rsid w:val="00F15839"/>
    <w:rsid w:val="00F15EF2"/>
    <w:rsid w:val="00F16426"/>
    <w:rsid w:val="00F165A5"/>
    <w:rsid w:val="00F16CBD"/>
    <w:rsid w:val="00F16EC1"/>
    <w:rsid w:val="00F1782C"/>
    <w:rsid w:val="00F17CBF"/>
    <w:rsid w:val="00F17E78"/>
    <w:rsid w:val="00F202AE"/>
    <w:rsid w:val="00F203B7"/>
    <w:rsid w:val="00F2106A"/>
    <w:rsid w:val="00F21229"/>
    <w:rsid w:val="00F21732"/>
    <w:rsid w:val="00F21C4E"/>
    <w:rsid w:val="00F22015"/>
    <w:rsid w:val="00F22992"/>
    <w:rsid w:val="00F237E3"/>
    <w:rsid w:val="00F23A22"/>
    <w:rsid w:val="00F2454C"/>
    <w:rsid w:val="00F24AB4"/>
    <w:rsid w:val="00F24B3E"/>
    <w:rsid w:val="00F251C2"/>
    <w:rsid w:val="00F257C2"/>
    <w:rsid w:val="00F25E82"/>
    <w:rsid w:val="00F269C0"/>
    <w:rsid w:val="00F27017"/>
    <w:rsid w:val="00F27198"/>
    <w:rsid w:val="00F27224"/>
    <w:rsid w:val="00F278E1"/>
    <w:rsid w:val="00F27F1F"/>
    <w:rsid w:val="00F3067F"/>
    <w:rsid w:val="00F30993"/>
    <w:rsid w:val="00F30FDA"/>
    <w:rsid w:val="00F31009"/>
    <w:rsid w:val="00F3101E"/>
    <w:rsid w:val="00F31513"/>
    <w:rsid w:val="00F3152E"/>
    <w:rsid w:val="00F31EAB"/>
    <w:rsid w:val="00F32262"/>
    <w:rsid w:val="00F32345"/>
    <w:rsid w:val="00F32684"/>
    <w:rsid w:val="00F33672"/>
    <w:rsid w:val="00F3442F"/>
    <w:rsid w:val="00F3480E"/>
    <w:rsid w:val="00F34D92"/>
    <w:rsid w:val="00F34FE4"/>
    <w:rsid w:val="00F34FFE"/>
    <w:rsid w:val="00F351B2"/>
    <w:rsid w:val="00F352DB"/>
    <w:rsid w:val="00F356BE"/>
    <w:rsid w:val="00F361FB"/>
    <w:rsid w:val="00F3640D"/>
    <w:rsid w:val="00F36BB4"/>
    <w:rsid w:val="00F36EE4"/>
    <w:rsid w:val="00F370D8"/>
    <w:rsid w:val="00F375DC"/>
    <w:rsid w:val="00F401B0"/>
    <w:rsid w:val="00F40974"/>
    <w:rsid w:val="00F41394"/>
    <w:rsid w:val="00F4274A"/>
    <w:rsid w:val="00F42B5D"/>
    <w:rsid w:val="00F42FE0"/>
    <w:rsid w:val="00F43920"/>
    <w:rsid w:val="00F44AA2"/>
    <w:rsid w:val="00F44D2C"/>
    <w:rsid w:val="00F4525A"/>
    <w:rsid w:val="00F455E5"/>
    <w:rsid w:val="00F456C9"/>
    <w:rsid w:val="00F458FD"/>
    <w:rsid w:val="00F45E00"/>
    <w:rsid w:val="00F4661B"/>
    <w:rsid w:val="00F467D9"/>
    <w:rsid w:val="00F46853"/>
    <w:rsid w:val="00F46CBC"/>
    <w:rsid w:val="00F4716D"/>
    <w:rsid w:val="00F4759E"/>
    <w:rsid w:val="00F478EF"/>
    <w:rsid w:val="00F47AC4"/>
    <w:rsid w:val="00F47AE4"/>
    <w:rsid w:val="00F47D21"/>
    <w:rsid w:val="00F501D1"/>
    <w:rsid w:val="00F50951"/>
    <w:rsid w:val="00F509ED"/>
    <w:rsid w:val="00F50C0D"/>
    <w:rsid w:val="00F50C4F"/>
    <w:rsid w:val="00F50E64"/>
    <w:rsid w:val="00F515E9"/>
    <w:rsid w:val="00F51616"/>
    <w:rsid w:val="00F516BD"/>
    <w:rsid w:val="00F51A96"/>
    <w:rsid w:val="00F52309"/>
    <w:rsid w:val="00F5347B"/>
    <w:rsid w:val="00F53652"/>
    <w:rsid w:val="00F54331"/>
    <w:rsid w:val="00F54B05"/>
    <w:rsid w:val="00F5512A"/>
    <w:rsid w:val="00F554BF"/>
    <w:rsid w:val="00F55E8F"/>
    <w:rsid w:val="00F5603F"/>
    <w:rsid w:val="00F5627A"/>
    <w:rsid w:val="00F56286"/>
    <w:rsid w:val="00F56D33"/>
    <w:rsid w:val="00F56DDE"/>
    <w:rsid w:val="00F56DE4"/>
    <w:rsid w:val="00F574B3"/>
    <w:rsid w:val="00F57CEA"/>
    <w:rsid w:val="00F57E31"/>
    <w:rsid w:val="00F609C6"/>
    <w:rsid w:val="00F60B14"/>
    <w:rsid w:val="00F60F84"/>
    <w:rsid w:val="00F617F6"/>
    <w:rsid w:val="00F618CF"/>
    <w:rsid w:val="00F62363"/>
    <w:rsid w:val="00F63ED3"/>
    <w:rsid w:val="00F64799"/>
    <w:rsid w:val="00F65B52"/>
    <w:rsid w:val="00F660BC"/>
    <w:rsid w:val="00F66E73"/>
    <w:rsid w:val="00F67087"/>
    <w:rsid w:val="00F672F5"/>
    <w:rsid w:val="00F673B4"/>
    <w:rsid w:val="00F67CDB"/>
    <w:rsid w:val="00F7009F"/>
    <w:rsid w:val="00F70888"/>
    <w:rsid w:val="00F71914"/>
    <w:rsid w:val="00F71DE5"/>
    <w:rsid w:val="00F72334"/>
    <w:rsid w:val="00F72B49"/>
    <w:rsid w:val="00F72FBC"/>
    <w:rsid w:val="00F73B82"/>
    <w:rsid w:val="00F73FBC"/>
    <w:rsid w:val="00F745BD"/>
    <w:rsid w:val="00F747EC"/>
    <w:rsid w:val="00F7491D"/>
    <w:rsid w:val="00F753AB"/>
    <w:rsid w:val="00F757FD"/>
    <w:rsid w:val="00F7591A"/>
    <w:rsid w:val="00F75CEC"/>
    <w:rsid w:val="00F76316"/>
    <w:rsid w:val="00F7678E"/>
    <w:rsid w:val="00F769D9"/>
    <w:rsid w:val="00F769E0"/>
    <w:rsid w:val="00F770D7"/>
    <w:rsid w:val="00F80943"/>
    <w:rsid w:val="00F80A8E"/>
    <w:rsid w:val="00F80CB3"/>
    <w:rsid w:val="00F812CC"/>
    <w:rsid w:val="00F8164A"/>
    <w:rsid w:val="00F81F98"/>
    <w:rsid w:val="00F82272"/>
    <w:rsid w:val="00F8231A"/>
    <w:rsid w:val="00F838BF"/>
    <w:rsid w:val="00F83BBA"/>
    <w:rsid w:val="00F83D30"/>
    <w:rsid w:val="00F84116"/>
    <w:rsid w:val="00F8429F"/>
    <w:rsid w:val="00F844EA"/>
    <w:rsid w:val="00F846C3"/>
    <w:rsid w:val="00F85488"/>
    <w:rsid w:val="00F8576E"/>
    <w:rsid w:val="00F85A30"/>
    <w:rsid w:val="00F862D6"/>
    <w:rsid w:val="00F86F23"/>
    <w:rsid w:val="00F8706D"/>
    <w:rsid w:val="00F87339"/>
    <w:rsid w:val="00F8767B"/>
    <w:rsid w:val="00F876CD"/>
    <w:rsid w:val="00F87902"/>
    <w:rsid w:val="00F87AA5"/>
    <w:rsid w:val="00F87ABC"/>
    <w:rsid w:val="00F87ECE"/>
    <w:rsid w:val="00F87F91"/>
    <w:rsid w:val="00F90861"/>
    <w:rsid w:val="00F90971"/>
    <w:rsid w:val="00F90C53"/>
    <w:rsid w:val="00F90C5D"/>
    <w:rsid w:val="00F91576"/>
    <w:rsid w:val="00F915D7"/>
    <w:rsid w:val="00F91A05"/>
    <w:rsid w:val="00F91C9B"/>
    <w:rsid w:val="00F91DEE"/>
    <w:rsid w:val="00F92181"/>
    <w:rsid w:val="00F933DD"/>
    <w:rsid w:val="00F93432"/>
    <w:rsid w:val="00F93A90"/>
    <w:rsid w:val="00F94305"/>
    <w:rsid w:val="00F948EA"/>
    <w:rsid w:val="00F94BF4"/>
    <w:rsid w:val="00F94D09"/>
    <w:rsid w:val="00F955F2"/>
    <w:rsid w:val="00F95A33"/>
    <w:rsid w:val="00F95DB5"/>
    <w:rsid w:val="00F95E9D"/>
    <w:rsid w:val="00F95ED0"/>
    <w:rsid w:val="00F964D3"/>
    <w:rsid w:val="00F9673F"/>
    <w:rsid w:val="00F969F9"/>
    <w:rsid w:val="00F96FB7"/>
    <w:rsid w:val="00F9760B"/>
    <w:rsid w:val="00F9765C"/>
    <w:rsid w:val="00F9787A"/>
    <w:rsid w:val="00FA065A"/>
    <w:rsid w:val="00FA12C6"/>
    <w:rsid w:val="00FA13FB"/>
    <w:rsid w:val="00FA19FE"/>
    <w:rsid w:val="00FA1C4E"/>
    <w:rsid w:val="00FA1FC5"/>
    <w:rsid w:val="00FA2B5A"/>
    <w:rsid w:val="00FA2E7D"/>
    <w:rsid w:val="00FA396F"/>
    <w:rsid w:val="00FA3B2F"/>
    <w:rsid w:val="00FA42C1"/>
    <w:rsid w:val="00FA5FF9"/>
    <w:rsid w:val="00FA72F1"/>
    <w:rsid w:val="00FA7C82"/>
    <w:rsid w:val="00FA7DA5"/>
    <w:rsid w:val="00FA7E37"/>
    <w:rsid w:val="00FB0647"/>
    <w:rsid w:val="00FB0657"/>
    <w:rsid w:val="00FB0AED"/>
    <w:rsid w:val="00FB109F"/>
    <w:rsid w:val="00FB12D8"/>
    <w:rsid w:val="00FB130E"/>
    <w:rsid w:val="00FB14D3"/>
    <w:rsid w:val="00FB1B8A"/>
    <w:rsid w:val="00FB1D57"/>
    <w:rsid w:val="00FB2399"/>
    <w:rsid w:val="00FB246D"/>
    <w:rsid w:val="00FB25FC"/>
    <w:rsid w:val="00FB271E"/>
    <w:rsid w:val="00FB2C78"/>
    <w:rsid w:val="00FB2E7A"/>
    <w:rsid w:val="00FB3347"/>
    <w:rsid w:val="00FB3368"/>
    <w:rsid w:val="00FB3536"/>
    <w:rsid w:val="00FB3DA9"/>
    <w:rsid w:val="00FB4D42"/>
    <w:rsid w:val="00FB4EC4"/>
    <w:rsid w:val="00FB561B"/>
    <w:rsid w:val="00FB5652"/>
    <w:rsid w:val="00FB5940"/>
    <w:rsid w:val="00FB5CE8"/>
    <w:rsid w:val="00FB6466"/>
    <w:rsid w:val="00FB6E5B"/>
    <w:rsid w:val="00FB7092"/>
    <w:rsid w:val="00FB7CDF"/>
    <w:rsid w:val="00FB7E1A"/>
    <w:rsid w:val="00FC036E"/>
    <w:rsid w:val="00FC0612"/>
    <w:rsid w:val="00FC0B03"/>
    <w:rsid w:val="00FC180A"/>
    <w:rsid w:val="00FC1B9F"/>
    <w:rsid w:val="00FC2283"/>
    <w:rsid w:val="00FC2A6E"/>
    <w:rsid w:val="00FC362F"/>
    <w:rsid w:val="00FC3650"/>
    <w:rsid w:val="00FC39F0"/>
    <w:rsid w:val="00FC3B0A"/>
    <w:rsid w:val="00FC45E1"/>
    <w:rsid w:val="00FC4C66"/>
    <w:rsid w:val="00FC4D5C"/>
    <w:rsid w:val="00FC50C7"/>
    <w:rsid w:val="00FC5F10"/>
    <w:rsid w:val="00FC7474"/>
    <w:rsid w:val="00FC788E"/>
    <w:rsid w:val="00FC7B40"/>
    <w:rsid w:val="00FD0487"/>
    <w:rsid w:val="00FD06F3"/>
    <w:rsid w:val="00FD1573"/>
    <w:rsid w:val="00FD1851"/>
    <w:rsid w:val="00FD1BA5"/>
    <w:rsid w:val="00FD1EB9"/>
    <w:rsid w:val="00FD1EED"/>
    <w:rsid w:val="00FD1F3F"/>
    <w:rsid w:val="00FD2A37"/>
    <w:rsid w:val="00FD2EC5"/>
    <w:rsid w:val="00FD38B7"/>
    <w:rsid w:val="00FD3B81"/>
    <w:rsid w:val="00FD4660"/>
    <w:rsid w:val="00FD4B74"/>
    <w:rsid w:val="00FD5282"/>
    <w:rsid w:val="00FD56FE"/>
    <w:rsid w:val="00FD5C40"/>
    <w:rsid w:val="00FD5C61"/>
    <w:rsid w:val="00FD5F45"/>
    <w:rsid w:val="00FD6EB6"/>
    <w:rsid w:val="00FD721B"/>
    <w:rsid w:val="00FE083D"/>
    <w:rsid w:val="00FE0B74"/>
    <w:rsid w:val="00FE0D60"/>
    <w:rsid w:val="00FE104E"/>
    <w:rsid w:val="00FE1D4C"/>
    <w:rsid w:val="00FE1DD9"/>
    <w:rsid w:val="00FE2148"/>
    <w:rsid w:val="00FE2709"/>
    <w:rsid w:val="00FE27DF"/>
    <w:rsid w:val="00FE3B9D"/>
    <w:rsid w:val="00FE3D6F"/>
    <w:rsid w:val="00FE3DE0"/>
    <w:rsid w:val="00FE40FE"/>
    <w:rsid w:val="00FE41A9"/>
    <w:rsid w:val="00FE46A4"/>
    <w:rsid w:val="00FE48DF"/>
    <w:rsid w:val="00FE4E65"/>
    <w:rsid w:val="00FE5238"/>
    <w:rsid w:val="00FE52D8"/>
    <w:rsid w:val="00FE5462"/>
    <w:rsid w:val="00FE5860"/>
    <w:rsid w:val="00FE6BD7"/>
    <w:rsid w:val="00FE7288"/>
    <w:rsid w:val="00FE7358"/>
    <w:rsid w:val="00FE75C6"/>
    <w:rsid w:val="00FE76C1"/>
    <w:rsid w:val="00FE77E3"/>
    <w:rsid w:val="00FE785B"/>
    <w:rsid w:val="00FE7D5A"/>
    <w:rsid w:val="00FF039B"/>
    <w:rsid w:val="00FF06A2"/>
    <w:rsid w:val="00FF0C36"/>
    <w:rsid w:val="00FF1360"/>
    <w:rsid w:val="00FF1505"/>
    <w:rsid w:val="00FF1BF9"/>
    <w:rsid w:val="00FF1CDD"/>
    <w:rsid w:val="00FF22BA"/>
    <w:rsid w:val="00FF28D5"/>
    <w:rsid w:val="00FF2AFE"/>
    <w:rsid w:val="00FF35D6"/>
    <w:rsid w:val="00FF3970"/>
    <w:rsid w:val="00FF3B2F"/>
    <w:rsid w:val="00FF400F"/>
    <w:rsid w:val="00FF4203"/>
    <w:rsid w:val="00FF4B75"/>
    <w:rsid w:val="00FF53E6"/>
    <w:rsid w:val="00FF5421"/>
    <w:rsid w:val="00FF5849"/>
    <w:rsid w:val="00FF5930"/>
    <w:rsid w:val="00FF5B9F"/>
    <w:rsid w:val="00FF5CE7"/>
    <w:rsid w:val="00FF7D37"/>
    <w:rsid w:val="029875F9"/>
    <w:rsid w:val="02B8527C"/>
    <w:rsid w:val="0348EA6E"/>
    <w:rsid w:val="042659FA"/>
    <w:rsid w:val="04DFF31D"/>
    <w:rsid w:val="0655D276"/>
    <w:rsid w:val="068DFD48"/>
    <w:rsid w:val="07E7AB76"/>
    <w:rsid w:val="08302F0A"/>
    <w:rsid w:val="0B4E188E"/>
    <w:rsid w:val="0D189698"/>
    <w:rsid w:val="0D3A523E"/>
    <w:rsid w:val="0D3D309A"/>
    <w:rsid w:val="0F26DD57"/>
    <w:rsid w:val="10C917E3"/>
    <w:rsid w:val="1143598D"/>
    <w:rsid w:val="121CEF01"/>
    <w:rsid w:val="1278F77F"/>
    <w:rsid w:val="160CE707"/>
    <w:rsid w:val="17601736"/>
    <w:rsid w:val="17FBB26C"/>
    <w:rsid w:val="18FF1559"/>
    <w:rsid w:val="1A20FD1D"/>
    <w:rsid w:val="1A86D1E2"/>
    <w:rsid w:val="1BCB6850"/>
    <w:rsid w:val="1EE211CB"/>
    <w:rsid w:val="1F0663E9"/>
    <w:rsid w:val="2164B699"/>
    <w:rsid w:val="2284B06D"/>
    <w:rsid w:val="22F55FB4"/>
    <w:rsid w:val="24665BCC"/>
    <w:rsid w:val="251ECD21"/>
    <w:rsid w:val="2ABB2145"/>
    <w:rsid w:val="2ADE4666"/>
    <w:rsid w:val="2BEA4338"/>
    <w:rsid w:val="2CF3DB32"/>
    <w:rsid w:val="2D2138F1"/>
    <w:rsid w:val="2E5303C9"/>
    <w:rsid w:val="30A9F65B"/>
    <w:rsid w:val="32367F3F"/>
    <w:rsid w:val="3291E0DC"/>
    <w:rsid w:val="3410AAC7"/>
    <w:rsid w:val="355DEF1A"/>
    <w:rsid w:val="36366F4A"/>
    <w:rsid w:val="39857709"/>
    <w:rsid w:val="3C92588F"/>
    <w:rsid w:val="3D555264"/>
    <w:rsid w:val="3DA1C37D"/>
    <w:rsid w:val="3F3F1885"/>
    <w:rsid w:val="407EF7E6"/>
    <w:rsid w:val="464227E0"/>
    <w:rsid w:val="48F4319F"/>
    <w:rsid w:val="4B2A7342"/>
    <w:rsid w:val="4C2B86B5"/>
    <w:rsid w:val="4FE08882"/>
    <w:rsid w:val="50E5C153"/>
    <w:rsid w:val="5129D09D"/>
    <w:rsid w:val="52BCA706"/>
    <w:rsid w:val="56FF1253"/>
    <w:rsid w:val="579472BA"/>
    <w:rsid w:val="58B67094"/>
    <w:rsid w:val="5C8270A6"/>
    <w:rsid w:val="5E56D3F1"/>
    <w:rsid w:val="5E74B2BE"/>
    <w:rsid w:val="5F715DFC"/>
    <w:rsid w:val="60B631E2"/>
    <w:rsid w:val="61C37B9B"/>
    <w:rsid w:val="622902F4"/>
    <w:rsid w:val="622B6888"/>
    <w:rsid w:val="63439BCA"/>
    <w:rsid w:val="63E68CCB"/>
    <w:rsid w:val="646C8429"/>
    <w:rsid w:val="64D4845C"/>
    <w:rsid w:val="65EF1698"/>
    <w:rsid w:val="66BFAC1B"/>
    <w:rsid w:val="672AA608"/>
    <w:rsid w:val="69685F4B"/>
    <w:rsid w:val="69D75CB4"/>
    <w:rsid w:val="69F36A0F"/>
    <w:rsid w:val="6A4E7FF3"/>
    <w:rsid w:val="6ECDBA34"/>
    <w:rsid w:val="709C3358"/>
    <w:rsid w:val="7261F494"/>
    <w:rsid w:val="72F7ABD0"/>
    <w:rsid w:val="73D61ECF"/>
    <w:rsid w:val="77514D11"/>
    <w:rsid w:val="7948371B"/>
    <w:rsid w:val="79A63DD3"/>
    <w:rsid w:val="79E5C397"/>
    <w:rsid w:val="7A573824"/>
    <w:rsid w:val="7AB0ED20"/>
    <w:rsid w:val="7C7578C7"/>
    <w:rsid w:val="7CEFCC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319B8"/>
  <w15:chartTrackingRefBased/>
  <w15:docId w15:val="{B13A60EE-39E0-44A1-812E-CAB8C53F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25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26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C26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26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E5E67"/>
    <w:pPr>
      <w:keepNext/>
      <w:keepLines/>
      <w:spacing w:before="80" w:after="40" w:line="278" w:lineRule="auto"/>
      <w:outlineLvl w:val="3"/>
    </w:pPr>
    <w:rPr>
      <w:rFonts w:ascii="Calibri" w:eastAsiaTheme="majorEastAsia" w:hAnsi="Calibr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AC268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C26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C26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C26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C26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5E67"/>
    <w:rPr>
      <w:rFonts w:ascii="Calibri" w:eastAsiaTheme="majorEastAsia" w:hAnsi="Calibri" w:cstheme="majorBidi"/>
      <w:i/>
      <w:iCs/>
      <w:color w:val="0F4761" w:themeColor="accent1" w:themeShade="BF"/>
      <w:sz w:val="22"/>
    </w:rPr>
  </w:style>
  <w:style w:type="character" w:customStyle="1" w:styleId="Heading5Char">
    <w:name w:val="Heading 5 Char"/>
    <w:basedOn w:val="DefaultParagraphFont"/>
    <w:link w:val="Heading5"/>
    <w:uiPriority w:val="9"/>
    <w:semiHidden/>
    <w:rsid w:val="00AC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8F"/>
    <w:rPr>
      <w:rFonts w:eastAsiaTheme="majorEastAsia" w:cstheme="majorBidi"/>
      <w:color w:val="272727" w:themeColor="text1" w:themeTint="D8"/>
    </w:rPr>
  </w:style>
  <w:style w:type="paragraph" w:styleId="Title">
    <w:name w:val="Title"/>
    <w:basedOn w:val="Normal"/>
    <w:next w:val="Normal"/>
    <w:link w:val="TitleChar"/>
    <w:uiPriority w:val="10"/>
    <w:qFormat/>
    <w:rsid w:val="00AC26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8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C268F"/>
    <w:rPr>
      <w:i/>
      <w:iCs/>
      <w:color w:val="404040" w:themeColor="text1" w:themeTint="BF"/>
    </w:rPr>
  </w:style>
  <w:style w:type="paragraph" w:styleId="ListParagraph">
    <w:name w:val="List Paragraph"/>
    <w:basedOn w:val="Normal"/>
    <w:uiPriority w:val="34"/>
    <w:qFormat/>
    <w:rsid w:val="00AC268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27B1E"/>
    <w:rPr>
      <w:rFonts w:ascii="Calibri" w:hAnsi="Calibri"/>
      <w:i w:val="0"/>
      <w:iCs/>
      <w:color w:val="0F4761" w:themeColor="accent1" w:themeShade="BF"/>
      <w:sz w:val="22"/>
    </w:rPr>
  </w:style>
  <w:style w:type="paragraph" w:styleId="IntenseQuote">
    <w:name w:val="Intense Quote"/>
    <w:basedOn w:val="Normal"/>
    <w:next w:val="Normal"/>
    <w:link w:val="IntenseQuoteChar"/>
    <w:uiPriority w:val="30"/>
    <w:qFormat/>
    <w:rsid w:val="00AC26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C268F"/>
    <w:rPr>
      <w:i/>
      <w:iCs/>
      <w:color w:val="0F4761" w:themeColor="accent1" w:themeShade="BF"/>
    </w:rPr>
  </w:style>
  <w:style w:type="character" w:styleId="IntenseReference">
    <w:name w:val="Intense Reference"/>
    <w:basedOn w:val="DefaultParagraphFont"/>
    <w:uiPriority w:val="32"/>
    <w:qFormat/>
    <w:rsid w:val="00AC268F"/>
    <w:rPr>
      <w:b/>
      <w:bCs/>
      <w:smallCaps/>
      <w:color w:val="0F4761" w:themeColor="accent1" w:themeShade="BF"/>
      <w:spacing w:val="5"/>
    </w:rPr>
  </w:style>
  <w:style w:type="character" w:styleId="Strong">
    <w:name w:val="Strong"/>
    <w:basedOn w:val="DefaultParagraphFont"/>
    <w:uiPriority w:val="22"/>
    <w:qFormat/>
    <w:rsid w:val="00627B1E"/>
    <w:rPr>
      <w:b/>
      <w:bCs/>
    </w:rPr>
  </w:style>
  <w:style w:type="character" w:styleId="LineNumber">
    <w:name w:val="line number"/>
    <w:basedOn w:val="DefaultParagraphFont"/>
    <w:uiPriority w:val="99"/>
    <w:semiHidden/>
    <w:unhideWhenUsed/>
    <w:rsid w:val="000D67F4"/>
  </w:style>
  <w:style w:type="paragraph" w:styleId="NormalWeb">
    <w:name w:val="Normal (Web)"/>
    <w:basedOn w:val="Normal"/>
    <w:uiPriority w:val="99"/>
    <w:unhideWhenUsed/>
    <w:rsid w:val="00FB109F"/>
    <w:pPr>
      <w:spacing w:before="100" w:beforeAutospacing="1" w:after="100" w:afterAutospacing="1"/>
    </w:pPr>
  </w:style>
  <w:style w:type="character" w:customStyle="1" w:styleId="apple-converted-space">
    <w:name w:val="apple-converted-space"/>
    <w:basedOn w:val="DefaultParagraphFont"/>
    <w:rsid w:val="00FB109F"/>
  </w:style>
  <w:style w:type="paragraph" w:styleId="Revision">
    <w:name w:val="Revision"/>
    <w:hidden/>
    <w:uiPriority w:val="99"/>
    <w:semiHidden/>
    <w:rsid w:val="008C4DD8"/>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B70870"/>
    <w:rPr>
      <w:color w:val="666666"/>
    </w:rPr>
  </w:style>
  <w:style w:type="table" w:styleId="TableGrid">
    <w:name w:val="Table Grid"/>
    <w:basedOn w:val="TableNormal"/>
    <w:uiPriority w:val="39"/>
    <w:rsid w:val="00EA2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23D"/>
    <w:pPr>
      <w:tabs>
        <w:tab w:val="center" w:pos="4252"/>
        <w:tab w:val="right" w:pos="8504"/>
      </w:tabs>
    </w:pPr>
  </w:style>
  <w:style w:type="character" w:customStyle="1" w:styleId="HeaderChar">
    <w:name w:val="Header Char"/>
    <w:basedOn w:val="DefaultParagraphFont"/>
    <w:link w:val="Header"/>
    <w:uiPriority w:val="99"/>
    <w:rsid w:val="004D323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D323D"/>
    <w:pPr>
      <w:tabs>
        <w:tab w:val="center" w:pos="4252"/>
        <w:tab w:val="right" w:pos="8504"/>
      </w:tabs>
    </w:pPr>
  </w:style>
  <w:style w:type="character" w:customStyle="1" w:styleId="FooterChar">
    <w:name w:val="Footer Char"/>
    <w:basedOn w:val="DefaultParagraphFont"/>
    <w:link w:val="Footer"/>
    <w:uiPriority w:val="99"/>
    <w:rsid w:val="004D323D"/>
    <w:rPr>
      <w:rFonts w:ascii="Times New Roman" w:eastAsia="Times New Roman" w:hAnsi="Times New Roman" w:cs="Times New Roman"/>
      <w:kern w:val="0"/>
      <w14:ligatures w14:val="none"/>
    </w:rPr>
  </w:style>
  <w:style w:type="table" w:styleId="PlainTable1">
    <w:name w:val="Plain Table 1"/>
    <w:basedOn w:val="TableNormal"/>
    <w:uiPriority w:val="41"/>
    <w:rsid w:val="004A3D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377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11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167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5167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A49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E4466"/>
    <w:rPr>
      <w:color w:val="0000FF"/>
      <w:u w:val="single"/>
    </w:rPr>
  </w:style>
  <w:style w:type="character" w:customStyle="1" w:styleId="csl-left-margin">
    <w:name w:val="csl-left-margin"/>
    <w:basedOn w:val="DefaultParagraphFont"/>
    <w:rsid w:val="00281465"/>
  </w:style>
  <w:style w:type="character" w:customStyle="1" w:styleId="csl-right-inline">
    <w:name w:val="csl-right-inline"/>
    <w:basedOn w:val="DefaultParagraphFont"/>
    <w:rsid w:val="00281465"/>
  </w:style>
  <w:style w:type="character" w:styleId="UnresolvedMention">
    <w:name w:val="Unresolved Mention"/>
    <w:basedOn w:val="DefaultParagraphFont"/>
    <w:uiPriority w:val="99"/>
    <w:semiHidden/>
    <w:unhideWhenUsed/>
    <w:rsid w:val="00C54B6B"/>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table" w:styleId="PlainTable2">
    <w:name w:val="Plain Table 2"/>
    <w:basedOn w:val="TableNormal"/>
    <w:uiPriority w:val="42"/>
    <w:rsid w:val="00B343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551749&amp;pre=&amp;suf=&amp;sa=0&amp;dbf=0" TargetMode="External"/><Relationship Id="rId21" Type="http://schemas.openxmlformats.org/officeDocument/2006/relationships/hyperlink" Target="https://sciwheel.com/work/citation?ids=18347406,18551857&amp;pre=&amp;pre=&amp;suf=&amp;suf=&amp;sa=0,0&amp;dbf=0&amp;dbf=0" TargetMode="External"/><Relationship Id="rId34" Type="http://schemas.openxmlformats.org/officeDocument/2006/relationships/hyperlink" Target="https://sciwheel.com/work/bibliography/16033691" TargetMode="External"/><Relationship Id="rId42" Type="http://schemas.openxmlformats.org/officeDocument/2006/relationships/hyperlink" Target="https://sciwheel.com/work/bibliography/18505248" TargetMode="External"/><Relationship Id="rId47" Type="http://schemas.openxmlformats.org/officeDocument/2006/relationships/hyperlink" Target="https://sciwheel.com/work/bibliography/18552877" TargetMode="External"/><Relationship Id="rId50" Type="http://schemas.openxmlformats.org/officeDocument/2006/relationships/hyperlink" Target="https://sciwheel.com/work/bibliography/18568087" TargetMode="External"/><Relationship Id="rId55" Type="http://schemas.openxmlformats.org/officeDocument/2006/relationships/hyperlink" Target="https://sciwheel.com/work/bibliography/18552651" TargetMode="External"/><Relationship Id="rId63"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wheel.com/work/citation?ids=17872292,16489976&amp;pre=&amp;pre=&amp;suf=&amp;suf=&amp;sa=0,0&amp;dbf=0&amp;dbf=0" TargetMode="External"/><Relationship Id="rId29" Type="http://schemas.openxmlformats.org/officeDocument/2006/relationships/hyperlink" Target="https://sciwheel.com/work/citation?ids=15078716&amp;pre=&amp;suf=&amp;sa=0&amp;dbf=0" TargetMode="External"/><Relationship Id="rId11" Type="http://schemas.microsoft.com/office/2018/08/relationships/commentsExtensible" Target="commentsExtensible.xml"/><Relationship Id="rId24" Type="http://schemas.openxmlformats.org/officeDocument/2006/relationships/hyperlink" Target="https://sciwheel.com/work/citation?ids=18551964&amp;pre=&amp;suf=&amp;sa=0&amp;dbf=0" TargetMode="External"/><Relationship Id="rId32" Type="http://schemas.openxmlformats.org/officeDocument/2006/relationships/hyperlink" Target="https://sciwheel.com/work/citation?ids=18223492&amp;pre=&amp;suf=&amp;sa=0&amp;dbf=0" TargetMode="External"/><Relationship Id="rId37" Type="http://schemas.openxmlformats.org/officeDocument/2006/relationships/hyperlink" Target="https://sciwheel.com/work/bibliography/15651566" TargetMode="External"/><Relationship Id="rId40" Type="http://schemas.openxmlformats.org/officeDocument/2006/relationships/hyperlink" Target="https://sciwheel.com/work/bibliography/16489976" TargetMode="External"/><Relationship Id="rId45" Type="http://schemas.openxmlformats.org/officeDocument/2006/relationships/hyperlink" Target="https://sciwheel.com/work/bibliography/18551749" TargetMode="External"/><Relationship Id="rId53" Type="http://schemas.openxmlformats.org/officeDocument/2006/relationships/hyperlink" Target="https://sciwheel.com/work/bibliography/18538180" TargetMode="External"/><Relationship Id="rId58" Type="http://schemas.openxmlformats.org/officeDocument/2006/relationships/hyperlink" Target="https://sciwheel.com/work/bibliography/1787226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png"/><Relationship Id="rId19" Type="http://schemas.openxmlformats.org/officeDocument/2006/relationships/hyperlink" Target="https://sciwheel.com/work/citation?ids=18551749&amp;pre=&amp;suf=&amp;sa=0&amp;dbf=0" TargetMode="External"/><Relationship Id="rId14" Type="http://schemas.openxmlformats.org/officeDocument/2006/relationships/hyperlink" Target="https://sciwheel.com/work/citation?ids=13012391&amp;pre=&amp;suf=&amp;sa=0&amp;dbf=0" TargetMode="External"/><Relationship Id="rId22" Type="http://schemas.openxmlformats.org/officeDocument/2006/relationships/hyperlink" Target="https://sciwheel.com/work/citation?ids=18568087&amp;pre=&amp;suf=&amp;sa=0&amp;dbf=0" TargetMode="External"/><Relationship Id="rId27" Type="http://schemas.openxmlformats.org/officeDocument/2006/relationships/hyperlink" Target="https://sciwheel.com/work/citation?ids=18551749&amp;pre=&amp;suf=&amp;sa=0&amp;dbf=0" TargetMode="External"/><Relationship Id="rId30" Type="http://schemas.openxmlformats.org/officeDocument/2006/relationships/hyperlink" Target="https://sciwheel.com/work/citation?ids=17919189&amp;pre=&amp;suf=&amp;sa=0&amp;dbf=0" TargetMode="External"/><Relationship Id="rId35" Type="http://schemas.openxmlformats.org/officeDocument/2006/relationships/hyperlink" Target="https://sciwheel.com/work/bibliography/12383358" TargetMode="External"/><Relationship Id="rId43" Type="http://schemas.openxmlformats.org/officeDocument/2006/relationships/hyperlink" Target="https://sciwheel.com/work/bibliography/15078716" TargetMode="External"/><Relationship Id="rId48" Type="http://schemas.openxmlformats.org/officeDocument/2006/relationships/hyperlink" Target="https://sciwheel.com/work/bibliography/18347406" TargetMode="External"/><Relationship Id="rId56" Type="http://schemas.openxmlformats.org/officeDocument/2006/relationships/hyperlink" Target="https://sciwheel.com/work/bibliography/16987000" TargetMode="External"/><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sciwheel.com/work/bibliography/17825734" TargetMode="External"/><Relationship Id="rId3" Type="http://schemas.openxmlformats.org/officeDocument/2006/relationships/styles" Target="styles.xml"/><Relationship Id="rId12" Type="http://schemas.openxmlformats.org/officeDocument/2006/relationships/hyperlink" Target="https://sciwheel.com/work/citation?ids=14646502&amp;pre=&amp;suf=&amp;sa=0&amp;dbf=0" TargetMode="External"/><Relationship Id="rId17" Type="http://schemas.openxmlformats.org/officeDocument/2006/relationships/hyperlink" Target="https://sciwheel.com/work/citation?ids=16826344,18505248,15078716&amp;pre=&amp;pre=&amp;pre=&amp;suf=&amp;suf=&amp;suf=&amp;sa=0,0,0&amp;dbf=0&amp;dbf=0&amp;dbf=0" TargetMode="External"/><Relationship Id="rId25" Type="http://schemas.openxmlformats.org/officeDocument/2006/relationships/hyperlink" Target="https://sciwheel.com/work/citation?ids=18551749,18552651&amp;pre=&amp;pre=&amp;suf=&amp;suf=&amp;sa=0,0&amp;dbf=0&amp;dbf=0" TargetMode="External"/><Relationship Id="rId33" Type="http://schemas.openxmlformats.org/officeDocument/2006/relationships/hyperlink" Target="https://sciwheel.com/work/bibliography/14646502" TargetMode="External"/><Relationship Id="rId38" Type="http://schemas.openxmlformats.org/officeDocument/2006/relationships/hyperlink" Target="https://sciwheel.com/work/bibliography/17731178" TargetMode="External"/><Relationship Id="rId46" Type="http://schemas.openxmlformats.org/officeDocument/2006/relationships/hyperlink" Target="https://sciwheel.com/work/bibliography/18293830" TargetMode="External"/><Relationship Id="rId59" Type="http://schemas.openxmlformats.org/officeDocument/2006/relationships/hyperlink" Target="https://sciwheel.com/work/bibliography/18223492" TargetMode="External"/><Relationship Id="rId20" Type="http://schemas.openxmlformats.org/officeDocument/2006/relationships/hyperlink" Target="https://sciwheel.com/work/citation?ids=18293830,18552877&amp;pre=&amp;pre=&amp;suf=&amp;suf=&amp;sa=0,0&amp;dbf=0&amp;dbf=0" TargetMode="External"/><Relationship Id="rId41" Type="http://schemas.openxmlformats.org/officeDocument/2006/relationships/hyperlink" Target="https://sciwheel.com/work/bibliography/16826344" TargetMode="External"/><Relationship Id="rId54" Type="http://schemas.openxmlformats.org/officeDocument/2006/relationships/hyperlink" Target="https://sciwheel.com/work/bibliography/18551964" TargetMode="External"/><Relationship Id="rId62"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5651566,17731178&amp;pre=&amp;pre=&amp;suf=&amp;suf=&amp;sa=0,0&amp;dbf=0&amp;dbf=0" TargetMode="External"/><Relationship Id="rId23" Type="http://schemas.openxmlformats.org/officeDocument/2006/relationships/hyperlink" Target="https://sciwheel.com/work/citation?ids=17825734,18031543,18538180&amp;pre=&amp;pre=&amp;pre=&amp;suf=&amp;suf=&amp;suf=&amp;sa=0,0,0&amp;dbf=0&amp;dbf=0&amp;dbf=0" TargetMode="External"/><Relationship Id="rId28" Type="http://schemas.openxmlformats.org/officeDocument/2006/relationships/hyperlink" Target="https://sciwheel.com/work/citation?ids=16987000&amp;pre=&amp;suf=&amp;sa=0&amp;dbf=0" TargetMode="External"/><Relationship Id="rId36" Type="http://schemas.openxmlformats.org/officeDocument/2006/relationships/hyperlink" Target="https://sciwheel.com/work/bibliography/13012391" TargetMode="External"/><Relationship Id="rId49" Type="http://schemas.openxmlformats.org/officeDocument/2006/relationships/hyperlink" Target="https://sciwheel.com/work/bibliography/18551857" TargetMode="External"/><Relationship Id="rId57" Type="http://schemas.openxmlformats.org/officeDocument/2006/relationships/hyperlink" Target="https://sciwheel.com/work/bibliography/17919189" TargetMode="External"/><Relationship Id="rId10" Type="http://schemas.microsoft.com/office/2016/09/relationships/commentsIds" Target="commentsIds.xml"/><Relationship Id="rId31" Type="http://schemas.openxmlformats.org/officeDocument/2006/relationships/hyperlink" Target="https://sciwheel.com/work/citation?ids=17872265,15651566&amp;pre=&amp;pre=&amp;suf=&amp;suf=&amp;sa=0,0&amp;dbf=0&amp;dbf=0" TargetMode="External"/><Relationship Id="rId44" Type="http://schemas.openxmlformats.org/officeDocument/2006/relationships/hyperlink" Target="https://sciwheel.com/work/bibliography/18552685" TargetMode="External"/><Relationship Id="rId52" Type="http://schemas.openxmlformats.org/officeDocument/2006/relationships/hyperlink" Target="https://sciwheel.com/work/bibliography/18031543" TargetMode="External"/><Relationship Id="rId60" Type="http://schemas.openxmlformats.org/officeDocument/2006/relationships/image" Target="media/image1.png"/><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sciwheel.com/work/citation?ids=16033691,12383358&amp;pre=&amp;pre=&amp;suf=&amp;suf=&amp;sa=0,0&amp;dbf=0&amp;dbf=0" TargetMode="External"/><Relationship Id="rId18" Type="http://schemas.openxmlformats.org/officeDocument/2006/relationships/hyperlink" Target="https://sciwheel.com/work/citation?ids=18552685&amp;pre=&amp;suf=&amp;sa=0&amp;dbf=0" TargetMode="External"/><Relationship Id="rId39" Type="http://schemas.openxmlformats.org/officeDocument/2006/relationships/hyperlink" Target="https://sciwheel.com/work/bibliography/178722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0626B-B343-4B2C-AA92-7C857F78D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1791</TotalTime>
  <Pages>1</Pages>
  <Words>6812</Words>
  <Characters>38830</Characters>
  <Application>Microsoft Office Word</Application>
  <DocSecurity>4</DocSecurity>
  <Lines>323</Lines>
  <Paragraphs>91</Paragraphs>
  <ScaleCrop>false</ScaleCrop>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Hyolim Kang</cp:lastModifiedBy>
  <cp:revision>2286</cp:revision>
  <dcterms:created xsi:type="dcterms:W3CDTF">2026-01-28T19:21:00Z</dcterms:created>
  <dcterms:modified xsi:type="dcterms:W3CDTF">2026-02-14T12:41:00Z</dcterms:modified>
</cp:coreProperties>
</file>