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Benefit-Risk Ratio (BRR) by Outcome, Age group, and VE (cov10)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91"/>
        <w:gridCol w:w="1171"/>
        <w:gridCol w:w="1311"/>
        <w:gridCol w:w="2842"/>
        <w:gridCol w:w="1981"/>
        <w:gridCol w:w="2321"/>
        <w:gridCol w:w="2321"/>
        <w:gridCol w:w="2552"/>
        <w:gridCol w:w="2552"/>
        <w:gridCol w:w="1736"/>
        <w:gridCol w:w="1586"/>
      </w:tblGrid>
      <w:tr>
        <w:trPr>
          <w:trHeight w:val="9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Setting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Vaccine protection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mechanism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Benefit: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Outcomes averted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Risk (base):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Outcomes attributable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Risk (adjusted):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Outcomes attributable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BRR (base):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(Prevented per 1 caused)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BRR (adjusted):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(Prevented per 1 caused)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Probability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(BRR_base &gt; 1)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Probability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(BRR_adj &gt; 1)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(%)</w:t>
            </w:r>
          </w:p>
        </w:tc>
      </w:tr>
      <w:tr>
        <w:trPr>
          <w:trHeight w:val="711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DALY</w:t>
            </w:r>
          </w:p>
        </w:tc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(0.99–109.40)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(0.04–0.34)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(0.03–0.24)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107.80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(6.18–1178.28)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164.52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(13.72–1514.42)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100%</w:t>
            </w:r>
          </w:p>
        </w:tc>
      </w:tr>
      <w:tr>
        <w:trPr>
          <w:trHeight w:val="711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53.42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(4.83–391.27)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(0.04–0.34)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(0.03–0.23)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408.21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(29.74–3979.90)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644.81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(66.13–5169.15)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100%</w:t>
            </w:r>
          </w:p>
        </w:tc>
      </w:tr>
      <w:tr>
        <w:trPr>
          <w:trHeight w:val="711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8.62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(0.22–101.31)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(1.08–16.36)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(0.34–8.30)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(0.04–37.17)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(0.21–57.40)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83%</w:t>
            </w:r>
          </w:p>
        </w:tc>
      </w:tr>
      <w:tr>
        <w:trPr>
          <w:trHeight w:val="711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(2.98–519.82)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(1.08–16.36)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(0.34–8.05)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12.68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(0.51–196.81)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29.70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(2.48–330.81)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100%</w:t>
            </w:r>
          </w:p>
        </w:tc>
      </w:tr>
      <w:tr>
        <w:trPr>
          <w:trHeight w:val="711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Moderate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(0.44–27.37)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(0.04–0.34)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(0.03–0.24)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36.83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(2.73–304.49)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52.72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(5.99–378.33)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100%</w:t>
            </w:r>
          </w:p>
        </w:tc>
      </w:tr>
      <w:tr>
        <w:trPr>
          <w:trHeight w:val="711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16.90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(1.86–88.32)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(0.04–0.34)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(0.03–0.24)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(11.32–942.07)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188.97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(23.48–1257.08)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100%</w:t>
            </w:r>
          </w:p>
        </w:tc>
      </w:tr>
      <w:tr>
        <w:trPr>
          <w:trHeight w:val="711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(0.12–26.41)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(1.08–16.36)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(0.42–8.59)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(0.02–9.91)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(0.08–14.85)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61%</w:t>
            </w:r>
          </w:p>
        </w:tc>
      </w:tr>
      <w:tr>
        <w:trPr>
          <w:trHeight w:val="711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20.89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(1.20–138.15)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(1.08–16.36)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(0.40–8.39)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(0.20–53.36)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(0.86–87.43)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97%</w:t>
            </w:r>
          </w:p>
        </w:tc>
      </w:tr>
      <w:tr>
        <w:trPr>
          <w:trHeight w:val="711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(0.10–23.15)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(0.04–0.34)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(0.03–0.24)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7.07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(0.61–178.52)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10.20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(1.29–240.51)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99%</w:t>
            </w:r>
          </w:p>
        </w:tc>
      </w:tr>
      <w:tr>
        <w:trPr>
          <w:trHeight w:val="711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(0.36–100.23)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(0.04–0.34)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(0.03–0.24)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(2.12–852.10)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31.66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(4.47–1120.46)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100%</w:t>
            </w:r>
          </w:p>
        </w:tc>
      </w:tr>
      <w:tr>
        <w:trPr>
          <w:trHeight w:val="711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(0.03–22.09)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(1.08–16.36)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(0.41–9.04)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(0.00–5.40)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(0.02–8.93)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18%</w:t>
            </w:r>
          </w:p>
        </w:tc>
      </w:tr>
      <w:tr>
        <w:trPr>
          <w:trHeight w:val="711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3.41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(0.24–226.12)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(1.08–16.36)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(0.39–8.75)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(0.04–65.09)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(0.14–104.56)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63%</w:t>
            </w:r>
          </w:p>
        </w:tc>
      </w:tr>
      <w:tr>
        <w:trPr>
          <w:trHeight w:val="711" w:hRule="auto"/>
        </w:trPr>
        body13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Death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</w:tr>
      <w:tr>
        <w:trPr>
          <w:trHeight w:val="711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(0.01–1.59)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</w:tr>
      <w:tr>
        <w:trPr>
          <w:trHeight w:val="711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(0.00–2.35)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(0.05–2.50)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(0.02–1.28)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(0.01–11.18)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(0.03–17.45)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41%</w:t>
            </w:r>
          </w:p>
        </w:tc>
      </w:tr>
      <w:tr>
        <w:trPr>
          <w:trHeight w:val="711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(0.03–5.34)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(0.05–2.50)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(0.02–1.25)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(0.04–27.65)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(0.19–47.37)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74%</w:t>
            </w:r>
          </w:p>
        </w:tc>
      </w:tr>
      <w:tr>
        <w:trPr>
          <w:trHeight w:val="711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Moderate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</w:tr>
      <w:tr>
        <w:trPr>
          <w:trHeight w:val="711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(0.01–0.36)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</w:tr>
      <w:tr>
        <w:trPr>
          <w:trHeight w:val="711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(0.05–2.50)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(0.02–1.31)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(0.00–2.92)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(0.01–4.90)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17%</w:t>
            </w:r>
          </w:p>
        </w:tc>
      </w:tr>
      <w:tr>
        <w:trPr>
          <w:trHeight w:val="711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(0.05–2.50)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(0.02–1.28)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(0.02–7.08)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(0.07–12.65)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41%</w:t>
            </w:r>
          </w:p>
        </w:tc>
      </w:tr>
      <w:tr>
        <w:trPr>
          <w:trHeight w:val="711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</w:tr>
      <w:tr>
        <w:trPr>
          <w:trHeight w:val="711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</w:tr>
      <w:tr>
        <w:trPr>
          <w:trHeight w:val="711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(0.05–2.50)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(0.02–1.38)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(0.00–2.30)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5%</w:t>
            </w:r>
          </w:p>
        </w:tc>
      </w:tr>
      <w:tr>
        <w:trPr>
          <w:trHeight w:val="711" w:hRule="auto"/>
        </w:trPr>
        body24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(0.05–2.50)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(0.02–1.34)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(0.00–4.71)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(0.01–7.98)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12%</w:t>
            </w:r>
          </w:p>
        </w:tc>
      </w:tr>
      <w:tr>
        <w:trPr>
          <w:trHeight w:val="711" w:hRule="auto"/>
        </w:trPr>
        body25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SAE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(0.27–28.95)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(0.80–3.72)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(0.46–2.62)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(0.13–18.02)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(0.29–23.22)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83%</w:t>
            </w:r>
          </w:p>
        </w:tc>
      </w:tr>
      <w:tr>
        <w:trPr>
          <w:trHeight w:val="711" w:hRule="auto"/>
        </w:trPr>
        body26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21.27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(1.96–154.65)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(0.80–3.72)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(0.45–2.54)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11.63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(0.93–93.57)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(2.16–123.17)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100%</w:t>
            </w:r>
          </w:p>
        </w:tc>
      </w:tr>
      <w:tr>
        <w:trPr>
          <w:trHeight w:val="711" w:hRule="auto"/>
        </w:trPr>
        body27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(0.09–41.79)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(7.27–16.59)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(1.79–9.50)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(0.01–3.96)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(0.04–5.83)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39%</w:t>
            </w:r>
          </w:p>
        </w:tc>
      </w:tr>
      <w:tr>
        <w:trPr>
          <w:trHeight w:val="711" w:hRule="auto"/>
        </w:trPr>
        body28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25.53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(1.34–219.23)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(7.27–16.59)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(1.74–9.21)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(0.11–21.25)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(0.59–33.09)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94%</w:t>
            </w:r>
          </w:p>
        </w:tc>
      </w:tr>
      <w:tr>
        <w:trPr>
          <w:trHeight w:val="711" w:hRule="auto"/>
        </w:trPr>
        body29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Moderate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(0.12–7.24)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(0.80–3.72)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(0.51–2.63)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(0.06–4.90)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(0.12–6.11)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50%</w:t>
            </w:r>
          </w:p>
        </w:tc>
      </w:tr>
      <w:tr>
        <w:trPr>
          <w:trHeight w:val="711" w:hRule="auto"/>
        </w:trPr>
        body30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6.62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(0.74–34.71)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(0.80–3.72)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(0.49–2.55)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(0.36–23.89)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5.26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(0.77–30.72)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96%</w:t>
            </w:r>
          </w:p>
        </w:tc>
      </w:tr>
      <w:tr>
        <w:trPr>
          <w:trHeight w:val="711" w:hRule="auto"/>
        </w:trPr>
        body31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(0.05–10.95)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(7.27–16.59)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(2.08–9.98)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(0.02–1.51)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7%</w:t>
            </w:r>
          </w:p>
        </w:tc>
      </w:tr>
      <w:tr>
        <w:trPr>
          <w:trHeight w:val="711" w:hRule="auto"/>
        </w:trPr>
        body32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8.87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(0.52–58.22)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(7.27–16.59)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5.29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(2.01–9.70)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(0.05–5.44)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(0.22–8.41)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69%</w:t>
            </w:r>
          </w:p>
        </w:tc>
      </w:tr>
      <w:tr>
        <w:trPr>
          <w:trHeight w:val="711" w:hRule="auto"/>
        </w:trPr>
        body33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(0.03–6.12)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(0.80–3.72)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(0.49–2.68)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(0.01–3.52)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(0.03–4.50)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10%</w:t>
            </w:r>
          </w:p>
        </w:tc>
      </w:tr>
      <w:tr>
        <w:trPr>
          <w:trHeight w:val="711" w:hRule="auto"/>
        </w:trPr>
        body34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(0.13–40.07)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(0.80–3.72)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(0.47–2.61)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(0.06–22.67)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(0.13–31.00)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43%</w:t>
            </w:r>
          </w:p>
        </w:tc>
      </w:tr>
      <w:tr>
        <w:trPr>
          <w:trHeight w:val="711" w:hRule="auto"/>
        </w:trPr>
        body35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(0.01–9.14)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(7.27–16.59)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(2.02–10.35)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3%</w:t>
            </w:r>
          </w:p>
        </w:tc>
      </w:tr>
      <w:tr>
        <w:trPr>
          <w:trHeight w:val="711" w:hRule="auto"/>
        </w:trPr>
        body36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(0.10–91.76)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(7.27–16.59)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5.26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(1.96–10.04)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(0.01–8.68)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(0.04–15.22)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18%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2026-04-21T20:36:26Z</dcterms:modified>
  <cp:category/>
</cp:coreProperties>
</file>