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4"/>
        </w:rPr>
        <w:t>文生图AI数据标注规则文档</w:t>
      </w:r>
    </w:p>
    <w:p>
      <w:pPr>
        <w:pStyle w:val="Heading1"/>
      </w:pPr>
      <w:r>
        <w:t>文档概述</w:t>
      </w:r>
    </w:p>
    <w:p>
      <w:pPr>
        <w:pStyle w:val="Heading2"/>
      </w:pPr>
      <w:r>
        <w:t>文档目的与适用范围</w:t>
      </w:r>
    </w:p>
    <w:p>
      <w:r>
        <w:rPr>
          <w:sz w:val="24"/>
        </w:rPr>
        <w:t>本文档旨在为文生图（Text-to-Image）AI模型的训练数据标注工作提供全面、系统的操作规范和质量标准。文生图技术是当前人工智能领域的重要研究方向，其核心任务是根据文本描述生成相应的高质量图像。这一技术的有效应用依赖于大规模、高质量的训练数据集，而数据标注作为数据准备的核心环节，直接影响着最终模型的生成效果和用户体验。本文档详细规定了文生图标注的各项标准、操作流程、质量要求以及常见问题的处理方案，为标注团队提供统一的工作指南，确保标注结果的一致性、准确性和可用性。</w:t>
      </w:r>
    </w:p>
    <w:p>
      <w:r>
        <w:rPr>
          <w:sz w:val="24"/>
        </w:rPr>
        <w:t>本文档适用于所有参与文生图模型训练数据标注工作的标注人员、质量审核人员以及项目管理人员。对于新入职的标注员，应当首先完整阅读并理解本文档的所有内容，通过相应的考核后方可正式参与标注工作。对于经验丰富的标注员，本文档同样具有参考价值，特别是在处理边界情况和疑难案例时，可以作为重要的依据和指导。项目管理人员应当确保所有标注人员严格遵守本文档的规定，并根据实际情况及时反馈问题，推动规则的持续优化和完善。</w:t>
      </w:r>
    </w:p>
    <w:p>
      <w:pPr>
        <w:pStyle w:val="Heading2"/>
      </w:pPr>
      <w:r>
        <w:t>文档版本与修订历史</w:t>
      </w:r>
    </w:p>
    <w:p>
      <w:r>
        <w:rPr>
          <w:sz w:val="24"/>
        </w:rPr>
        <w:t>文档版本管理是保证标注工作规范性的重要基础。每次修订都应当经过充分的讨论和验证，确保新规则的科学性和可执行性。所有修订内容应当在文档中清晰记录，包括修订日期、修订内容、修订原因以及批准人员等信息。标注团队应当及时学习最新版本的标注规则，确保实际操作与文档规定保持一致。历史版本应当妥善保存，以便在出现争议时进行追溯和参考。</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fill="D9E2F3"/>
          </w:tcPr>
          <w:p>
            <w:r>
              <w:rPr>
                <w:b/>
                <w:sz w:val="22"/>
              </w:rPr>
              <w:t>版本号</w:t>
            </w:r>
          </w:p>
        </w:tc>
        <w:tc>
          <w:tcPr>
            <w:tcW w:type="dxa" w:w="1727"/>
            <w:shd w:fill="D9E2F3"/>
          </w:tcPr>
          <w:p>
            <w:r>
              <w:rPr>
                <w:b/>
                <w:sz w:val="22"/>
              </w:rPr>
              <w:t>修订日期</w:t>
            </w:r>
          </w:p>
        </w:tc>
        <w:tc>
          <w:tcPr>
            <w:tcW w:type="dxa" w:w="1727"/>
            <w:shd w:fill="D9E2F3"/>
          </w:tcPr>
          <w:p>
            <w:r>
              <w:rPr>
                <w:b/>
                <w:sz w:val="22"/>
              </w:rPr>
              <w:t>修订内容</w:t>
            </w:r>
          </w:p>
        </w:tc>
        <w:tc>
          <w:tcPr>
            <w:tcW w:type="dxa" w:w="1727"/>
            <w:shd w:fill="D9E2F3"/>
          </w:tcPr>
          <w:p>
            <w:r>
              <w:rPr>
                <w:b/>
                <w:sz w:val="22"/>
              </w:rPr>
              <w:t>修订人</w:t>
            </w:r>
          </w:p>
        </w:tc>
        <w:tc>
          <w:tcPr>
            <w:tcW w:type="dxa" w:w="1727"/>
            <w:shd w:fill="D9E2F3"/>
          </w:tcPr>
          <w:p>
            <w:r>
              <w:rPr>
                <w:b/>
                <w:sz w:val="22"/>
              </w:rPr>
              <w:t>审核人</w:t>
            </w:r>
          </w:p>
        </w:tc>
      </w:tr>
      <w:tr>
        <w:tc>
          <w:tcPr>
            <w:tcW w:type="dxa" w:w="1727"/>
          </w:tcPr>
          <w:p>
            <w:r>
              <w:rPr>
                <w:sz w:val="21"/>
              </w:rPr>
              <w:t>--------</w:t>
            </w:r>
          </w:p>
        </w:tc>
        <w:tc>
          <w:tcPr>
            <w:tcW w:type="dxa" w:w="1727"/>
          </w:tcPr>
          <w:p>
            <w:r>
              <w:rPr>
                <w:sz w:val="21"/>
              </w:rPr>
              <w:t>----------</w:t>
            </w:r>
          </w:p>
        </w:tc>
        <w:tc>
          <w:tcPr>
            <w:tcW w:type="dxa" w:w="1727"/>
          </w:tcPr>
          <w:p>
            <w:r>
              <w:rPr>
                <w:sz w:val="21"/>
              </w:rPr>
              <w:t>----------</w:t>
            </w:r>
          </w:p>
        </w:tc>
        <w:tc>
          <w:tcPr>
            <w:tcW w:type="dxa" w:w="1727"/>
          </w:tcPr>
          <w:p>
            <w:r>
              <w:rPr>
                <w:sz w:val="21"/>
              </w:rPr>
              <w:t>--------</w:t>
            </w:r>
          </w:p>
        </w:tc>
        <w:tc>
          <w:tcPr>
            <w:tcW w:type="dxa" w:w="1727"/>
          </w:tcPr>
          <w:p>
            <w:r>
              <w:rPr>
                <w:sz w:val="21"/>
              </w:rPr>
              <w:t>--------</w:t>
            </w:r>
          </w:p>
        </w:tc>
      </w:tr>
      <w:tr>
        <w:tc>
          <w:tcPr>
            <w:tcW w:type="dxa" w:w="1727"/>
          </w:tcPr>
          <w:p>
            <w:r>
              <w:rPr>
                <w:sz w:val="21"/>
              </w:rPr>
              <w:t>V1.0</w:t>
            </w:r>
          </w:p>
        </w:tc>
        <w:tc>
          <w:tcPr>
            <w:tcW w:type="dxa" w:w="1727"/>
          </w:tcPr>
          <w:p>
            <w:r>
              <w:rPr>
                <w:sz w:val="21"/>
              </w:rPr>
              <w:t>2026-04-01</w:t>
            </w:r>
          </w:p>
        </w:tc>
        <w:tc>
          <w:tcPr>
            <w:tcW w:type="dxa" w:w="1727"/>
          </w:tcPr>
          <w:p>
            <w:r>
              <w:rPr>
                <w:sz w:val="21"/>
              </w:rPr>
              <w:t>初始版本发布</w:t>
            </w:r>
          </w:p>
        </w:tc>
        <w:tc>
          <w:tcPr>
            <w:tcW w:type="dxa" w:w="1727"/>
          </w:tcPr>
          <w:p>
            <w:r>
              <w:rPr>
                <w:sz w:val="21"/>
              </w:rPr>
              <w:t>MiniMax Agent</w:t>
            </w:r>
          </w:p>
        </w:tc>
        <w:tc>
          <w:tcPr>
            <w:tcW w:type="dxa" w:w="1727"/>
          </w:tcPr>
          <w:p>
            <w:r>
              <w:rPr>
                <w:sz w:val="21"/>
              </w:rPr>
              <w:t>项目组</w:t>
            </w:r>
          </w:p>
        </w:tc>
      </w:tr>
      <w:tr>
        <w:tc>
          <w:tcPr>
            <w:tcW w:type="dxa" w:w="1727"/>
          </w:tcPr>
          <w:p>
            <w:r>
              <w:rPr>
                <w:sz w:val="21"/>
              </w:rPr>
              <w:t>V1.1</w:t>
            </w:r>
          </w:p>
        </w:tc>
        <w:tc>
          <w:tcPr>
            <w:tcW w:type="dxa" w:w="1727"/>
          </w:tcPr>
          <w:p>
            <w:r>
              <w:rPr>
                <w:sz w:val="21"/>
              </w:rPr>
              <w:t>-</w:t>
            </w:r>
          </w:p>
        </w:tc>
        <w:tc>
          <w:tcPr>
            <w:tcW w:type="dxa" w:w="1727"/>
          </w:tcPr>
          <w:p>
            <w:r>
              <w:rPr>
                <w:sz w:val="21"/>
              </w:rPr>
              <w:t>待修订</w:t>
            </w:r>
          </w:p>
        </w:tc>
        <w:tc>
          <w:tcPr>
            <w:tcW w:type="dxa" w:w="1727"/>
          </w:tcPr>
          <w:p>
            <w:r>
              <w:rPr>
                <w:sz w:val="21"/>
              </w:rPr>
              <w:t>-</w:t>
            </w:r>
          </w:p>
        </w:tc>
        <w:tc>
          <w:tcPr>
            <w:tcW w:type="dxa" w:w="1727"/>
          </w:tcPr>
          <w:p>
            <w:r>
              <w:rPr>
                <w:sz w:val="21"/>
              </w:rPr>
              <w:t>-</w:t>
            </w:r>
          </w:p>
        </w:tc>
      </w:tr>
    </w:tbl>
    <w:p/>
    <w:p>
      <w:pPr>
        <w:pStyle w:val="Heading1"/>
      </w:pPr>
      <w:r>
        <w:t>第一章 标注任务概述与目标</w:t>
      </w:r>
    </w:p>
    <w:p>
      <w:pPr>
        <w:pStyle w:val="Heading2"/>
      </w:pPr>
      <w:r>
        <w:t>1.1 任务背景与意义</w:t>
      </w:r>
    </w:p>
    <w:p>
      <w:r>
        <w:rPr>
          <w:sz w:val="24"/>
        </w:rPr>
        <w:t>文生图技术作为生成式人工智能的重要应用方向，正在深刻改变图像创作和内容生产的方式。通过理解用户输入的文本描述，AI系统能够生成与之匹配的视觉内容，这一能力在设计辅助、艺术创作、内容营销、教育培训等众多领域具有广泛的应用前景。然而，要训练出一个能够准确理解多样化的文本描述并生成高质量图像的模型，需要海量精心标注的训练数据作为支撑。数据标注的质量直接决定了模型能否学习到正确的文本-图像对应关系，以及能否生成符合人类审美和使用需求的图像作品。</w:t>
      </w:r>
    </w:p>
    <w:p>
      <w:r>
        <w:rPr>
          <w:sz w:val="24"/>
        </w:rPr>
        <w:t>从技术角度来看，文生图模型需要学习文本描述中的各个要素与图像内容之间的映射关系。这些要素包括但不限于：主体对象（人物、动物、物体等）、场景环境（室内、室外、自然、城市等）、物体属性（颜色、形状、大小、材质等）、空间关系（上下、左右、前后、远近等）、动作行为（站立、行走、奔跑、飞翔等）、情感氛围（欢快、悲伤、神秘、宁静等）以及艺术风格（写实、卡通、水彩、油画等）。高质量的标注数据需要准确标注出文本与图像之间的这些对应关系，帮助模型建立正确的理解和学习基础。</w:t>
      </w:r>
    </w:p>
    <w:p>
      <w:pPr>
        <w:pStyle w:val="Heading2"/>
      </w:pPr>
      <w:r>
        <w:t>1.2 标注目标与评价维度</w:t>
      </w:r>
    </w:p>
    <w:p>
      <w:r>
        <w:rPr>
          <w:sz w:val="24"/>
        </w:rPr>
        <w:t>文生图标注的核心目标是建立文本描述与生成图像之间的高质量对应关系数据集，支持模型学习文本到图像的转换能力。具体的标注目标可以从以下几个维度进行理解和执行：</w:t>
      </w:r>
    </w:p>
    <w:p>
      <w:r>
        <w:rPr>
          <w:sz w:val="24"/>
        </w:rPr>
        <w:t>文本图像一致性是最核心的评价维度，要求标注人员准确判断生成的图像是否准确反映了文本描述中的所有关键要素。一致性评估需要逐项检查文本中的主体、属性、场景、关系等各要素是否在图像中得到正确呈现。任何要素的遗漏、错误或偏差都应当被标记和记录，因为这直接反映了模型对特定文本要素的理解和生成能力。</w:t>
      </w:r>
    </w:p>
    <w:p>
      <w:r>
        <w:rPr>
          <w:sz w:val="24"/>
        </w:rPr>
        <w:t>图像质量评估关注生成图像本身的视觉质量和技术水准。这包括画面的清晰度、色彩的和谐性、构图的合理性、光影的自然性以及细节的丰富程度。高质量的图像应当具有清晰的主体、合理的布局、自然的色彩过渡和足够的技术完成度。低质量的图像可能存在模糊、畸变、噪点、构图失衡等问题，这些问题会影响模型的生成标准和用户的使用体验。</w:t>
      </w:r>
    </w:p>
    <w:p>
      <w:r>
        <w:rPr>
          <w:sz w:val="24"/>
        </w:rPr>
        <w:t>美学价值判断是更高层次的质量评价，关注图像的艺术表现力和审美价值。不同类型的图像有不同的美学标准，广告图像追求视觉冲击力和信息传达效果，艺术图像追求创意表达和情感共鸣，实用图像追求信息准确和功能清晰。标注人员需要根据图像的应用场景和类型特点，进行恰当的美学评价。</w:t>
      </w:r>
    </w:p>
    <w:p>
      <w:pPr>
        <w:pStyle w:val="Heading2"/>
      </w:pPr>
      <w:r>
        <w:t>1.3 数据类型与标注类型分类</w:t>
      </w:r>
    </w:p>
    <w:p>
      <w:r>
        <w:rPr>
          <w:sz w:val="24"/>
        </w:rPr>
        <w:t>文生图训练数据主要包含以下几种数据类型和对应的标注类型，每种类型都有其特定的应用场景和标注要求：</w:t>
      </w:r>
    </w:p>
    <w:p>
      <w:r>
        <w:rPr>
          <w:sz w:val="24"/>
        </w:rPr>
        <w:t>文本描述数据是文生图模型的直接输入，标注工作需要确保文本描述的准确性、完整性和规范性。文本来源可能包括用户上传的真实描述、专家编写的标准描述以及通过数据增强生成的多样化描述。标注工作需要检查文本的语法正确性、描述的完整性以及是否存在歧义或不当内容。</w:t>
      </w:r>
    </w:p>
    <w:p>
      <w:r>
        <w:rPr>
          <w:sz w:val="24"/>
        </w:rPr>
        <w:t>图像质量数据用于训练模型的图像质量评估能力。这类数据需要标注人员从多个维度对图像进行评价，包括技术质量（清晰度、噪点、畸变等）、构图质量（平衡、比例、引导线等）、色彩质量（和谐、饱和度、色温等）以及综合质量（整体完成度、艺术性等）。高质量的图像质量标注能够帮助模型学习生成更高水准的图像作品。</w:t>
      </w:r>
    </w:p>
    <w:p>
      <w:r>
        <w:rPr>
          <w:sz w:val="24"/>
        </w:rPr>
        <w:t>匹配关系数据是建立文本与图像对应关系的核心数据。标注工作需要标注出文本中各个关键要素在图像中的对应位置和呈现方式，以及各要素之间的关系。这种细粒度的匹配关系标注能够帮助模型更精确地理解文本语义和图像内容之间的对应规律。</w:t>
      </w:r>
    </w:p>
    <w:p>
      <w:pPr>
        <w:pStyle w:val="Heading1"/>
      </w:pPr>
      <w:r>
        <w:t>第二章 标注对象详细分类定义</w:t>
      </w:r>
    </w:p>
    <w:p>
      <w:pPr>
        <w:pStyle w:val="Heading2"/>
      </w:pPr>
      <w:r>
        <w:t>2.1 主体对象分类标准</w:t>
      </w:r>
    </w:p>
    <w:p>
      <w:r>
        <w:rPr>
          <w:sz w:val="24"/>
        </w:rPr>
        <w:t>主体对象是文本描述和图像内容中最核心的要素，准确的分类和定义是保证标注一致性的基础。根据形态和性质的不同，主体对象可以分为以下几大类：</w:t>
      </w:r>
    </w:p>
    <w:p>
      <w:r>
        <w:rPr>
          <w:sz w:val="24"/>
        </w:rPr>
        <w:t>人物类主体包括各类真实人物、虚拟人物和拟人化角色。真实人物需要区分成人、儿童、老人等年龄段，以及不同的性别特征。虚拟人物包括卡通角色、游戏角色、动漫人物等，应当根据其视觉特征进行准确分类。拟人化角色指将非人类对象赋予人类特征的创作，如会说话动物、拟人化物体等。人物类主体的标注需要关注面部特征、服装打扮、体态动作等细节。</w:t>
      </w:r>
    </w:p>
    <w:p>
      <w:r>
        <w:rPr>
          <w:sz w:val="24"/>
        </w:rPr>
        <w:t>动物类主体涵盖各类真实动物和虚构生物。真实动物按照生物学分类进行划分，如哺乳动物、鸟类、鱼类、昆虫等。虚构生物包括龙、凤凰、独角兽等神话生物，以及各种科幻作品中创造的奇特生命形式。动物类主体的标注需要关注物种特征、姿态动作、毛色花纹等要素。</w:t>
      </w:r>
    </w:p>
    <w:p>
      <w:r>
        <w:rPr>
          <w:sz w:val="24"/>
        </w:rPr>
        <w:t>物体类主体是指各类人造物品和自然物质。人造物品包括日常用品、电子设备、交通工具、家具陈设等，应当根据功能类别和形态特征进行分类。自然物质包括山川河流、树木花草、矿石土壤等自然界的物质形态。物体类主体的标注需要关注形态结构、材质质感、尺度比例等特征。</w:t>
      </w:r>
    </w:p>
    <w:p>
      <w:r>
        <w:rPr>
          <w:sz w:val="24"/>
        </w:rPr>
        <w:t>场景类主体是指图像中的环境背景和空间要素。室内场景包括各类建筑内部空间，如客厅、卧室、办公室、餐厅等。室外场景包括城市街道、乡村田野、海滩沙滩、山林草地等自然和人工环境。场景类主体的标注需要关注空间布局、光照条件、氛围风格等要素。</w:t>
      </w:r>
    </w:p>
    <w:p>
      <w:pPr>
        <w:pStyle w:val="Heading2"/>
      </w:pPr>
      <w:r>
        <w:t>2.2 视觉属性分类标准</w:t>
      </w:r>
    </w:p>
    <w:p>
      <w:r>
        <w:rPr>
          <w:sz w:val="24"/>
        </w:rPr>
        <w:t>视觉属性是指主体对象和各种要素在视觉呈现上的特征，准确识别和分类视觉属性对于建立精确的文本-图像对应关系至关重要：</w:t>
      </w:r>
    </w:p>
    <w:p>
      <w:r>
        <w:rPr>
          <w:sz w:val="24"/>
        </w:rPr>
        <w:t>颜色属性包括主体对象的整体色调、局部色彩以及色彩搭配。颜色描述可能是具体的（红色、蓝色、金色），也可能是抽象的（暖色调、冷色调、莫兰迪色系）。标注工作需要准确识别图像中的主要色彩和次要色彩，以及色彩之间的对比和和谐关系。</w:t>
      </w:r>
    </w:p>
    <w:p>
      <w:r>
        <w:rPr>
          <w:sz w:val="24"/>
        </w:rPr>
        <w:t>形状属性描述对象的轮廓形态和几何特征。形状可以是规整的几何形状（圆形、方形、三角形），也可以是有机的自然形态（流线型、不规则形、仿生形）。标注时需要关注主体对象的基本形态特征，以及与其他对象的形状对比关系。</w:t>
      </w:r>
    </w:p>
    <w:p>
      <w:r>
        <w:rPr>
          <w:sz w:val="24"/>
        </w:rPr>
        <w:t>材质属性指对象表面的物质特征和触感印象。常见的材质包括金属、木材、玻璃、布料、皮革、塑料、水面、皮肤、毛发等。材质的准确呈现是图像真实感的重要来源，标注工作需要检查材质表现的自然性和合理性。</w:t>
      </w:r>
    </w:p>
    <w:p>
      <w:r>
        <w:rPr>
          <w:sz w:val="24"/>
        </w:rPr>
        <w:t>光影属性涉及图像中的光源位置、光照强度、光影方向和明暗分布。光源类型可能是自然光（阳光、月光）或人工光（灯光、烛光）。光影效果直接影响图像的立体感、氛围感和真实感，标注时需要评价光影处理的合理性。</w:t>
      </w:r>
    </w:p>
    <w:p>
      <w:pPr>
        <w:pStyle w:val="Heading2"/>
      </w:pPr>
      <w:r>
        <w:t>2.3 空间关系分类标准</w:t>
      </w:r>
    </w:p>
    <w:p>
      <w:r>
        <w:rPr>
          <w:sz w:val="24"/>
        </w:rPr>
        <w:t>空间关系描述不同对象之间以及对象与环境之间的位置和布局关系，这些关系的准确呈现是生成图像合理性的重要保障：</w:t>
      </w:r>
    </w:p>
    <w:p>
      <w:r>
        <w:rPr>
          <w:sz w:val="24"/>
        </w:rPr>
        <w:t>方位关系描述对象之间的相对位置。常见的方位关系包括上下关系（上方、下方）、左右关系（左方、右方）、前后关系（前方、后方）、内外关系（内部、外部）等。标注工作需要准确识别文本中描述的方位关系，并检查图像中相应关系的呈现是否准确。</w:t>
      </w:r>
    </w:p>
    <w:p>
      <w:r>
        <w:rPr>
          <w:sz w:val="24"/>
        </w:rPr>
        <w:t>距离关系描述对象之间的空间间隔。距离可以是具体的数值描述（十米、五厘米），也可以是模糊的定性描述（靠近、远离）。图像中的距离关系通过透视、遮挡、大小对比等视觉手段来呈现，标注时需要检查这些距离关系是否符合文本描述。</w:t>
      </w:r>
    </w:p>
    <w:p>
      <w:r>
        <w:rPr>
          <w:sz w:val="24"/>
        </w:rPr>
        <w:t>大小关系描述不同对象之间的尺寸对比。大小可能是绝对尺寸（高两米、宽十厘米）或相对尺寸（比房子大、比蚂蚁小）。图像中的大小关系通过对象在画面中的实际占比、透视效果以及与其他参照物的对比来呈现。</w:t>
      </w:r>
    </w:p>
    <w:p>
      <w:r>
        <w:rPr>
          <w:sz w:val="24"/>
        </w:rPr>
        <w:t>遮挡关系描述对象之间的前后覆盖关系。当一个对象遮挡另一个对象时，标注工作需要明确标注被遮挡部分的内容和可见程度，这对于理解图像的空间结构至关重要。遮挡可能是角度造成的自然遮挡，也可能是刻意设计的艺术处理。</w:t>
      </w:r>
    </w:p>
    <w:p>
      <w:pPr>
        <w:pStyle w:val="Heading2"/>
      </w:pPr>
      <w:r>
        <w:t>2.4 场景环境分类标准</w:t>
      </w:r>
    </w:p>
    <w:p>
      <w:r>
        <w:rPr>
          <w:sz w:val="24"/>
        </w:rPr>
        <w:t>场景环境为所有主体对象提供空间背景和氛围基调，场景的准确识别和分类有助于评价图像的整体完成度：</w:t>
      </w:r>
    </w:p>
    <w:p>
      <w:r>
        <w:rPr>
          <w:sz w:val="24"/>
        </w:rPr>
        <w:t>自然场景包括各种自然形成的地理环境和生态系统。平原草地类场景以草地、草原、牧场等为主要元素，适合表现宁静、开阔的氛围。森林山岳类场景以树木、山峰、岩石等为主要元素，适合表现神秘、壮观的氛围。水域海滨类场景以江河湖海、沙滩礁石等为主要元素，适合表现清新、浪漫的氛围。天空云彩类场景以天空、云朵、日月星辰等为主要元素，适合表现高远、悠远的氛围。</w:t>
      </w:r>
    </w:p>
    <w:p>
      <w:r>
        <w:rPr>
          <w:sz w:val="24"/>
        </w:rPr>
        <w:t>城市建筑场景以各类建筑和城市设施为背景。街道广场类场景以道路、人行道、广场等为主要元素，体现城市生活的繁华与活力。室内空间类场景以各类建筑内部空间为背景，呈现不同的生活和工作环境。商业设施类场景以商场、餐厅、娱乐场所等为背景，体现现代都市的商业氛围。</w:t>
      </w:r>
    </w:p>
    <w:p>
      <w:r>
        <w:rPr>
          <w:sz w:val="24"/>
        </w:rPr>
        <w:t>虚构场景是创意设计和艺术创作中常见的场景类型。幻想世界类场景构建超现实的虚拟环境，如魔法大陆、赛博空间、水下城市等。历史复现类场景再现过去时代的风貌，如古代中国、维多利亚时代、史前世界等。抽象意境类场景以非写实的方式表达特定的情绪或概念，如光影迷宫、色彩风暴等。</w:t>
      </w:r>
    </w:p>
    <w:p>
      <w:pPr>
        <w:pStyle w:val="Heading1"/>
      </w:pPr>
      <w:r>
        <w:t>第三章 标注操作流程与规范</w:t>
      </w:r>
    </w:p>
    <w:p>
      <w:pPr>
        <w:pStyle w:val="Heading2"/>
      </w:pPr>
      <w:r>
        <w:t>3.1 标注前准备工作</w:t>
      </w:r>
    </w:p>
    <w:p>
      <w:r>
        <w:rPr>
          <w:sz w:val="24"/>
        </w:rPr>
        <w:t>充分的准备工作是保证标注质量的前提条件，标注人员在开始正式标注工作之前应当完成以下准备事项：</w:t>
      </w:r>
    </w:p>
    <w:p>
      <w:r>
        <w:rPr>
          <w:sz w:val="24"/>
        </w:rPr>
        <w:t>环境检查要求标注人员确保工作环境的适宜性。工作区域应当保持安静、整洁、光线充足，避免外界干扰影响标注的专注度和判断准确性。设备状态应当良好，计算机显示器应当经过校准，确保色彩显示的准确性。标注软件应当更新至最新版本，并确认各项功能正常运行。</w:t>
      </w:r>
    </w:p>
    <w:p>
      <w:r>
        <w:rPr>
          <w:sz w:val="24"/>
        </w:rPr>
        <w:t>数据接收与理解要求标注人员在开始标注前充分理解待标注数据的特点和要求。应当仔细阅读项目说明文档，了解本次标注的具体目标、数据来源、质量标准以及特殊情况处理方式。对于存在疑问的数据类型或标注要求，应当及时向项目负责人或经验丰富的同事请教确认，避免因理解偏差导致标注错误。</w:t>
      </w:r>
    </w:p>
    <w:p>
      <w:r>
        <w:rPr>
          <w:sz w:val="24"/>
        </w:rPr>
        <w:t>工具熟悉与设置要求标注人员能够熟练使用标注软件的各种功能。应当提前熟悉界面布局、快捷键设置、标签系统等核心功能，并根据自己的使用习惯进行个性化设置。对于不熟悉的功能，应当在正式标注前进行练习和测试，确保操作熟练度和效率。</w:t>
      </w:r>
    </w:p>
    <w:p>
      <w:pPr>
        <w:pStyle w:val="Heading2"/>
      </w:pPr>
      <w:r>
        <w:t>3.2 标准标注操作流程</w:t>
      </w:r>
    </w:p>
    <w:p>
      <w:r>
        <w:rPr>
          <w:sz w:val="24"/>
        </w:rPr>
        <w:t>标准化的操作流程是保证标注一致性和效率的重要保障，以下是文生图标注的标准操作流程：</w:t>
      </w:r>
    </w:p>
    <w:p>
      <w:r>
        <w:rPr>
          <w:sz w:val="24"/>
        </w:rPr>
        <w:t>第一步：阅读文本描述。仔细阅读待标注样本的文本描述，理解描述中的所有要素和细节。注意识别文本中的关键词汇，如主体对象名称、属性描述、场景设定、风格要求等。对于复杂的长文本，应当按照语义进行拆分，逐段理解和标注。</w:t>
      </w:r>
    </w:p>
    <w:p>
      <w:r>
        <w:rPr>
          <w:sz w:val="24"/>
        </w:rPr>
        <w:t>第二步：观察图像内容。全面观察生成图像的整体面貌，形成对图像内容和质量的整体印象。注意识别图像中的主要元素、次要元素以及背景环境。对照文本描述，初步判断图像与文本之间的一致性程度。</w:t>
      </w:r>
    </w:p>
    <w:p>
      <w:r>
        <w:rPr>
          <w:sz w:val="24"/>
        </w:rPr>
        <w:t>第三步：逐项检查对应关系。按照系统化的顺序，逐项检查文本描述中的各个要素在图像中的对应呈现。检查顺序建议如下：主体对象、主体属性、动作姿态、场景环境、空间关系、色彩风格、艺术手法。每检查一项，应当在内心明确判断该项的一致性结果。</w:t>
      </w:r>
    </w:p>
    <w:p>
      <w:r>
        <w:rPr>
          <w:sz w:val="24"/>
        </w:rPr>
        <w:t>第四步：记录标注结果。根据检查结果，在标注系统中选择或输入相应的标注标签。对于一致性评价，应当按照预设的评价等级进行选择。对于质量评价，应当按照各项质量维度的标准进行打分。对于发现的问题，应当在备注栏中进行详细记录。</w:t>
      </w:r>
    </w:p>
    <w:p>
      <w:r>
        <w:rPr>
          <w:sz w:val="24"/>
        </w:rPr>
        <w:t>第五步：复核与提交。完成标注后，应当快速复核一遍标注结果，确保没有遗漏和明显错误。特别关注标签选择的合理性、分数打分的准确性以及备注记录的完整性。确认无误后提交标注结果。</w:t>
      </w:r>
    </w:p>
    <w:p>
      <w:pPr>
        <w:pStyle w:val="Heading2"/>
      </w:pPr>
      <w:r>
        <w:t>3.3 多维质量评价标准</w:t>
      </w:r>
    </w:p>
    <w:p>
      <w:r>
        <w:rPr>
          <w:sz w:val="24"/>
        </w:rPr>
        <w:t>文生图标注需要对图像进行多维度的质量评价，以下是各维度的具体评价标准：</w:t>
      </w:r>
    </w:p>
    <w:p>
      <w:r>
        <w:rPr>
          <w:sz w:val="24"/>
        </w:rPr>
        <w:t>文本图像匹配度评价采用五级评分制，具体标准如下：</w:t>
      </w:r>
    </w:p>
    <w:tbl>
      <w:tblPr>
        <w:tblStyle w:val="TableGrid"/>
        <w:tblW w:type="auto" w:w="0"/>
        <w:tblLook w:firstColumn="1" w:firstRow="1" w:lastColumn="0" w:lastRow="0" w:noHBand="0" w:noVBand="1" w:val="04A0"/>
      </w:tblPr>
      <w:tblGrid>
        <w:gridCol w:w="2878"/>
        <w:gridCol w:w="2878"/>
        <w:gridCol w:w="2878"/>
      </w:tblGrid>
      <w:tr>
        <w:tc>
          <w:tcPr>
            <w:tcW w:type="dxa" w:w="2878"/>
            <w:shd w:fill="D9E2F3"/>
          </w:tcPr>
          <w:p>
            <w:r>
              <w:rPr>
                <w:b/>
                <w:sz w:val="22"/>
              </w:rPr>
              <w:t>评分等级</w:t>
            </w:r>
          </w:p>
        </w:tc>
        <w:tc>
          <w:tcPr>
            <w:tcW w:type="dxa" w:w="2878"/>
            <w:shd w:fill="D9E2F3"/>
          </w:tcPr>
          <w:p>
            <w:r>
              <w:rPr>
                <w:b/>
                <w:sz w:val="22"/>
              </w:rPr>
              <w:t>等级名称</w:t>
            </w:r>
          </w:p>
        </w:tc>
        <w:tc>
          <w:tcPr>
            <w:tcW w:type="dxa" w:w="2878"/>
            <w:shd w:fill="D9E2F3"/>
          </w:tcPr>
          <w:p>
            <w:r>
              <w:rPr>
                <w:b/>
                <w:sz w:val="22"/>
              </w:rPr>
              <w:t>评价标准</w:t>
            </w:r>
          </w:p>
        </w:tc>
      </w:tr>
      <w:tr>
        <w:tc>
          <w:tcPr>
            <w:tcW w:type="dxa" w:w="2878"/>
          </w:tcPr>
          <w:p>
            <w:r>
              <w:rPr>
                <w:sz w:val="21"/>
              </w:rPr>
              <w:t>----------</w:t>
            </w:r>
          </w:p>
        </w:tc>
        <w:tc>
          <w:tcPr>
            <w:tcW w:type="dxa" w:w="2878"/>
          </w:tcPr>
          <w:p>
            <w:r>
              <w:rPr>
                <w:sz w:val="21"/>
              </w:rPr>
              <w:t>----------</w:t>
            </w:r>
          </w:p>
        </w:tc>
        <w:tc>
          <w:tcPr>
            <w:tcW w:type="dxa" w:w="2878"/>
          </w:tcPr>
          <w:p>
            <w:r>
              <w:rPr>
                <w:sz w:val="21"/>
              </w:rPr>
              <w:t>----------</w:t>
            </w:r>
          </w:p>
        </w:tc>
      </w:tr>
      <w:tr>
        <w:tc>
          <w:tcPr>
            <w:tcW w:type="dxa" w:w="2878"/>
          </w:tcPr>
          <w:p>
            <w:r>
              <w:rPr>
                <w:sz w:val="21"/>
              </w:rPr>
              <w:t>5分</w:t>
            </w:r>
          </w:p>
        </w:tc>
        <w:tc>
          <w:tcPr>
            <w:tcW w:type="dxa" w:w="2878"/>
          </w:tcPr>
          <w:p>
            <w:r>
              <w:rPr>
                <w:sz w:val="21"/>
              </w:rPr>
              <w:t>完全一致</w:t>
            </w:r>
          </w:p>
        </w:tc>
        <w:tc>
          <w:tcPr>
            <w:tcW w:type="dxa" w:w="2878"/>
          </w:tcPr>
          <w:p>
            <w:r>
              <w:rPr>
                <w:sz w:val="21"/>
              </w:rPr>
              <w:t>图像准确呈现了文本描述的所有要素，无遗漏、无错误、无偏差</w:t>
            </w:r>
          </w:p>
        </w:tc>
      </w:tr>
      <w:tr>
        <w:tc>
          <w:tcPr>
            <w:tcW w:type="dxa" w:w="2878"/>
          </w:tcPr>
          <w:p>
            <w:r>
              <w:rPr>
                <w:sz w:val="21"/>
              </w:rPr>
              <w:t>4分</w:t>
            </w:r>
          </w:p>
        </w:tc>
        <w:tc>
          <w:tcPr>
            <w:tcW w:type="dxa" w:w="2878"/>
          </w:tcPr>
          <w:p>
            <w:r>
              <w:rPr>
                <w:sz w:val="21"/>
              </w:rPr>
              <w:t>基本一致</w:t>
            </w:r>
          </w:p>
        </w:tc>
        <w:tc>
          <w:tcPr>
            <w:tcW w:type="dxa" w:w="2878"/>
          </w:tcPr>
          <w:p>
            <w:r>
              <w:rPr>
                <w:sz w:val="21"/>
              </w:rPr>
              <w:t>图像呈现了文本描述的主要要素，个别次要要素略有偏差但不影响整体理解</w:t>
            </w:r>
          </w:p>
        </w:tc>
      </w:tr>
      <w:tr>
        <w:tc>
          <w:tcPr>
            <w:tcW w:type="dxa" w:w="2878"/>
          </w:tcPr>
          <w:p>
            <w:r>
              <w:rPr>
                <w:sz w:val="21"/>
              </w:rPr>
              <w:t>3分</w:t>
            </w:r>
          </w:p>
        </w:tc>
        <w:tc>
          <w:tcPr>
            <w:tcW w:type="dxa" w:w="2878"/>
          </w:tcPr>
          <w:p>
            <w:r>
              <w:rPr>
                <w:sz w:val="21"/>
              </w:rPr>
              <w:t>部分一致</w:t>
            </w:r>
          </w:p>
        </w:tc>
        <w:tc>
          <w:tcPr>
            <w:tcW w:type="dxa" w:w="2878"/>
          </w:tcPr>
          <w:p>
            <w:r>
              <w:rPr>
                <w:sz w:val="21"/>
              </w:rPr>
              <w:t>图像呈现了文本描述的部分要素，重要要素存在遗漏或错误，需要改进</w:t>
            </w:r>
          </w:p>
        </w:tc>
      </w:tr>
      <w:tr>
        <w:tc>
          <w:tcPr>
            <w:tcW w:type="dxa" w:w="2878"/>
          </w:tcPr>
          <w:p>
            <w:r>
              <w:rPr>
                <w:sz w:val="21"/>
              </w:rPr>
              <w:t>2分</w:t>
            </w:r>
          </w:p>
        </w:tc>
        <w:tc>
          <w:tcPr>
            <w:tcW w:type="dxa" w:w="2878"/>
          </w:tcPr>
          <w:p>
            <w:r>
              <w:rPr>
                <w:sz w:val="21"/>
              </w:rPr>
              <w:t>较少一致</w:t>
            </w:r>
          </w:p>
        </w:tc>
        <w:tc>
          <w:tcPr>
            <w:tcW w:type="dxa" w:w="2878"/>
          </w:tcPr>
          <w:p>
            <w:r>
              <w:rPr>
                <w:sz w:val="21"/>
              </w:rPr>
              <w:t>图像仅呈现了文本描述的少量要素，多数要素未能正确呈现</w:t>
            </w:r>
          </w:p>
        </w:tc>
      </w:tr>
      <w:tr>
        <w:tc>
          <w:tcPr>
            <w:tcW w:type="dxa" w:w="2878"/>
          </w:tcPr>
          <w:p>
            <w:r>
              <w:rPr>
                <w:sz w:val="21"/>
              </w:rPr>
              <w:t>1分</w:t>
            </w:r>
          </w:p>
        </w:tc>
        <w:tc>
          <w:tcPr>
            <w:tcW w:type="dxa" w:w="2878"/>
          </w:tcPr>
          <w:p>
            <w:r>
              <w:rPr>
                <w:sz w:val="21"/>
              </w:rPr>
              <w:t>完全不一致</w:t>
            </w:r>
          </w:p>
        </w:tc>
        <w:tc>
          <w:tcPr>
            <w:tcW w:type="dxa" w:w="2878"/>
          </w:tcPr>
          <w:p>
            <w:r>
              <w:rPr>
                <w:sz w:val="21"/>
              </w:rPr>
              <w:t>图像与文本描述存在根本性的不符，主体对象或核心场景完全错误</w:t>
            </w:r>
          </w:p>
        </w:tc>
      </w:tr>
    </w:tbl>
    <w:p/>
    <w:p>
      <w:r>
        <w:rPr>
          <w:sz w:val="24"/>
        </w:rPr>
        <w:t>图像技术质量评价同样采用五级评分制：</w:t>
      </w:r>
    </w:p>
    <w:tbl>
      <w:tblPr>
        <w:tblStyle w:val="TableGrid"/>
        <w:tblW w:type="auto" w:w="0"/>
        <w:tblLook w:firstColumn="1" w:firstRow="1" w:lastColumn="0" w:lastRow="0" w:noHBand="0" w:noVBand="1" w:val="04A0"/>
      </w:tblPr>
      <w:tblGrid>
        <w:gridCol w:w="2878"/>
        <w:gridCol w:w="2878"/>
        <w:gridCol w:w="2878"/>
      </w:tblGrid>
      <w:tr>
        <w:tc>
          <w:tcPr>
            <w:tcW w:type="dxa" w:w="2878"/>
            <w:shd w:fill="D9E2F3"/>
          </w:tcPr>
          <w:p>
            <w:r>
              <w:rPr>
                <w:b/>
                <w:sz w:val="22"/>
              </w:rPr>
              <w:t>评分等级</w:t>
            </w:r>
          </w:p>
        </w:tc>
        <w:tc>
          <w:tcPr>
            <w:tcW w:type="dxa" w:w="2878"/>
            <w:shd w:fill="D9E2F3"/>
          </w:tcPr>
          <w:p>
            <w:r>
              <w:rPr>
                <w:b/>
                <w:sz w:val="22"/>
              </w:rPr>
              <w:t>等级名称</w:t>
            </w:r>
          </w:p>
        </w:tc>
        <w:tc>
          <w:tcPr>
            <w:tcW w:type="dxa" w:w="2878"/>
            <w:shd w:fill="D9E2F3"/>
          </w:tcPr>
          <w:p>
            <w:r>
              <w:rPr>
                <w:b/>
                <w:sz w:val="22"/>
              </w:rPr>
              <w:t>评价标准</w:t>
            </w:r>
          </w:p>
        </w:tc>
      </w:tr>
      <w:tr>
        <w:tc>
          <w:tcPr>
            <w:tcW w:type="dxa" w:w="2878"/>
          </w:tcPr>
          <w:p>
            <w:r>
              <w:rPr>
                <w:sz w:val="21"/>
              </w:rPr>
              <w:t>----------</w:t>
            </w:r>
          </w:p>
        </w:tc>
        <w:tc>
          <w:tcPr>
            <w:tcW w:type="dxa" w:w="2878"/>
          </w:tcPr>
          <w:p>
            <w:r>
              <w:rPr>
                <w:sz w:val="21"/>
              </w:rPr>
              <w:t>----------</w:t>
            </w:r>
          </w:p>
        </w:tc>
        <w:tc>
          <w:tcPr>
            <w:tcW w:type="dxa" w:w="2878"/>
          </w:tcPr>
          <w:p>
            <w:r>
              <w:rPr>
                <w:sz w:val="21"/>
              </w:rPr>
              <w:t>----------</w:t>
            </w:r>
          </w:p>
        </w:tc>
      </w:tr>
      <w:tr>
        <w:tc>
          <w:tcPr>
            <w:tcW w:type="dxa" w:w="2878"/>
          </w:tcPr>
          <w:p>
            <w:r>
              <w:rPr>
                <w:sz w:val="21"/>
              </w:rPr>
              <w:t>5分</w:t>
            </w:r>
          </w:p>
        </w:tc>
        <w:tc>
          <w:tcPr>
            <w:tcW w:type="dxa" w:w="2878"/>
          </w:tcPr>
          <w:p>
            <w:r>
              <w:rPr>
                <w:sz w:val="21"/>
              </w:rPr>
              <w:t>优秀</w:t>
            </w:r>
          </w:p>
        </w:tc>
        <w:tc>
          <w:tcPr>
            <w:tcW w:type="dxa" w:w="2878"/>
          </w:tcPr>
          <w:p>
            <w:r>
              <w:rPr>
                <w:sz w:val="21"/>
              </w:rPr>
              <w:t>图像清晰锐利，无噪点、无模糊、无畸变，色彩准确、过渡自然，技术完成度高</w:t>
            </w:r>
          </w:p>
        </w:tc>
      </w:tr>
      <w:tr>
        <w:tc>
          <w:tcPr>
            <w:tcW w:type="dxa" w:w="2878"/>
          </w:tcPr>
          <w:p>
            <w:r>
              <w:rPr>
                <w:sz w:val="21"/>
              </w:rPr>
              <w:t>4分</w:t>
            </w:r>
          </w:p>
        </w:tc>
        <w:tc>
          <w:tcPr>
            <w:tcW w:type="dxa" w:w="2878"/>
          </w:tcPr>
          <w:p>
            <w:r>
              <w:rPr>
                <w:sz w:val="21"/>
              </w:rPr>
              <w:t>良好</w:t>
            </w:r>
          </w:p>
        </w:tc>
        <w:tc>
          <w:tcPr>
            <w:tcW w:type="dxa" w:w="2878"/>
          </w:tcPr>
          <w:p>
            <w:r>
              <w:rPr>
                <w:sz w:val="21"/>
              </w:rPr>
              <w:t>图像质量较好，存在轻微的技术瑕疵但不影响整体观感</w:t>
            </w:r>
          </w:p>
        </w:tc>
      </w:tr>
      <w:tr>
        <w:tc>
          <w:tcPr>
            <w:tcW w:type="dxa" w:w="2878"/>
          </w:tcPr>
          <w:p>
            <w:r>
              <w:rPr>
                <w:sz w:val="21"/>
              </w:rPr>
              <w:t>3分</w:t>
            </w:r>
          </w:p>
        </w:tc>
        <w:tc>
          <w:tcPr>
            <w:tcW w:type="dxa" w:w="2878"/>
          </w:tcPr>
          <w:p>
            <w:r>
              <w:rPr>
                <w:sz w:val="21"/>
              </w:rPr>
              <w:t>一般</w:t>
            </w:r>
          </w:p>
        </w:tc>
        <w:tc>
          <w:tcPr>
            <w:tcW w:type="dxa" w:w="2878"/>
          </w:tcPr>
          <w:p>
            <w:r>
              <w:rPr>
                <w:sz w:val="21"/>
              </w:rPr>
              <w:t>图像存在明显的质量问题，如轻微模糊、噪点可见、色彩偏差等</w:t>
            </w:r>
          </w:p>
        </w:tc>
      </w:tr>
      <w:tr>
        <w:tc>
          <w:tcPr>
            <w:tcW w:type="dxa" w:w="2878"/>
          </w:tcPr>
          <w:p>
            <w:r>
              <w:rPr>
                <w:sz w:val="21"/>
              </w:rPr>
              <w:t>2分</w:t>
            </w:r>
          </w:p>
        </w:tc>
        <w:tc>
          <w:tcPr>
            <w:tcW w:type="dxa" w:w="2878"/>
          </w:tcPr>
          <w:p>
            <w:r>
              <w:rPr>
                <w:sz w:val="21"/>
              </w:rPr>
              <w:t>较差</w:t>
            </w:r>
          </w:p>
        </w:tc>
        <w:tc>
          <w:tcPr>
            <w:tcW w:type="dxa" w:w="2878"/>
          </w:tcPr>
          <w:p>
            <w:r>
              <w:rPr>
                <w:sz w:val="21"/>
              </w:rPr>
              <w:t>图像存在严重的质量问题，如明显模糊、噪点严重、色彩失真、畸变明显等</w:t>
            </w:r>
          </w:p>
        </w:tc>
      </w:tr>
      <w:tr>
        <w:tc>
          <w:tcPr>
            <w:tcW w:type="dxa" w:w="2878"/>
          </w:tcPr>
          <w:p>
            <w:r>
              <w:rPr>
                <w:sz w:val="21"/>
              </w:rPr>
              <w:t>1分</w:t>
            </w:r>
          </w:p>
        </w:tc>
        <w:tc>
          <w:tcPr>
            <w:tcW w:type="dxa" w:w="2878"/>
          </w:tcPr>
          <w:p>
            <w:r>
              <w:rPr>
                <w:sz w:val="21"/>
              </w:rPr>
              <w:t>极差</w:t>
            </w:r>
          </w:p>
        </w:tc>
        <w:tc>
          <w:tcPr>
            <w:tcW w:type="dxa" w:w="2878"/>
          </w:tcPr>
          <w:p>
            <w:r>
              <w:rPr>
                <w:sz w:val="21"/>
              </w:rPr>
              <w:t>图像存在极端的质量问题，几乎无法正常观看或使用</w:t>
            </w:r>
          </w:p>
        </w:tc>
      </w:tr>
    </w:tbl>
    <w:p/>
    <w:p>
      <w:r>
        <w:rPr>
          <w:sz w:val="24"/>
        </w:rPr>
        <w:t>图像美学质量评价关注图像的艺术表现力：</w:t>
      </w:r>
    </w:p>
    <w:tbl>
      <w:tblPr>
        <w:tblStyle w:val="TableGrid"/>
        <w:tblW w:type="auto" w:w="0"/>
        <w:tblLook w:firstColumn="1" w:firstRow="1" w:lastColumn="0" w:lastRow="0" w:noHBand="0" w:noVBand="1" w:val="04A0"/>
      </w:tblPr>
      <w:tblGrid>
        <w:gridCol w:w="2878"/>
        <w:gridCol w:w="2878"/>
        <w:gridCol w:w="2878"/>
      </w:tblGrid>
      <w:tr>
        <w:tc>
          <w:tcPr>
            <w:tcW w:type="dxa" w:w="2878"/>
            <w:shd w:fill="D9E2F3"/>
          </w:tcPr>
          <w:p>
            <w:r>
              <w:rPr>
                <w:b/>
                <w:sz w:val="22"/>
              </w:rPr>
              <w:t>评分等级</w:t>
            </w:r>
          </w:p>
        </w:tc>
        <w:tc>
          <w:tcPr>
            <w:tcW w:type="dxa" w:w="2878"/>
            <w:shd w:fill="D9E2F3"/>
          </w:tcPr>
          <w:p>
            <w:r>
              <w:rPr>
                <w:b/>
                <w:sz w:val="22"/>
              </w:rPr>
              <w:t>等级名称</w:t>
            </w:r>
          </w:p>
        </w:tc>
        <w:tc>
          <w:tcPr>
            <w:tcW w:type="dxa" w:w="2878"/>
            <w:shd w:fill="D9E2F3"/>
          </w:tcPr>
          <w:p>
            <w:r>
              <w:rPr>
                <w:b/>
                <w:sz w:val="22"/>
              </w:rPr>
              <w:t>评价标准</w:t>
            </w:r>
          </w:p>
        </w:tc>
      </w:tr>
      <w:tr>
        <w:tc>
          <w:tcPr>
            <w:tcW w:type="dxa" w:w="2878"/>
          </w:tcPr>
          <w:p>
            <w:r>
              <w:rPr>
                <w:sz w:val="21"/>
              </w:rPr>
              <w:t>----------</w:t>
            </w:r>
          </w:p>
        </w:tc>
        <w:tc>
          <w:tcPr>
            <w:tcW w:type="dxa" w:w="2878"/>
          </w:tcPr>
          <w:p>
            <w:r>
              <w:rPr>
                <w:sz w:val="21"/>
              </w:rPr>
              <w:t>----------</w:t>
            </w:r>
          </w:p>
        </w:tc>
        <w:tc>
          <w:tcPr>
            <w:tcW w:type="dxa" w:w="2878"/>
          </w:tcPr>
          <w:p>
            <w:r>
              <w:rPr>
                <w:sz w:val="21"/>
              </w:rPr>
              <w:t>----------</w:t>
            </w:r>
          </w:p>
        </w:tc>
      </w:tr>
      <w:tr>
        <w:tc>
          <w:tcPr>
            <w:tcW w:type="dxa" w:w="2878"/>
          </w:tcPr>
          <w:p>
            <w:r>
              <w:rPr>
                <w:sz w:val="21"/>
              </w:rPr>
              <w:t>5分</w:t>
            </w:r>
          </w:p>
        </w:tc>
        <w:tc>
          <w:tcPr>
            <w:tcW w:type="dxa" w:w="2878"/>
          </w:tcPr>
          <w:p>
            <w:r>
              <w:rPr>
                <w:sz w:val="21"/>
              </w:rPr>
              <w:t>优秀</w:t>
            </w:r>
          </w:p>
        </w:tc>
        <w:tc>
          <w:tcPr>
            <w:tcW w:type="dxa" w:w="2878"/>
          </w:tcPr>
          <w:p>
            <w:r>
              <w:rPr>
                <w:sz w:val="21"/>
              </w:rPr>
              <w:t>构图精美、色彩和谐、氛围营造到位，具有较高的艺术价值和审美品质</w:t>
            </w:r>
          </w:p>
        </w:tc>
      </w:tr>
      <w:tr>
        <w:tc>
          <w:tcPr>
            <w:tcW w:type="dxa" w:w="2878"/>
          </w:tcPr>
          <w:p>
            <w:r>
              <w:rPr>
                <w:sz w:val="21"/>
              </w:rPr>
              <w:t>4分</w:t>
            </w:r>
          </w:p>
        </w:tc>
        <w:tc>
          <w:tcPr>
            <w:tcW w:type="dxa" w:w="2878"/>
          </w:tcPr>
          <w:p>
            <w:r>
              <w:rPr>
                <w:sz w:val="21"/>
              </w:rPr>
              <w:t>良好</w:t>
            </w:r>
          </w:p>
        </w:tc>
        <w:tc>
          <w:tcPr>
            <w:tcW w:type="dxa" w:w="2878"/>
          </w:tcPr>
          <w:p>
            <w:r>
              <w:rPr>
                <w:sz w:val="21"/>
              </w:rPr>
              <w:t>构图较为合理、色彩搭配较好，整体视觉效果令人满意</w:t>
            </w:r>
          </w:p>
        </w:tc>
      </w:tr>
      <w:tr>
        <w:tc>
          <w:tcPr>
            <w:tcW w:type="dxa" w:w="2878"/>
          </w:tcPr>
          <w:p>
            <w:r>
              <w:rPr>
                <w:sz w:val="21"/>
              </w:rPr>
              <w:t>3分</w:t>
            </w:r>
          </w:p>
        </w:tc>
        <w:tc>
          <w:tcPr>
            <w:tcW w:type="dxa" w:w="2878"/>
          </w:tcPr>
          <w:p>
            <w:r>
              <w:rPr>
                <w:sz w:val="21"/>
              </w:rPr>
              <w:t>一般</w:t>
            </w:r>
          </w:p>
        </w:tc>
        <w:tc>
          <w:tcPr>
            <w:tcW w:type="dxa" w:w="2878"/>
          </w:tcPr>
          <w:p>
            <w:r>
              <w:rPr>
                <w:sz w:val="21"/>
              </w:rPr>
              <w:t>构图和色彩没有明显问题，但缺乏亮点和艺术感染力</w:t>
            </w:r>
          </w:p>
        </w:tc>
      </w:tr>
      <w:tr>
        <w:tc>
          <w:tcPr>
            <w:tcW w:type="dxa" w:w="2878"/>
          </w:tcPr>
          <w:p>
            <w:r>
              <w:rPr>
                <w:sz w:val="21"/>
              </w:rPr>
              <w:t>2分</w:t>
            </w:r>
          </w:p>
        </w:tc>
        <w:tc>
          <w:tcPr>
            <w:tcW w:type="dxa" w:w="2878"/>
          </w:tcPr>
          <w:p>
            <w:r>
              <w:rPr>
                <w:sz w:val="21"/>
              </w:rPr>
              <w:t>较差</w:t>
            </w:r>
          </w:p>
        </w:tc>
        <w:tc>
          <w:tcPr>
            <w:tcW w:type="dxa" w:w="2878"/>
          </w:tcPr>
          <w:p>
            <w:r>
              <w:rPr>
                <w:sz w:val="21"/>
              </w:rPr>
              <w:t>构图失衡、色彩杂乱或单调、视觉效果不佳</w:t>
            </w:r>
          </w:p>
        </w:tc>
      </w:tr>
      <w:tr>
        <w:tc>
          <w:tcPr>
            <w:tcW w:type="dxa" w:w="2878"/>
          </w:tcPr>
          <w:p>
            <w:r>
              <w:rPr>
                <w:sz w:val="21"/>
              </w:rPr>
              <w:t>1分</w:t>
            </w:r>
          </w:p>
        </w:tc>
        <w:tc>
          <w:tcPr>
            <w:tcW w:type="dxa" w:w="2878"/>
          </w:tcPr>
          <w:p>
            <w:r>
              <w:rPr>
                <w:sz w:val="21"/>
              </w:rPr>
              <w:t>极差</w:t>
            </w:r>
          </w:p>
        </w:tc>
        <w:tc>
          <w:tcPr>
            <w:tcW w:type="dxa" w:w="2878"/>
          </w:tcPr>
          <w:p>
            <w:r>
              <w:rPr>
                <w:sz w:val="21"/>
              </w:rPr>
              <w:t>构图和色彩存在严重问题，图像缺乏基本的审美价值</w:t>
            </w:r>
          </w:p>
        </w:tc>
      </w:tr>
    </w:tbl>
    <w:p/>
    <w:p>
      <w:pPr>
        <w:pStyle w:val="Heading2"/>
      </w:pPr>
      <w:r>
        <w:t>3.4 标注结果记录规范</w:t>
      </w:r>
    </w:p>
    <w:p>
      <w:r>
        <w:rPr>
          <w:sz w:val="24"/>
        </w:rPr>
        <w:t>规范的标注记录是保证数据质量和后续分析的重要基础，标注人员应当严格遵守以下记录规范：</w:t>
      </w:r>
    </w:p>
    <w:p>
      <w:r>
        <w:rPr>
          <w:sz w:val="24"/>
        </w:rPr>
        <w:t>标签选择规范要求标注人员准确选择与标注结果对应的预设标签。标签系统经过精心设计，覆盖了各种常见的标注情况，标注人员应当熟悉各类标签的含义和使用场景。对于需要多选的标签类型，应当根据实际情况选择所有适用的标签，确保标注信息的完整性。</w:t>
      </w:r>
    </w:p>
    <w:p>
      <w:r>
        <w:rPr>
          <w:sz w:val="24"/>
        </w:rPr>
        <w:t>评分记录规范要求标注人员按照评价维度和评分标准进行客观、准确的评分。评分应当基于统一的评价标准，避免主观随意性。评分结果应当真实反映图像的质量状况，不应受到其他因素的影响。对于处于评分边界的情况，应当参考评分细则中的详细说明做出判断。</w:t>
      </w:r>
    </w:p>
    <w:p>
      <w:r>
        <w:rPr>
          <w:sz w:val="24"/>
        </w:rPr>
        <w:t>备注记录规范要求标注人员对标注过程中发现的特殊情况、疑难问题或改进建议进行详细记录。备注内容应当客观、准确、完整，便于后续的质量分析和问题追溯。备注语言应当简洁明了，避免冗长和模糊的表述。典型的需要记录的情况包括：边界案例、歧义情况、新发现的问题类型、可能的改进方向等。</w:t>
      </w:r>
    </w:p>
    <w:p>
      <w:pPr>
        <w:pStyle w:val="Heading1"/>
      </w:pPr>
      <w:r>
        <w:t>第四章 标注示例与边界情况处理</w:t>
      </w:r>
    </w:p>
    <w:p>
      <w:pPr>
        <w:pStyle w:val="Heading2"/>
      </w:pPr>
      <w:r>
        <w:t>4.1 典型正面示例分析</w:t>
      </w:r>
    </w:p>
    <w:p>
      <w:r>
        <w:rPr>
          <w:sz w:val="24"/>
        </w:rPr>
        <w:t>正面示例是指标注结果正确、典型的样本，学习和理解这些示例有助于标注人员掌握正确的标注标准：</w:t>
      </w:r>
    </w:p>
    <w:p>
      <w:r>
        <w:rPr>
          <w:sz w:val="24"/>
        </w:rPr>
        <w:t>示例一：人物图像标注。文本描述为"一位穿着红色连衣裙的年轻女性站在海边，金色的长发随风飘动"。对应的正面标注应当是：主体对象识别为人物（女性），服装属性识别为红色连衣裙，颜色属性识别为金色长发，场景识别为海边（室外、水域），动作姿态识别为站立（头发飘动暗示有风），匹配度评分应为5分（完全一致），质量评分应为5分（图像清晰、色彩准确）。此示例展示了要素识别完整、标签选择准确的正确标注方式。</w:t>
      </w:r>
    </w:p>
    <w:p>
      <w:r>
        <w:rPr>
          <w:sz w:val="24"/>
        </w:rPr>
        <w:t>示例二：物体静物标注。文本描述为"一只蓝色的陶瓷花瓶摆放在木质桌面上，花瓶里插着几朵白色的百合花"。对应的正面标注应当是：主体对象识别为花瓶（陶瓷）、百合花（植物），材质属性识别为陶瓷（光滑、反光）、木质（纹理），颜色属性识别为蓝色（花瓶）、白色（花瓣），空间关系识别为花瓶在桌面上（上下关系）、花插在瓶中（包含关系），整体匹配度应为5分。此示例展示了物品属性识别和空间关系判断的正确方法。</w:t>
      </w:r>
    </w:p>
    <w:p>
      <w:r>
        <w:rPr>
          <w:sz w:val="24"/>
        </w:rPr>
        <w:t>示例三：场景环境标注。文本描述为"一座古老的城堡坐落在郁郁葱葱的山顶上，夕阳的余晖洒在城堡的墙壁上"。对应的正面标注应当是：主体建筑识别为城堡（历史建筑），场景类型识别为山顶（高海拔、开阔），植物环境识别为郁郁葱葱（绿色植物丰富），光照属性识别为夕阳余晖（暖色光、侧光），时间氛围识别为黄昏（夕阳），整体匹配度应为5分。此示例展示了场景要素识别和氛围判断的方法。</w:t>
      </w:r>
    </w:p>
    <w:p>
      <w:pPr>
        <w:pStyle w:val="Heading2"/>
      </w:pPr>
      <w:r>
        <w:t>4.2 典型反面示例分析</w:t>
      </w:r>
    </w:p>
    <w:p>
      <w:r>
        <w:rPr>
          <w:sz w:val="24"/>
        </w:rPr>
        <w:t>反面示例是标注结果存在问题的样本，分析这些问题有助于标注人员避免常见的标注错误：</w:t>
      </w:r>
    </w:p>
    <w:p>
      <w:r>
        <w:rPr>
          <w:sz w:val="24"/>
        </w:rPr>
        <w:t>示例一：主体遗漏错误。文本描述为"一只黑猫蹲在白色的围墙上，墙边种着几株向日葵"，但图像中只呈现了黑猫，没有画出围墙和向日葵。错误的标注方式是忽略遗漏的要素，直接给出高分。正确的标注方式是：识别出主体"黑猫"正确呈现，但遗漏了"围墙"和"向日葵"两个重要要素，匹配度评分应为2-3分，同时在备注中详细说明遗漏的具体内容。</w:t>
      </w:r>
    </w:p>
    <w:p>
      <w:r>
        <w:rPr>
          <w:sz w:val="24"/>
        </w:rPr>
        <w:t>示例二：属性偏差错误。文本描述为"一辆红色的法拉利跑车在公路上飞驰"，但图像中跑车的颜色是黄色而非红色。错误的标注方式是忽略颜色偏差，直接给出较高匹配度评分。正确的标注方式是：主体对象识别准确，但颜色属性存在偏差，匹配度评分应为3-4分（根据偏差程度），并在备注中说明"车辆颜色为黄色，与描述的红色不符"。</w:t>
      </w:r>
    </w:p>
    <w:p>
      <w:r>
        <w:rPr>
          <w:sz w:val="24"/>
        </w:rPr>
        <w:t>示例三：场景混淆错误。文本描述为"一只小狗在公园的草坪上玩耍"，但图像呈现的是室内客厅场景。错误的标注方式是未识别出场景的根本性错误。正确的标注方式是：识别出场景类型完全不符，室外公园草坪被替换为室内客厅，匹配度评分应为1-2分（存在根本性不符），并在备注中详细说明场景混淆的具体情况。</w:t>
      </w:r>
    </w:p>
    <w:p>
      <w:pPr>
        <w:pStyle w:val="Heading2"/>
      </w:pPr>
      <w:r>
        <w:t>4.3 边界情况处理指南</w:t>
      </w:r>
    </w:p>
    <w:p>
      <w:r>
        <w:rPr>
          <w:sz w:val="24"/>
        </w:rPr>
        <w:t>边界情况是标注过程中经常遇到的疑难问题，准确处理这些情况需要丰富的经验和明确的判断标准：</w:t>
      </w:r>
    </w:p>
    <w:p>
      <w:r>
        <w:rPr>
          <w:sz w:val="24"/>
        </w:rPr>
        <w:t>近义表述的处理。文本描述中的同一概念可能有多种不同的表述方式，如"小狗"与"犬"、"车辆"与"车"、"天空"与"苍穹"等。图像生成模型可能使用不同的视觉元素来呈现同一概念。标注人员需要理解这些近义表述的等价关系，不应因为表述方式的不同而判定为不一致。判断的标准应当是实际呈现的视觉内容，而非文字表述的精确匹配。</w:t>
      </w:r>
    </w:p>
    <w:p>
      <w:r>
        <w:rPr>
          <w:sz w:val="24"/>
        </w:rPr>
        <w:t>隐含要素的处理。文本描述可能包含一些隐含的要素，这些要素虽未直接说明但可以合理推断。例如，"夏天"可能隐含着高温、阳光强烈、人们穿着轻薄等要素；"下雨天"可能隐含着天空阴沉、地面湿润、人们打着伞等要素。如果图像没有呈现这些隐含要素，但核心描述要素都正确呈现，应当给予合理的匹配度评分。</w:t>
      </w:r>
    </w:p>
    <w:p>
      <w:r>
        <w:rPr>
          <w:sz w:val="24"/>
        </w:rPr>
        <w:t>超描述内容的处理。图像中可能出现文本描述中没有提及但并不矛盾的内容。例如，文本描述"一只白色的猫在草地上"，图像中除了白猫和草地外，还画了一只蝴蝶。这种情况下不应当视为不一致，因为蝴蝶的存在并不与描述矛盾。但如果图像中出现了与描述矛盾的内容，如画了一只黑色的猫，则应当视为不一致。</w:t>
      </w:r>
    </w:p>
    <w:p>
      <w:r>
        <w:rPr>
          <w:sz w:val="24"/>
        </w:rPr>
        <w:t>艺术化处理的判断。文生图模型有时会对文本描述进行一定程度的艺术化处理，如添加氛围光晕、强化色彩对比、简化或夸张某些要素等。标注人员需要判断这种艺术化处理是否影响了文本描述要素的准确呈现。如果核心要素仍然可识别，艺术化处理只是增强了视觉效果，应当视为一致。如果艺术化处理导致某些要素无法识别或被误解，应当根据实际情况降分。</w:t>
      </w:r>
    </w:p>
    <w:p>
      <w:pPr>
        <w:pStyle w:val="Heading2"/>
      </w:pPr>
      <w:r>
        <w:t>4.4 特殊情况标注规范</w:t>
      </w:r>
    </w:p>
    <w:p>
      <w:r>
        <w:rPr>
          <w:sz w:val="24"/>
        </w:rPr>
        <w:t>以下特殊情况需要标注人员特别注意，并按照相应的规范进行处理：</w:t>
      </w:r>
    </w:p>
    <w:p>
      <w:r>
        <w:rPr>
          <w:sz w:val="24"/>
        </w:rPr>
        <w:t>多主体情况的标注。当文本描述涉及多个主体对象时，标注应当逐个检查每个主体是否在图像中正确呈现。主要主体应当给予更高的关注权重，次要主体可以适当放宽标准。如果文本明确说明了主体之间的关系，应当同时检查关系是否正确呈现。例如"一位母亲牵着孩子的手走在公园里"，需要检查母亲、孩子、手牵手关系、公园场景等所有要素。</w:t>
      </w:r>
    </w:p>
    <w:p>
      <w:r>
        <w:rPr>
          <w:sz w:val="24"/>
        </w:rPr>
        <w:t>抽象概念具象化的处理。文本描述可能包含抽象概念，如"幸福"、"孤独"、"希望"等。这些抽象概念通常通过具体的视觉元素来具象化呈现，如笑脸代表幸福、独自一人的背影代表孤独、破土而出的嫩芽代表希望。标注时应当检查抽象概念是否得到了合理的视觉化呈现。</w:t>
      </w:r>
    </w:p>
    <w:p>
      <w:r>
        <w:rPr>
          <w:sz w:val="24"/>
        </w:rPr>
        <w:t>数量模糊表述的处理。文本描述中的数量表述可能是精确的（"三只猫"）或模糊的（"几只猫"、"一群人"）。对于模糊表述，图像中呈现的数量只要在合理范围内即可视为一致，不必追求精确匹配。</w:t>
      </w:r>
    </w:p>
    <w:p>
      <w:pPr>
        <w:pStyle w:val="Heading1"/>
      </w:pPr>
      <w:r>
        <w:t>第五章 质量控制与验收标准</w:t>
      </w:r>
    </w:p>
    <w:p>
      <w:pPr>
        <w:pStyle w:val="Heading2"/>
      </w:pPr>
      <w:r>
        <w:t>5.1 质量控制体系概述</w:t>
      </w:r>
    </w:p>
    <w:p>
      <w:r>
        <w:rPr>
          <w:sz w:val="24"/>
        </w:rPr>
        <w:t>完善的质量控制体系是保证标注数据可用性的关键，本项目建立三级质量控制体系，确保标注工作的整体质量：</w:t>
      </w:r>
    </w:p>
    <w:p>
      <w:r>
        <w:rPr>
          <w:sz w:val="24"/>
        </w:rPr>
        <w:t>第一级：标注员自检。每位标注人员应当在提交标注结果前进行自我检查，确保标注的完整性和准确性。自检应当覆盖所有标注项目，包括标签选择的正确性、评分打分的合理性、备注记录的完整性等。自检发现的问题应当及时修正后再提交。标注系统将记录自检和修改的历史，作为质量追溯的依据。</w:t>
      </w:r>
    </w:p>
    <w:p>
      <w:r>
        <w:rPr>
          <w:sz w:val="24"/>
        </w:rPr>
        <w:t>第二级：同组互检。标注团队内部定期进行交叉检查，不同标注人员相互审核对方的标注结果。互检能够发现标注人员自身的认知盲区，促进标注标准的统一和提升。互检发现的问题应当及时反馈给原始标注人员进行修正。互检结果应当进行统计和分析，用于识别团队整体的薄弱环节和改进方向。</w:t>
      </w:r>
    </w:p>
    <w:p>
      <w:r>
        <w:rPr>
          <w:sz w:val="24"/>
        </w:rPr>
        <w:t>第三级：专检验收。质量审核人员对提交的标注数据进行专业验收审核。专检采用抽样检查和全面检查相结合的方式，高风险样本进行100%检查，普通样本进行抽样检查。专检发现的严重问题应当追溯同批次的所有数据，必要时进行返工处理。专检结果将作为标注人员绩效考核的重要依据。</w:t>
      </w:r>
    </w:p>
    <w:p>
      <w:pPr>
        <w:pStyle w:val="Heading2"/>
      </w:pPr>
      <w:r>
        <w:t>5.2 验收指标与达标标准</w:t>
      </w:r>
    </w:p>
    <w:p>
      <w:r>
        <w:rPr>
          <w:sz w:val="24"/>
        </w:rPr>
        <w:t>验收指标是衡量标注质量的核心标准，本项目采用以下验收指标体系：</w:t>
      </w:r>
    </w:p>
    <w:p>
      <w:r>
        <w:rPr>
          <w:sz w:val="24"/>
        </w:rPr>
        <w:t>准确率指标。准确率是衡量标注正确性的基础指标，计算公式为：准确率 = 正确标注数量 ÷ 总标注数量 × 100%。不同标注类型的准确率达标标准可能有所不同。对于核心标签（如主体类型、主要属性等），准确率要求不低于95%。对于次要标签（如次要属性、场景细节等），准确率要求不低于90%。</w:t>
      </w:r>
    </w:p>
    <w:p>
      <w:r>
        <w:rPr>
          <w:sz w:val="24"/>
        </w:rPr>
        <w:t>一致性指标。一致性是衡量标注标准执行程度的指标，包括标注人员自身的一致性（同一标注人员对相似样本的打分一致性）和标注人员之间的一致性（不同标注人员对同一样本的打分一致性）。一致性系数（通常使用Cohen's Kappa或Krippendorff's Alpha计算）应当达到0.8以上，表明标注标准执行良好。</w:t>
      </w:r>
    </w:p>
    <w:p>
      <w:r>
        <w:rPr>
          <w:sz w:val="24"/>
        </w:rPr>
        <w:t>完成率指标。完成率是衡量标注进度的指标，要求在约定的时间内完成规定数量的标注任务。完成率达标标准为100%，即应当按时完成所有分配任务的标注工作。因特殊情况无法按时完成的，应当提前报告并说明原因。</w:t>
      </w:r>
    </w:p>
    <w:p>
      <w:r>
        <w:rPr>
          <w:sz w:val="24"/>
        </w:rPr>
        <w:t>返工率指标。返工率是衡量标注质量的逆向指标，计算公式为：返工率 = 返工数量 ÷ 总提交数量 × 100%。返工率越低说明标注一次通过率越高。返工率达标标准为不超过10%，超过此标准的标注人员需要接受再培训和能力提升。</w:t>
      </w:r>
    </w:p>
    <w:p>
      <w:pPr>
        <w:pStyle w:val="Heading2"/>
      </w:pPr>
      <w:r>
        <w:t>5.3 质量问题分类与处理</w:t>
      </w:r>
    </w:p>
    <w:p>
      <w:r>
        <w:rPr>
          <w:sz w:val="24"/>
        </w:rPr>
        <w:t>根据问题的严重程度，质量问题可以分为以下几类并按照相应方式处理：</w:t>
      </w:r>
    </w:p>
    <w:p>
      <w:r>
        <w:rPr>
          <w:sz w:val="24"/>
        </w:rPr>
        <w:t>严重问题是指影响数据可用性的根本性错误，如主体对象识别错误、标签选择完全错误、评分严重偏离实际等。发现严重问题时，应当立即停止相关标注人员的工作，进行问题分析和原因追溯。同批次的所有数据应当进行全面检查和修正。标注人员需要重新接受培训和考核，合格后方可恢复工作。</w:t>
      </w:r>
    </w:p>
    <w:p>
      <w:r>
        <w:rPr>
          <w:sz w:val="24"/>
        </w:rPr>
        <w:t>一般问题是指影响标注准确性的明显错误，如标签选择不够精准、评分略有偏差、备注记录不完整等。发现一般问题时，相关标注数据需要进行修正。标注人员需要分析问题原因，在后续工作中加以改进。项目组应当汇总分析一般问题的类型和成因，用于优化标注规则和培训内容。</w:t>
      </w:r>
    </w:p>
    <w:p>
      <w:r>
        <w:rPr>
          <w:sz w:val="24"/>
        </w:rPr>
        <w:t>轻微问题是指不影响数据使用但可以改进的细节问题，如格式不规范、表述不够清晰等。发现轻微问题时，可以在标注反馈中进行提醒，但不作为返工处理的依据。轻微问题积累到一定程度后，应当进行统一规范和说明。</w:t>
      </w:r>
    </w:p>
    <w:p>
      <w:pPr>
        <w:pStyle w:val="Heading2"/>
      </w:pPr>
      <w:r>
        <w:t>5.4 质量改进机制</w:t>
      </w:r>
    </w:p>
    <w:p>
      <w:r>
        <w:rPr>
          <w:sz w:val="24"/>
        </w:rPr>
        <w:t>持续的质量改进是提升标注水平的重要保障，建立以下质量改进机制：</w:t>
      </w:r>
    </w:p>
    <w:p>
      <w:r>
        <w:rPr>
          <w:sz w:val="24"/>
        </w:rPr>
        <w:t>问题分析机制。定期汇总和分析标注过程中发现的问题，识别问题的类型分布、产生原因和解决方向。问题分析应当基于实际标注数据，具有数据支撑和可操作性。分析结果应当形成报告，用于指导标注规则的优化和培训内容的更新。</w:t>
      </w:r>
    </w:p>
    <w:p>
      <w:r>
        <w:rPr>
          <w:sz w:val="24"/>
        </w:rPr>
        <w:t>经验分享机制。定期组织标注经验分享会，邀请表现优秀的标注人员分享工作方法和技巧。分享内容可以包括：疑难案例的处理方法、边界情况的判断标准、提升效率的小窍门等。经验分享有助于团队整体能力的提升，营造积极向上的工作氛围。</w:t>
      </w:r>
    </w:p>
    <w:p>
      <w:r>
        <w:rPr>
          <w:sz w:val="24"/>
        </w:rPr>
        <w:t>规则迭代机制。根据项目进展和实际需求，定期对标注规则进行评估和修订。规则修订应当经过充分讨论和试点验证，确保新规则的科学性和可执行性。规则更新后应当及时通知所有标注人员，并安排相应的培训和考核。</w:t>
      </w:r>
    </w:p>
    <w:p>
      <w:pPr>
        <w:pStyle w:val="Heading1"/>
      </w:pPr>
      <w:r>
        <w:t>第六章 标注员培训指南</w:t>
      </w:r>
    </w:p>
    <w:p>
      <w:pPr>
        <w:pStyle w:val="Heading2"/>
      </w:pPr>
      <w:r>
        <w:t>6.1 培训目标与要求</w:t>
      </w:r>
    </w:p>
    <w:p>
      <w:r>
        <w:rPr>
          <w:sz w:val="24"/>
        </w:rPr>
        <w:t>标注员培训旨在帮助新入职人员快速掌握文生图标注的核心知识和操作技能，达到独立工作的水平。培训目标包括以下几个方面：</w:t>
      </w:r>
    </w:p>
    <w:p>
      <w:r>
        <w:rPr>
          <w:sz w:val="24"/>
        </w:rPr>
        <w:t>知识目标要求标注人员深入理解文生图技术的基本原理和应用场景，了解数据标注在AI模型训练中的重要作用。掌握本文档中规定的所有标注标准和规范，熟悉各类标注对象的分类体系和评价维度。了解质量控制体系的要求，理解各项验收指标的含义和达标标准。</w:t>
      </w:r>
    </w:p>
    <w:p>
      <w:r>
        <w:rPr>
          <w:sz w:val="24"/>
        </w:rPr>
        <w:t>技能目标要求标注人员熟练使用标注软件的各种功能，包括界面操作、标签选择、评分输入、备注记录等。能够快速准确地阅读文本描述并识别关键要素，能够仔细观察图像并做出客观评价。能够正确处理各种边界情况和疑难问题，确保标注结果的一致性和准确性。</w:t>
      </w:r>
    </w:p>
    <w:p>
      <w:r>
        <w:rPr>
          <w:sz w:val="24"/>
        </w:rPr>
        <w:t>态度目标要求标注人员培养认真负责的工作态度，对标注工作的重要性和严肃性有充分认识。养成主动学习和持续改进的习惯，遇到问题能够及时反馈和规范求解。遵守项目管理规定，保护数据安全和隐私信息。</w:t>
      </w:r>
    </w:p>
    <w:p>
      <w:pPr>
        <w:pStyle w:val="Heading2"/>
      </w:pPr>
      <w:r>
        <w:t>6.2 培训内容与安排</w:t>
      </w:r>
    </w:p>
    <w:p>
      <w:r>
        <w:rPr>
          <w:sz w:val="24"/>
        </w:rPr>
        <w:t>培训内容按照由浅入深、理论与实践相结合的原则进行安排：</w:t>
      </w:r>
    </w:p>
    <w:p>
      <w:r>
        <w:rPr>
          <w:sz w:val="24"/>
        </w:rPr>
        <w:t>第一阶段：基础理论学习（约2天）。学习内容主要包括：AI和文生图技术的基础知识、数据标注工作的意义和价值、本项目标注任务的背景和目标、标注规则文档的详细解读。培训方式以讲授和讨论为主，要求参训人员充分理解各项标准规范的原理和依据。</w:t>
      </w:r>
    </w:p>
    <w:p>
      <w:r>
        <w:rPr>
          <w:sz w:val="24"/>
        </w:rPr>
        <w:t>第二阶段：标注系统培训（约1天）。学习内容主要包括：标注软件的界面布局和功能模块、标注操作的标准流程、标签系统的含义和使用方法、评分系统的结构和评价标准、常见问题和帮助文档的使用。培训方式以演示和实操为主，要求参训人员能够独立完成基本操作。</w:t>
      </w:r>
    </w:p>
    <w:p>
      <w:r>
        <w:rPr>
          <w:sz w:val="24"/>
        </w:rPr>
        <w:t>第三阶段：案例练习与讨论（约3天）。学习内容主要包括：正面示例的识别与分析、反面示例的错误识别与纠正、边界情况的判断标准讨论、综合练习与自测。培训方式以练习和讨论为主，要求参训人员通过大量案例积累判断经验。</w:t>
      </w:r>
    </w:p>
    <w:p>
      <w:r>
        <w:rPr>
          <w:sz w:val="24"/>
        </w:rPr>
        <w:t>第四阶段：实战考核与认证（约1天）。考核内容主要包括：理论测试（闭卷笔试）、实操测试（独立标注一定数量的样本）、问答测试（对疑难案例的处理思路）。考核合格标准为准确率达到90%以上。考核通过后颁发上岗证书，正式成为项目标注团队成员。</w:t>
      </w:r>
    </w:p>
    <w:p>
      <w:pPr>
        <w:pStyle w:val="Heading2"/>
      </w:pPr>
      <w:r>
        <w:t>6.3 考核标准与认证</w:t>
      </w:r>
    </w:p>
    <w:p>
      <w:r>
        <w:rPr>
          <w:sz w:val="24"/>
        </w:rPr>
        <w:t>标注员认证考核是确保培训效果的重要环节，考核标准和认证流程如下：</w:t>
      </w:r>
    </w:p>
    <w:p>
      <w:r>
        <w:rPr>
          <w:sz w:val="24"/>
        </w:rPr>
        <w:t>理论考核采用笔试形式，满分100分，考试时间60分钟。考核内容覆盖：文生图技术基础知识、标注标准和规范、质量控制要求、标注员行为准则。合格分数线为80分。不合格者需要补考，补考仍不合格者需要重新参加培训。</w:t>
      </w:r>
    </w:p>
    <w:p>
      <w:r>
        <w:rPr>
          <w:sz w:val="24"/>
        </w:rPr>
        <w:t>实操考核采用独立标注形式，要求在规定时间内完成指定数量的样本标注。考核内容覆盖：标签选择的正确性、评分打分的准确性、备注记录的规范性。合格标准为准确率达到90%以上，返工率不超过15%。不合格者需要分析原因并进行针对性改进后补考。</w:t>
      </w:r>
    </w:p>
    <w:p>
      <w:r>
        <w:rPr>
          <w:sz w:val="24"/>
        </w:rPr>
        <w:t>综合评价由理论考核和实操考核的成绩综合评定。综合成绩达到90分以上的，评定为优秀标注员；综合成绩达到80分以上的，评定为合格标注员；综合成绩未达80分的，需要重新参加培训。</w:t>
      </w:r>
    </w:p>
    <w:p>
      <w:r>
        <w:rPr>
          <w:sz w:val="24"/>
        </w:rPr>
        <w:t>认证有效期为6个月，期间需要进行定期复审以确保持续符合标准。复审内容包括：近期标注数据的抽样检查、新增规则的学习掌握情况。连续两次复审不合格的，需要重新进行认证考核。</w:t>
      </w:r>
    </w:p>
    <w:p>
      <w:pPr>
        <w:pStyle w:val="Heading2"/>
      </w:pPr>
      <w:r>
        <w:t>6.4 持续教育与能力提升</w:t>
      </w:r>
    </w:p>
    <w:p>
      <w:r>
        <w:rPr>
          <w:sz w:val="24"/>
        </w:rPr>
        <w:t>标注员入职后的持续教育是保持和提升标注能力的重要途径：</w:t>
      </w:r>
    </w:p>
    <w:p>
      <w:r>
        <w:rPr>
          <w:sz w:val="24"/>
        </w:rPr>
        <w:t>定期培训每月组织一次专题培训，内容包括：标注规则更新说明、疑难问题分析解答、新类型样本的处理方法、质量问题案例分享等。培训采用线上线下相结合的方式，方便标注人员灵活参加。</w:t>
      </w:r>
    </w:p>
    <w:p>
      <w:r>
        <w:rPr>
          <w:sz w:val="24"/>
        </w:rPr>
        <w:t>技能进阶为表现优秀的标注人员提供进阶培训机会，内容包括：复杂场景的标注处理、多语言数据的标注能力、标注项目管理知识等。进阶培训合格后，可以承担更多的团队职责，如培训新人、参与规则制定等。</w:t>
      </w:r>
    </w:p>
    <w:p>
      <w:r>
        <w:rPr>
          <w:sz w:val="24"/>
        </w:rPr>
        <w:t>跨项目学习鼓励标注人员了解和学习其他相关项目的标注经验，如图像分类、目标检测、图像分割等。这些相关经验能够帮助标注人员更好地理解图像标注的共性规律，提升综合分析能力。</w:t>
      </w:r>
    </w:p>
    <w:p>
      <w:pPr>
        <w:pStyle w:val="Heading1"/>
      </w:pPr>
      <w:r>
        <w:t>附录</w:t>
      </w:r>
    </w:p>
    <w:p>
      <w:pPr>
        <w:pStyle w:val="Heading2"/>
      </w:pPr>
      <w:r>
        <w:t>附录一：标注标签速查表</w:t>
      </w:r>
    </w:p>
    <w:tbl>
      <w:tblPr>
        <w:tblStyle w:val="TableGrid"/>
        <w:tblW w:type="auto" w:w="0"/>
        <w:tblLook w:firstColumn="1" w:firstRow="1" w:lastColumn="0" w:lastRow="0" w:noHBand="0" w:noVBand="1" w:val="04A0"/>
      </w:tblPr>
      <w:tblGrid>
        <w:gridCol w:w="2878"/>
        <w:gridCol w:w="2878"/>
        <w:gridCol w:w="2878"/>
      </w:tblGrid>
      <w:tr>
        <w:tc>
          <w:tcPr>
            <w:tcW w:type="dxa" w:w="2878"/>
            <w:shd w:fill="D9E2F3"/>
          </w:tcPr>
          <w:p>
            <w:r>
              <w:rPr>
                <w:b/>
                <w:sz w:val="22"/>
              </w:rPr>
              <w:t>标签类别</w:t>
            </w:r>
          </w:p>
        </w:tc>
        <w:tc>
          <w:tcPr>
            <w:tcW w:type="dxa" w:w="2878"/>
            <w:shd w:fill="D9E2F3"/>
          </w:tcPr>
          <w:p>
            <w:r>
              <w:rPr>
                <w:b/>
                <w:sz w:val="22"/>
              </w:rPr>
              <w:t>标签名称</w:t>
            </w:r>
          </w:p>
        </w:tc>
        <w:tc>
          <w:tcPr>
            <w:tcW w:type="dxa" w:w="2878"/>
            <w:shd w:fill="D9E2F3"/>
          </w:tcPr>
          <w:p>
            <w:r>
              <w:rPr>
                <w:b/>
                <w:sz w:val="22"/>
              </w:rPr>
              <w:t>标签说明</w:t>
            </w:r>
          </w:p>
        </w:tc>
      </w:tr>
      <w:tr>
        <w:tc>
          <w:tcPr>
            <w:tcW w:type="dxa" w:w="2878"/>
          </w:tcPr>
          <w:p>
            <w:r>
              <w:rPr>
                <w:sz w:val="21"/>
              </w:rPr>
              <w:t>----------</w:t>
            </w:r>
          </w:p>
        </w:tc>
        <w:tc>
          <w:tcPr>
            <w:tcW w:type="dxa" w:w="2878"/>
          </w:tcPr>
          <w:p>
            <w:r>
              <w:rPr>
                <w:sz w:val="21"/>
              </w:rPr>
              <w:t>----------</w:t>
            </w:r>
          </w:p>
        </w:tc>
        <w:tc>
          <w:tcPr>
            <w:tcW w:type="dxa" w:w="2878"/>
          </w:tcPr>
          <w:p>
            <w:r>
              <w:rPr>
                <w:sz w:val="21"/>
              </w:rPr>
              <w:t>----------</w:t>
            </w:r>
          </w:p>
        </w:tc>
      </w:tr>
      <w:tr>
        <w:tc>
          <w:tcPr>
            <w:tcW w:type="dxa" w:w="2878"/>
          </w:tcPr>
          <w:p>
            <w:r>
              <w:rPr>
                <w:sz w:val="21"/>
              </w:rPr>
              <w:t>主体类型</w:t>
            </w:r>
          </w:p>
        </w:tc>
        <w:tc>
          <w:tcPr>
            <w:tcW w:type="dxa" w:w="2878"/>
          </w:tcPr>
          <w:p>
            <w:r>
              <w:rPr>
                <w:sz w:val="21"/>
              </w:rPr>
              <w:t>人物</w:t>
            </w:r>
          </w:p>
        </w:tc>
        <w:tc>
          <w:tcPr>
            <w:tcW w:type="dxa" w:w="2878"/>
          </w:tcPr>
          <w:p>
            <w:r>
              <w:rPr>
                <w:sz w:val="21"/>
              </w:rPr>
              <w:t>各类人物形象</w:t>
            </w:r>
          </w:p>
        </w:tc>
      </w:tr>
      <w:tr>
        <w:tc>
          <w:tcPr>
            <w:tcW w:type="dxa" w:w="2878"/>
          </w:tcPr>
          <w:p>
            <w:r>
              <w:rPr>
                <w:sz w:val="21"/>
              </w:rPr>
              <w:t>主体类型</w:t>
            </w:r>
          </w:p>
        </w:tc>
        <w:tc>
          <w:tcPr>
            <w:tcW w:type="dxa" w:w="2878"/>
          </w:tcPr>
          <w:p>
            <w:r>
              <w:rPr>
                <w:sz w:val="21"/>
              </w:rPr>
              <w:t>动物</w:t>
            </w:r>
          </w:p>
        </w:tc>
        <w:tc>
          <w:tcPr>
            <w:tcW w:type="dxa" w:w="2878"/>
          </w:tcPr>
          <w:p>
            <w:r>
              <w:rPr>
                <w:sz w:val="21"/>
              </w:rPr>
              <w:t>各类动物形象</w:t>
            </w:r>
          </w:p>
        </w:tc>
      </w:tr>
      <w:tr>
        <w:tc>
          <w:tcPr>
            <w:tcW w:type="dxa" w:w="2878"/>
          </w:tcPr>
          <w:p>
            <w:r>
              <w:rPr>
                <w:sz w:val="21"/>
              </w:rPr>
              <w:t>主体类型</w:t>
            </w:r>
          </w:p>
        </w:tc>
        <w:tc>
          <w:tcPr>
            <w:tcW w:type="dxa" w:w="2878"/>
          </w:tcPr>
          <w:p>
            <w:r>
              <w:rPr>
                <w:sz w:val="21"/>
              </w:rPr>
              <w:t>物体</w:t>
            </w:r>
          </w:p>
        </w:tc>
        <w:tc>
          <w:tcPr>
            <w:tcW w:type="dxa" w:w="2878"/>
          </w:tcPr>
          <w:p>
            <w:r>
              <w:rPr>
                <w:sz w:val="21"/>
              </w:rPr>
              <w:t>各类物品和物体</w:t>
            </w:r>
          </w:p>
        </w:tc>
      </w:tr>
      <w:tr>
        <w:tc>
          <w:tcPr>
            <w:tcW w:type="dxa" w:w="2878"/>
          </w:tcPr>
          <w:p>
            <w:r>
              <w:rPr>
                <w:sz w:val="21"/>
              </w:rPr>
              <w:t>主体类型</w:t>
            </w:r>
          </w:p>
        </w:tc>
        <w:tc>
          <w:tcPr>
            <w:tcW w:type="dxa" w:w="2878"/>
          </w:tcPr>
          <w:p>
            <w:r>
              <w:rPr>
                <w:sz w:val="21"/>
              </w:rPr>
              <w:t>场景</w:t>
            </w:r>
          </w:p>
        </w:tc>
        <w:tc>
          <w:tcPr>
            <w:tcW w:type="dxa" w:w="2878"/>
          </w:tcPr>
          <w:p>
            <w:r>
              <w:rPr>
                <w:sz w:val="21"/>
              </w:rPr>
              <w:t>环境和背景</w:t>
            </w:r>
          </w:p>
        </w:tc>
      </w:tr>
      <w:tr>
        <w:tc>
          <w:tcPr>
            <w:tcW w:type="dxa" w:w="2878"/>
          </w:tcPr>
          <w:p>
            <w:r>
              <w:rPr>
                <w:sz w:val="21"/>
              </w:rPr>
              <w:t>主体类型</w:t>
            </w:r>
          </w:p>
        </w:tc>
        <w:tc>
          <w:tcPr>
            <w:tcW w:type="dxa" w:w="2878"/>
          </w:tcPr>
          <w:p>
            <w:r>
              <w:rPr>
                <w:sz w:val="21"/>
              </w:rPr>
              <w:t>抽象</w:t>
            </w:r>
          </w:p>
        </w:tc>
        <w:tc>
          <w:tcPr>
            <w:tcW w:type="dxa" w:w="2878"/>
          </w:tcPr>
          <w:p>
            <w:r>
              <w:rPr>
                <w:sz w:val="21"/>
              </w:rPr>
              <w:t>概念和意境</w:t>
            </w:r>
          </w:p>
        </w:tc>
      </w:tr>
      <w:tr>
        <w:tc>
          <w:tcPr>
            <w:tcW w:type="dxa" w:w="2878"/>
          </w:tcPr>
          <w:p>
            <w:r>
              <w:rPr>
                <w:sz w:val="21"/>
              </w:rPr>
              <w:t>材质</w:t>
            </w:r>
          </w:p>
        </w:tc>
        <w:tc>
          <w:tcPr>
            <w:tcW w:type="dxa" w:w="2878"/>
          </w:tcPr>
          <w:p>
            <w:r>
              <w:rPr>
                <w:sz w:val="21"/>
              </w:rPr>
              <w:t>金属</w:t>
            </w:r>
          </w:p>
        </w:tc>
        <w:tc>
          <w:tcPr>
            <w:tcW w:type="dxa" w:w="2878"/>
          </w:tcPr>
          <w:p>
            <w:r>
              <w:rPr>
                <w:sz w:val="21"/>
              </w:rPr>
              <w:t>金属质感</w:t>
            </w:r>
          </w:p>
        </w:tc>
      </w:tr>
      <w:tr>
        <w:tc>
          <w:tcPr>
            <w:tcW w:type="dxa" w:w="2878"/>
          </w:tcPr>
          <w:p>
            <w:r>
              <w:rPr>
                <w:sz w:val="21"/>
              </w:rPr>
              <w:t>材质</w:t>
            </w:r>
          </w:p>
        </w:tc>
        <w:tc>
          <w:tcPr>
            <w:tcW w:type="dxa" w:w="2878"/>
          </w:tcPr>
          <w:p>
            <w:r>
              <w:rPr>
                <w:sz w:val="21"/>
              </w:rPr>
              <w:t>木质</w:t>
            </w:r>
          </w:p>
        </w:tc>
        <w:tc>
          <w:tcPr>
            <w:tcW w:type="dxa" w:w="2878"/>
          </w:tcPr>
          <w:p>
            <w:r>
              <w:rPr>
                <w:sz w:val="21"/>
              </w:rPr>
              <w:t>木材质感</w:t>
            </w:r>
          </w:p>
        </w:tc>
      </w:tr>
      <w:tr>
        <w:tc>
          <w:tcPr>
            <w:tcW w:type="dxa" w:w="2878"/>
          </w:tcPr>
          <w:p>
            <w:r>
              <w:rPr>
                <w:sz w:val="21"/>
              </w:rPr>
              <w:t>材质</w:t>
            </w:r>
          </w:p>
        </w:tc>
        <w:tc>
          <w:tcPr>
            <w:tcW w:type="dxa" w:w="2878"/>
          </w:tcPr>
          <w:p>
            <w:r>
              <w:rPr>
                <w:sz w:val="21"/>
              </w:rPr>
              <w:t>布料</w:t>
            </w:r>
          </w:p>
        </w:tc>
        <w:tc>
          <w:tcPr>
            <w:tcW w:type="dxa" w:w="2878"/>
          </w:tcPr>
          <w:p>
            <w:r>
              <w:rPr>
                <w:sz w:val="21"/>
              </w:rPr>
              <w:t>纺织品质感</w:t>
            </w:r>
          </w:p>
        </w:tc>
      </w:tr>
      <w:tr>
        <w:tc>
          <w:tcPr>
            <w:tcW w:type="dxa" w:w="2878"/>
          </w:tcPr>
          <w:p>
            <w:r>
              <w:rPr>
                <w:sz w:val="21"/>
              </w:rPr>
              <w:t>材质</w:t>
            </w:r>
          </w:p>
        </w:tc>
        <w:tc>
          <w:tcPr>
            <w:tcW w:type="dxa" w:w="2878"/>
          </w:tcPr>
          <w:p>
            <w:r>
              <w:rPr>
                <w:sz w:val="21"/>
              </w:rPr>
              <w:t>玻璃</w:t>
            </w:r>
          </w:p>
        </w:tc>
        <w:tc>
          <w:tcPr>
            <w:tcW w:type="dxa" w:w="2878"/>
          </w:tcPr>
          <w:p>
            <w:r>
              <w:rPr>
                <w:sz w:val="21"/>
              </w:rPr>
              <w:t>玻璃质感</w:t>
            </w:r>
          </w:p>
        </w:tc>
      </w:tr>
      <w:tr>
        <w:tc>
          <w:tcPr>
            <w:tcW w:type="dxa" w:w="2878"/>
          </w:tcPr>
          <w:p>
            <w:r>
              <w:rPr>
                <w:sz w:val="21"/>
              </w:rPr>
              <w:t>材质</w:t>
            </w:r>
          </w:p>
        </w:tc>
        <w:tc>
          <w:tcPr>
            <w:tcW w:type="dxa" w:w="2878"/>
          </w:tcPr>
          <w:p>
            <w:r>
              <w:rPr>
                <w:sz w:val="21"/>
              </w:rPr>
              <w:t>皮肤</w:t>
            </w:r>
          </w:p>
        </w:tc>
        <w:tc>
          <w:tcPr>
            <w:tcW w:type="dxa" w:w="2878"/>
          </w:tcPr>
          <w:p>
            <w:r>
              <w:rPr>
                <w:sz w:val="21"/>
              </w:rPr>
              <w:t>人体皮肤</w:t>
            </w:r>
          </w:p>
        </w:tc>
      </w:tr>
      <w:tr>
        <w:tc>
          <w:tcPr>
            <w:tcW w:type="dxa" w:w="2878"/>
          </w:tcPr>
          <w:p>
            <w:r>
              <w:rPr>
                <w:sz w:val="21"/>
              </w:rPr>
              <w:t>材质</w:t>
            </w:r>
          </w:p>
        </w:tc>
        <w:tc>
          <w:tcPr>
            <w:tcW w:type="dxa" w:w="2878"/>
          </w:tcPr>
          <w:p>
            <w:r>
              <w:rPr>
                <w:sz w:val="21"/>
              </w:rPr>
              <w:t>毛发</w:t>
            </w:r>
          </w:p>
        </w:tc>
        <w:tc>
          <w:tcPr>
            <w:tcW w:type="dxa" w:w="2878"/>
          </w:tcPr>
          <w:p>
            <w:r>
              <w:rPr>
                <w:sz w:val="21"/>
              </w:rPr>
              <w:t>动物毛发</w:t>
            </w:r>
          </w:p>
        </w:tc>
      </w:tr>
      <w:tr>
        <w:tc>
          <w:tcPr>
            <w:tcW w:type="dxa" w:w="2878"/>
          </w:tcPr>
          <w:p>
            <w:r>
              <w:rPr>
                <w:sz w:val="21"/>
              </w:rPr>
              <w:t>颜色</w:t>
            </w:r>
          </w:p>
        </w:tc>
        <w:tc>
          <w:tcPr>
            <w:tcW w:type="dxa" w:w="2878"/>
          </w:tcPr>
          <w:p>
            <w:r>
              <w:rPr>
                <w:sz w:val="21"/>
              </w:rPr>
              <w:t>红色系</w:t>
            </w:r>
          </w:p>
        </w:tc>
        <w:tc>
          <w:tcPr>
            <w:tcW w:type="dxa" w:w="2878"/>
          </w:tcPr>
          <w:p>
            <w:r>
              <w:rPr>
                <w:sz w:val="21"/>
              </w:rPr>
              <w:t>以红色为主的色调</w:t>
            </w:r>
          </w:p>
        </w:tc>
      </w:tr>
      <w:tr>
        <w:tc>
          <w:tcPr>
            <w:tcW w:type="dxa" w:w="2878"/>
          </w:tcPr>
          <w:p>
            <w:r>
              <w:rPr>
                <w:sz w:val="21"/>
              </w:rPr>
              <w:t>颜色</w:t>
            </w:r>
          </w:p>
        </w:tc>
        <w:tc>
          <w:tcPr>
            <w:tcW w:type="dxa" w:w="2878"/>
          </w:tcPr>
          <w:p>
            <w:r>
              <w:rPr>
                <w:sz w:val="21"/>
              </w:rPr>
              <w:t>蓝色系</w:t>
            </w:r>
          </w:p>
        </w:tc>
        <w:tc>
          <w:tcPr>
            <w:tcW w:type="dxa" w:w="2878"/>
          </w:tcPr>
          <w:p>
            <w:r>
              <w:rPr>
                <w:sz w:val="21"/>
              </w:rPr>
              <w:t>以蓝色为主的色调</w:t>
            </w:r>
          </w:p>
        </w:tc>
      </w:tr>
      <w:tr>
        <w:tc>
          <w:tcPr>
            <w:tcW w:type="dxa" w:w="2878"/>
          </w:tcPr>
          <w:p>
            <w:r>
              <w:rPr>
                <w:sz w:val="21"/>
              </w:rPr>
              <w:t>颜色</w:t>
            </w:r>
          </w:p>
        </w:tc>
        <w:tc>
          <w:tcPr>
            <w:tcW w:type="dxa" w:w="2878"/>
          </w:tcPr>
          <w:p>
            <w:r>
              <w:rPr>
                <w:sz w:val="21"/>
              </w:rPr>
              <w:t>绿色系</w:t>
            </w:r>
          </w:p>
        </w:tc>
        <w:tc>
          <w:tcPr>
            <w:tcW w:type="dxa" w:w="2878"/>
          </w:tcPr>
          <w:p>
            <w:r>
              <w:rPr>
                <w:sz w:val="21"/>
              </w:rPr>
              <w:t>以绿色为主的色调</w:t>
            </w:r>
          </w:p>
        </w:tc>
      </w:tr>
      <w:tr>
        <w:tc>
          <w:tcPr>
            <w:tcW w:type="dxa" w:w="2878"/>
          </w:tcPr>
          <w:p>
            <w:r>
              <w:rPr>
                <w:sz w:val="21"/>
              </w:rPr>
              <w:t>颜色</w:t>
            </w:r>
          </w:p>
        </w:tc>
        <w:tc>
          <w:tcPr>
            <w:tcW w:type="dxa" w:w="2878"/>
          </w:tcPr>
          <w:p>
            <w:r>
              <w:rPr>
                <w:sz w:val="21"/>
              </w:rPr>
              <w:t>暖色调</w:t>
            </w:r>
          </w:p>
        </w:tc>
        <w:tc>
          <w:tcPr>
            <w:tcW w:type="dxa" w:w="2878"/>
          </w:tcPr>
          <w:p>
            <w:r>
              <w:rPr>
                <w:sz w:val="21"/>
              </w:rPr>
              <w:t>偏黄橙的暖色</w:t>
            </w:r>
          </w:p>
        </w:tc>
      </w:tr>
      <w:tr>
        <w:tc>
          <w:tcPr>
            <w:tcW w:type="dxa" w:w="2878"/>
          </w:tcPr>
          <w:p>
            <w:r>
              <w:rPr>
                <w:sz w:val="21"/>
              </w:rPr>
              <w:t>颜色</w:t>
            </w:r>
          </w:p>
        </w:tc>
        <w:tc>
          <w:tcPr>
            <w:tcW w:type="dxa" w:w="2878"/>
          </w:tcPr>
          <w:p>
            <w:r>
              <w:rPr>
                <w:sz w:val="21"/>
              </w:rPr>
              <w:t>冷色调</w:t>
            </w:r>
          </w:p>
        </w:tc>
        <w:tc>
          <w:tcPr>
            <w:tcW w:type="dxa" w:w="2878"/>
          </w:tcPr>
          <w:p>
            <w:r>
              <w:rPr>
                <w:sz w:val="21"/>
              </w:rPr>
              <w:t>偏蓝紫的冷色</w:t>
            </w:r>
          </w:p>
        </w:tc>
      </w:tr>
      <w:tr>
        <w:tc>
          <w:tcPr>
            <w:tcW w:type="dxa" w:w="2878"/>
          </w:tcPr>
          <w:p>
            <w:r>
              <w:rPr>
                <w:sz w:val="21"/>
              </w:rPr>
              <w:t>风格</w:t>
            </w:r>
          </w:p>
        </w:tc>
        <w:tc>
          <w:tcPr>
            <w:tcW w:type="dxa" w:w="2878"/>
          </w:tcPr>
          <w:p>
            <w:r>
              <w:rPr>
                <w:sz w:val="21"/>
              </w:rPr>
              <w:t>写实</w:t>
            </w:r>
          </w:p>
        </w:tc>
        <w:tc>
          <w:tcPr>
            <w:tcW w:type="dxa" w:w="2878"/>
          </w:tcPr>
          <w:p>
            <w:r>
              <w:rPr>
                <w:sz w:val="21"/>
              </w:rPr>
              <w:t>接近真实的表现</w:t>
            </w:r>
          </w:p>
        </w:tc>
      </w:tr>
      <w:tr>
        <w:tc>
          <w:tcPr>
            <w:tcW w:type="dxa" w:w="2878"/>
          </w:tcPr>
          <w:p>
            <w:r>
              <w:rPr>
                <w:sz w:val="21"/>
              </w:rPr>
              <w:t>风格</w:t>
            </w:r>
          </w:p>
        </w:tc>
        <w:tc>
          <w:tcPr>
            <w:tcW w:type="dxa" w:w="2878"/>
          </w:tcPr>
          <w:p>
            <w:r>
              <w:rPr>
                <w:sz w:val="21"/>
              </w:rPr>
              <w:t>卡通</w:t>
            </w:r>
          </w:p>
        </w:tc>
        <w:tc>
          <w:tcPr>
            <w:tcW w:type="dxa" w:w="2878"/>
          </w:tcPr>
          <w:p>
            <w:r>
              <w:rPr>
                <w:sz w:val="21"/>
              </w:rPr>
              <w:t>卡通动漫风格</w:t>
            </w:r>
          </w:p>
        </w:tc>
      </w:tr>
      <w:tr>
        <w:tc>
          <w:tcPr>
            <w:tcW w:type="dxa" w:w="2878"/>
          </w:tcPr>
          <w:p>
            <w:r>
              <w:rPr>
                <w:sz w:val="21"/>
              </w:rPr>
              <w:t>风格</w:t>
            </w:r>
          </w:p>
        </w:tc>
        <w:tc>
          <w:tcPr>
            <w:tcW w:type="dxa" w:w="2878"/>
          </w:tcPr>
          <w:p>
            <w:r>
              <w:rPr>
                <w:sz w:val="21"/>
              </w:rPr>
              <w:t>水彩</w:t>
            </w:r>
          </w:p>
        </w:tc>
        <w:tc>
          <w:tcPr>
            <w:tcW w:type="dxa" w:w="2878"/>
          </w:tcPr>
          <w:p>
            <w:r>
              <w:rPr>
                <w:sz w:val="21"/>
              </w:rPr>
              <w:t>水彩画风格</w:t>
            </w:r>
          </w:p>
        </w:tc>
      </w:tr>
      <w:tr>
        <w:tc>
          <w:tcPr>
            <w:tcW w:type="dxa" w:w="2878"/>
          </w:tcPr>
          <w:p>
            <w:r>
              <w:rPr>
                <w:sz w:val="21"/>
              </w:rPr>
              <w:t>风格</w:t>
            </w:r>
          </w:p>
        </w:tc>
        <w:tc>
          <w:tcPr>
            <w:tcW w:type="dxa" w:w="2878"/>
          </w:tcPr>
          <w:p>
            <w:r>
              <w:rPr>
                <w:sz w:val="21"/>
              </w:rPr>
              <w:t>油画</w:t>
            </w:r>
          </w:p>
        </w:tc>
        <w:tc>
          <w:tcPr>
            <w:tcW w:type="dxa" w:w="2878"/>
          </w:tcPr>
          <w:p>
            <w:r>
              <w:rPr>
                <w:sz w:val="21"/>
              </w:rPr>
              <w:t>油画风格</w:t>
            </w:r>
          </w:p>
        </w:tc>
      </w:tr>
      <w:tr>
        <w:tc>
          <w:tcPr>
            <w:tcW w:type="dxa" w:w="2878"/>
          </w:tcPr>
          <w:p>
            <w:r>
              <w:rPr>
                <w:sz w:val="21"/>
              </w:rPr>
              <w:t>问题类型</w:t>
            </w:r>
          </w:p>
        </w:tc>
        <w:tc>
          <w:tcPr>
            <w:tcW w:type="dxa" w:w="2878"/>
          </w:tcPr>
          <w:p>
            <w:r>
              <w:rPr>
                <w:sz w:val="21"/>
              </w:rPr>
              <w:t>主体错误</w:t>
            </w:r>
          </w:p>
        </w:tc>
        <w:tc>
          <w:tcPr>
            <w:tcW w:type="dxa" w:w="2878"/>
          </w:tcPr>
          <w:p>
            <w:r>
              <w:rPr>
                <w:sz w:val="21"/>
              </w:rPr>
              <w:t>主体对象识别错误</w:t>
            </w:r>
          </w:p>
        </w:tc>
      </w:tr>
      <w:tr>
        <w:tc>
          <w:tcPr>
            <w:tcW w:type="dxa" w:w="2878"/>
          </w:tcPr>
          <w:p>
            <w:r>
              <w:rPr>
                <w:sz w:val="21"/>
              </w:rPr>
              <w:t>问题类型</w:t>
            </w:r>
          </w:p>
        </w:tc>
        <w:tc>
          <w:tcPr>
            <w:tcW w:type="dxa" w:w="2878"/>
          </w:tcPr>
          <w:p>
            <w:r>
              <w:rPr>
                <w:sz w:val="21"/>
              </w:rPr>
              <w:t>属性错误</w:t>
            </w:r>
          </w:p>
        </w:tc>
        <w:tc>
          <w:tcPr>
            <w:tcW w:type="dxa" w:w="2878"/>
          </w:tcPr>
          <w:p>
            <w:r>
              <w:rPr>
                <w:sz w:val="21"/>
              </w:rPr>
              <w:t>属性描述不准确</w:t>
            </w:r>
          </w:p>
        </w:tc>
      </w:tr>
      <w:tr>
        <w:tc>
          <w:tcPr>
            <w:tcW w:type="dxa" w:w="2878"/>
          </w:tcPr>
          <w:p>
            <w:r>
              <w:rPr>
                <w:sz w:val="21"/>
              </w:rPr>
              <w:t>问题类型</w:t>
            </w:r>
          </w:p>
        </w:tc>
        <w:tc>
          <w:tcPr>
            <w:tcW w:type="dxa" w:w="2878"/>
          </w:tcPr>
          <w:p>
            <w:r>
              <w:rPr>
                <w:sz w:val="21"/>
              </w:rPr>
              <w:t>场景错误</w:t>
            </w:r>
          </w:p>
        </w:tc>
        <w:tc>
          <w:tcPr>
            <w:tcW w:type="dxa" w:w="2878"/>
          </w:tcPr>
          <w:p>
            <w:r>
              <w:rPr>
                <w:sz w:val="21"/>
              </w:rPr>
              <w:t>场景环境不匹配</w:t>
            </w:r>
          </w:p>
        </w:tc>
      </w:tr>
      <w:tr>
        <w:tc>
          <w:tcPr>
            <w:tcW w:type="dxa" w:w="2878"/>
          </w:tcPr>
          <w:p>
            <w:r>
              <w:rPr>
                <w:sz w:val="21"/>
              </w:rPr>
              <w:t>问题类型</w:t>
            </w:r>
          </w:p>
        </w:tc>
        <w:tc>
          <w:tcPr>
            <w:tcW w:type="dxa" w:w="2878"/>
          </w:tcPr>
          <w:p>
            <w:r>
              <w:rPr>
                <w:sz w:val="21"/>
              </w:rPr>
              <w:t>质量缺陷</w:t>
            </w:r>
          </w:p>
        </w:tc>
        <w:tc>
          <w:tcPr>
            <w:tcW w:type="dxa" w:w="2878"/>
          </w:tcPr>
          <w:p>
            <w:r>
              <w:rPr>
                <w:sz w:val="21"/>
              </w:rPr>
              <w:t>技术质量问题</w:t>
            </w:r>
          </w:p>
        </w:tc>
      </w:tr>
    </w:tbl>
    <w:p/>
    <w:p>
      <w:pPr>
        <w:pStyle w:val="Heading2"/>
      </w:pPr>
      <w:r>
        <w:t>附录二：常见问题解答</w:t>
      </w:r>
    </w:p>
    <w:p>
      <w:r>
        <w:rPr>
          <w:sz w:val="24"/>
        </w:rPr>
        <w:t>问题一：文本描述中的生僻词汇如何处理？</w:t>
      </w:r>
    </w:p>
    <w:p>
      <w:r>
        <w:rPr>
          <w:sz w:val="24"/>
        </w:rPr>
        <w:t>解答：对于不熟悉的名词或概念，首先应当通过搜索引擎或工具书了解其基本含义。如果仍无法确定，可以标记为"待确认"并向项目负责人反馈。标注时应当基于对词汇的一般性理解进行标注，并在备注中说明理解的不确定性。</w:t>
      </w:r>
    </w:p>
    <w:p>
      <w:r>
        <w:rPr>
          <w:sz w:val="24"/>
        </w:rPr>
        <w:t>问题二：图像质量明显优于文本描述要求时如何评分？</w:t>
      </w:r>
    </w:p>
    <w:p>
      <w:r>
        <w:rPr>
          <w:sz w:val="24"/>
        </w:rPr>
        <w:t>解答：图像质量评价与文本-图像一致性评价是两个独立的维度。如果图像质量优秀（清晰、色彩好、构图佳），应当给予高质量评分，即使一致性评价一般。这意味着模型的能力超出文本描述的要求，不应因此降低质量评分。</w:t>
      </w:r>
    </w:p>
    <w:p>
      <w:r>
        <w:rPr>
          <w:sz w:val="24"/>
        </w:rPr>
        <w:t>问题三：标注过程中发现规则未涵盖的情况如何处理？</w:t>
      </w:r>
    </w:p>
    <w:p>
      <w:r>
        <w:rPr>
          <w:sz w:val="24"/>
        </w:rPr>
        <w:t>解答：对于规则未明确覆盖的新情况，应当首先基于基本常识和标注原则做出合理判断。然后将情况详细记录在备注中，包括文本描述、图像内容、自己的处理方式等。反馈给项目组用于规则更新和培训完善。</w:t>
      </w:r>
    </w:p>
    <w:p>
      <w:r>
        <w:rPr>
          <w:sz w:val="24"/>
        </w:rPr>
        <w:t>问题四：同一批次数据中存在大量相似样本如何处理？</w:t>
      </w:r>
    </w:p>
    <w:p>
      <w:r>
        <w:rPr>
          <w:sz w:val="24"/>
        </w:rPr>
        <w:t>解答：相似样本应当按照相同的标准进行标注，确保一致性。如果发现相似样本之间的标注结果存在较大差异，应当及时核查和纠正。可以选取代表性样本进行讨论，统一处理标准后再继续标注。</w:t>
      </w:r>
    </w:p>
    <w:p>
      <w:pPr>
        <w:pStyle w:val="Heading2"/>
      </w:pPr>
      <w:r>
        <w:t>附录三：参考资源</w:t>
      </w:r>
    </w:p>
    <w:p>
      <w:r>
        <w:rPr>
          <w:sz w:val="24"/>
        </w:rPr>
        <w:t>内部资源：项目培训PPT、历史标注案例库、标注规则更新公告、标注员交流群组。</w:t>
      </w:r>
    </w:p>
    <w:p>
      <w:r>
        <w:rPr>
          <w:sz w:val="24"/>
        </w:rPr>
        <w:t>外部资源：文生图技术相关论文和报告、主流AI绘画工具使用指南、图像质量评价相关标准、艺术风格参考资料。</w:t>
      </w:r>
    </w:p>
    <w:p>
      <w:pPr>
        <w:pStyle w:val="Heading1"/>
      </w:pPr>
      <w:r>
        <w:t>文档结束</w:t>
      </w:r>
    </w:p>
    <w:p>
      <w:r>
        <w:rPr>
          <w:sz w:val="24"/>
        </w:rPr>
        <w:t>本文档由MiniMax Agent编写，如有疑问或建议，请联系项目组。</w:t>
      </w:r>
    </w:p>
    <w:p>
      <w:r>
        <w:rPr>
          <w:sz w:val="24"/>
        </w:rPr>
        <w:t>最后更新日期：2026年4月1日</w:t>
      </w:r>
    </w:p>
    <w:p>
      <w:pPr>
        <w:jc w:val="center"/>
      </w:pPr>
      <w:r>
        <w:rPr>
          <w:sz w:val="16"/>
          <w:color w:val="808080"/>
        </w:rPr>
        <w:t>由Minimax Agent AI生成</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{"Label":"AIGC","ContentProducer":"Minimax Agent AI","ProduceID":"00000000000000000000000000000000","ReservedCode1":"3046022100e2b79c3a39a45ba166ce4994a0b24ea3313daa0446dad13e2f70ccd745d1ed58022100a37f28cf75a7f300f923735eb6431516487814cb7fad3dca16d2f4e009ce3d02","ContentPropagator":"Minimax Agent AI","PropagateID":"00000000000000000000000000000000","ReservedCode2":"304502210087d7aa53b0062df3c85db385c10dcdfa52e49a65194b79ad19f0444ca5d0f128022043746add9434fdceb64b2756f8e077db5ea029a5b0aabc7c22e3da3138b2809b"}</vt:lpwstr>
  </property>
</Properties>
</file>