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06.0" w:type="dxa"/>
        <w:jc w:val="left"/>
        <w:tblInd w:w="-115.0" w:type="dxa"/>
        <w:tblLayout w:type="fixed"/>
        <w:tblLook w:val="0400"/>
      </w:tblPr>
      <w:tblGrid>
        <w:gridCol w:w="9406"/>
        <w:tblGridChange w:id="0">
          <w:tblGrid>
            <w:gridCol w:w="9406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</w:tcPr>
          <w:p w:rsidR="00000000" w:rsidDel="00000000" w:rsidP="00000000" w:rsidRDefault="00000000" w:rsidRPr="00000000" w14:paraId="00000002">
            <w:pPr>
              <w:pStyle w:val="Heading1"/>
              <w:spacing w:after="220" w:before="220" w:lineRule="auto"/>
              <w:jc w:val="center"/>
              <w:rPr/>
            </w:pPr>
            <w:bookmarkStart w:colFirst="0" w:colLast="0" w:name="_heading=h.ock09ufyowz4" w:id="0"/>
            <w:bookmarkEnd w:id="0"/>
            <w:r w:rsidDel="00000000" w:rsidR="00000000" w:rsidRPr="00000000">
              <w:rPr>
                <w:rtl w:val="0"/>
              </w:rPr>
              <w:t xml:space="preserve">CAHIER DES CHARGES</w:t>
            </w:r>
          </w:p>
        </w:tc>
      </w:tr>
    </w:tbl>
    <w:p w:rsidR="00000000" w:rsidDel="00000000" w:rsidP="00000000" w:rsidRDefault="00000000" w:rsidRPr="00000000" w14:paraId="00000003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0" w:lineRule="auto"/>
        <w:jc w:val="center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171717"/>
          <w:sz w:val="28"/>
          <w:szCs w:val="28"/>
          <w:rtl w:val="0"/>
        </w:rPr>
        <w:t xml:space="preserve">Site web du département Génie Mécanique et Productique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before="0" w:lineRule="auto"/>
        <w:jc w:val="center"/>
        <w:rPr>
          <w:rFonts w:ascii="Outfit" w:cs="Outfit" w:eastAsia="Outfit" w:hAnsi="Outfit"/>
          <w:b w:val="0"/>
          <w:bCs w:val="0"/>
          <w:i w:val="0"/>
          <w:iCs w:val="0"/>
          <w:color w:val="64748b"/>
          <w:sz w:val="22"/>
          <w:szCs w:val="22"/>
        </w:rPr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64748b"/>
          <w:sz w:val="22"/>
          <w:szCs w:val="22"/>
          <w:rtl w:val="0"/>
        </w:rPr>
        <w:t xml:space="preserve">IUT d'Évry-Courcouronnes — Département GMP</w:t>
      </w:r>
    </w:p>
    <w:p w:rsidR="00000000" w:rsidDel="00000000" w:rsidP="00000000" w:rsidRDefault="00000000" w:rsidRPr="00000000" w14:paraId="00000006">
      <w:pPr>
        <w:spacing w:after="200" w:before="0" w:lineRule="auto"/>
        <w:jc w:val="center"/>
        <w:rPr>
          <w:color w:val="64748b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before="0" w:lineRule="auto"/>
        <w:jc w:val="center"/>
        <w:rPr>
          <w:color w:val="64748b"/>
        </w:rPr>
      </w:pPr>
      <w:r w:rsidDel="00000000" w:rsidR="00000000" w:rsidRPr="00000000">
        <w:rPr>
          <w:color w:val="64748b"/>
        </w:rPr>
        <w:drawing>
          <wp:inline distB="114300" distT="114300" distL="114300" distR="114300">
            <wp:extent cx="5972810" cy="3213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before="0" w:lineRule="auto"/>
        <w:jc w:val="center"/>
        <w:rPr>
          <w:color w:val="64748b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before="0" w:lineRule="auto"/>
        <w:jc w:val="center"/>
        <w:rPr>
          <w:color w:val="64748b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06.0" w:type="dxa"/>
        <w:jc w:val="center"/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ff8ec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29400"/>
                <w:sz w:val="20"/>
                <w:szCs w:val="20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29400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Mars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29400"/>
                <w:sz w:val="20"/>
                <w:szCs w:val="20"/>
                <w:rtl w:val="0"/>
              </w:rPr>
              <w:t xml:space="preserve">Auteurs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Yahaya Coulibaly, Hyosua Colléter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pBdr>
          <w:bottom w:color="f29400" w:space="4" w:sz="16" w:val="single"/>
        </w:pBdr>
        <w:spacing w:after="160" w:before="300" w:lineRule="auto"/>
        <w:rPr/>
      </w:pPr>
      <w:bookmarkStart w:colFirst="0" w:colLast="0" w:name="_heading=h.b0juiibza43s" w:id="1"/>
      <w:bookmarkEnd w:id="1"/>
      <w:r w:rsidDel="00000000" w:rsidR="00000000" w:rsidRPr="00000000">
        <w:rPr>
          <w:rtl w:val="0"/>
        </w:rPr>
        <w:t xml:space="preserve">1. Présentation du projet</w:t>
      </w:r>
    </w:p>
    <w:p w:rsidR="00000000" w:rsidDel="00000000" w:rsidP="00000000" w:rsidRDefault="00000000" w:rsidRPr="00000000" w14:paraId="00000012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lshxy0877eva" w:id="2"/>
      <w:bookmarkEnd w:id="2"/>
      <w:r w:rsidDel="00000000" w:rsidR="00000000" w:rsidRPr="00000000">
        <w:rPr>
          <w:rtl w:val="0"/>
        </w:rPr>
        <w:t xml:space="preserve">1.1 Contexte</w:t>
      </w:r>
    </w:p>
    <w:p w:rsidR="00000000" w:rsidDel="00000000" w:rsidP="00000000" w:rsidRDefault="00000000" w:rsidRPr="00000000" w14:paraId="00000013">
      <w:pPr>
        <w:spacing w:after="80" w:before="0" w:lineRule="auto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Le département Génie Mécanique et Productique (GMP) de l'IUT souhaite se doter d'un site web institutionnel. Ce site a pour vocation de centraliser les informations du département à destination de plusieurs publics : les futurs inscrits, les étudiants en cours de formation, les enseignants, les entreprises partenaires et le personnel administratif.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shxglp9qxof0" w:id="3"/>
      <w:bookmarkEnd w:id="3"/>
      <w:r w:rsidDel="00000000" w:rsidR="00000000" w:rsidRPr="00000000">
        <w:rPr>
          <w:rtl w:val="0"/>
        </w:rPr>
        <w:t xml:space="preserve">1.2 Parties prenantes</w:t>
      </w:r>
    </w:p>
    <w:tbl>
      <w:tblPr>
        <w:tblStyle w:val="Table3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Rôle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Nom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Maître d'ouvrage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Khalifa DJEMAL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Maître d'œuvre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Yahaya Coulibaly, Hyosua Colléter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2x1k34fgazk3" w:id="4"/>
      <w:bookmarkEnd w:id="4"/>
      <w:r w:rsidDel="00000000" w:rsidR="00000000" w:rsidRPr="00000000">
        <w:rPr>
          <w:rtl w:val="0"/>
        </w:rPr>
        <w:t xml:space="preserve">1.3 Objectifs</w:t>
      </w:r>
    </w:p>
    <w:p w:rsidR="00000000" w:rsidDel="00000000" w:rsidP="00000000" w:rsidRDefault="00000000" w:rsidRPr="00000000" w14:paraId="0000001D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Présenter le département GMP et ses formations (BUT GMP, Licences Professionnelles)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Offrir un espace personnel aux étudiants (notes, emploi du temps, supports de cours, offres)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Offrir un espace de gestion aux enseignants (notes, supports de cours, emploi du temps)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Permettre aux entreprises de déposer des offres d'alternance et des projets tuteurés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Fournir au personnel GMP un panel d'administration pour gérer l'ensemble du contenu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9ma4we7ljrl3" w:id="5"/>
      <w:bookmarkEnd w:id="5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1.4 Périmètre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before="14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bbf24"/>
          <w:sz w:val="24"/>
          <w:szCs w:val="24"/>
          <w:rtl w:val="0"/>
        </w:rPr>
        <w:t xml:space="preserve">Inclus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Site vitrine public (présentation département + licences professionnelles)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Espaces authentifiés par rôle (étudiant, enseignant, entreprise, admin)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Gestion des notes, emplois du temps, supports de cours (PDF), projets tuteurés, offres d'alternance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Panel d'administration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60" w:before="14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bbf24"/>
          <w:sz w:val="24"/>
          <w:szCs w:val="24"/>
          <w:rtl w:val="0"/>
        </w:rPr>
        <w:t xml:space="preserve">Exclus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Application mobile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Paiement en ligne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Intégration avec des systèmes tiers (Apogée, Pronote, etc.)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Messagerie interne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pBdr>
          <w:bottom w:color="f29400" w:space="4" w:sz="16" w:val="single"/>
        </w:pBdr>
        <w:spacing w:after="160" w:before="300" w:lineRule="auto"/>
        <w:rPr/>
      </w:pPr>
      <w:bookmarkStart w:colFirst="0" w:colLast="0" w:name="_heading=h.v8h0ul9n5xh9" w:id="6"/>
      <w:bookmarkEnd w:id="6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2. Arborescence du site</w:t>
      </w:r>
      <w:r w:rsidDel="00000000" w:rsidR="00000000" w:rsidRPr="00000000">
        <w:rPr>
          <w:rtl w:val="0"/>
        </w:rPr>
      </w:r>
    </w:p>
    <w:tbl>
      <w:tblPr>
        <w:tblStyle w:val="Table4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Sous-pages / Détail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Accueil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Page principale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Présentation du département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Généralité BUT GMP · Lieu de formation · Programme · Spécificité du BUT GMP · Formation en alternance · Après le BUT GMP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Licences professionnelles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LP MIE · LP MIEF · LP MRI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Espace étudiant (auth.)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Notes · Emploi du temps · Projets tuteurés · Offres d'alternance · Supports de cours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Espace enseignant (auth.)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Notes · Emploi du temps personnel · Supports de cours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Espace entreprise (auth.)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Projets tuteurés · Offres d'alternance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Administration (auth.)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Personnel GMP uniquement — gestion complète du contenu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pBdr>
          <w:bottom w:color="f29400" w:space="4" w:sz="16" w:val="single"/>
        </w:pBdr>
        <w:spacing w:after="160" w:before="300" w:lineRule="auto"/>
        <w:rPr/>
      </w:pPr>
      <w:bookmarkStart w:colFirst="0" w:colLast="0" w:name="_heading=h.tlpfu9rj31zy" w:id="7"/>
      <w:bookmarkEnd w:id="7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3. Gestion des droits</w:t>
      </w:r>
      <w:r w:rsidDel="00000000" w:rsidR="00000000" w:rsidRPr="00000000">
        <w:rPr>
          <w:rtl w:val="0"/>
        </w:rPr>
      </w:r>
    </w:p>
    <w:tbl>
      <w:tblPr>
        <w:tblStyle w:val="Table5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Rôle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Fonctionnalités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Visiteur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Consulter l'accueil, la présentation du département, les licences professionnelles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Étudiant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+ Consulter ses notes, son emploi du temps, les supports de cours, les projets tuteurés disponibles, les offres d'alternance ouvertes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Enseignant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+ Ajouter/modifier/consulter ses notes déposées, consulter son emploi du temps, déposer des PDFs de cours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Entreprise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+ Ajouter/modifier/consulter ses projets tuteurés et offres d'alternance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Admin (Personnel GMP)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Tous les droits ci-dessus + barre d'administration pour gérer l'ensemble du contenu et des utilisateurs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bottom w:color="f29400" w:space="4" w:sz="16" w:val="single"/>
        </w:pBdr>
        <w:spacing w:after="160" w:before="300" w:lineRule="auto"/>
        <w:rPr>
          <w:b w:val="1"/>
          <w:bCs w:val="1"/>
          <w:color w:val="f2940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bottom w:color="f29400" w:space="4" w:sz="16" w:val="single"/>
        </w:pBdr>
        <w:spacing w:after="160" w:before="300" w:lineRule="auto"/>
        <w:rPr>
          <w:b w:val="1"/>
          <w:bCs w:val="1"/>
          <w:color w:val="f2940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bottom w:color="f29400" w:space="4" w:sz="16" w:val="single"/>
        </w:pBdr>
        <w:spacing w:after="160" w:before="300" w:lineRule="auto"/>
        <w:rPr>
          <w:b w:val="1"/>
          <w:bCs w:val="1"/>
          <w:color w:val="f2940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pBdr>
          <w:bottom w:color="f29400" w:space="4" w:sz="16" w:val="single"/>
        </w:pBdr>
        <w:spacing w:after="160" w:before="300" w:lineRule="auto"/>
        <w:rPr/>
      </w:pPr>
      <w:bookmarkStart w:colFirst="0" w:colLast="0" w:name="_heading=h.n4942awtcksl" w:id="8"/>
      <w:bookmarkEnd w:id="8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4. Spécifications fonctionnelles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vpwrsl73b5bi" w:id="9"/>
      <w:bookmarkEnd w:id="9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4.1 Pages publiques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60" w:before="14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bbf24"/>
          <w:sz w:val="24"/>
          <w:szCs w:val="24"/>
          <w:rtl w:val="0"/>
        </w:rPr>
        <w:t xml:space="preserve">Accueil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Présentation générale du département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Liens vers les sections principales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Accès visible au formulaire de connexion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60" w:before="14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bbf24"/>
          <w:sz w:val="24"/>
          <w:szCs w:val="24"/>
          <w:rtl w:val="0"/>
        </w:rPr>
        <w:t xml:space="preserve">Présentation du département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6 sous-pages : BUT GMP, lieu de formation, programme, spécificité, alternance, après BUT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Contenu éditorial géré par l'admin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60" w:before="140" w:lineRule="auto"/>
        <w:rPr/>
      </w:pPr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bbf24"/>
          <w:sz w:val="24"/>
          <w:szCs w:val="24"/>
          <w:rtl w:val="0"/>
        </w:rPr>
        <w:t xml:space="preserve">Licences professionnelles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3 sous-pages : LP MIE, LP MIEF, LP MRI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Contenu éditorial géré par l'admin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tf2r19crvob3" w:id="10"/>
      <w:bookmarkEnd w:id="10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4.2 Authentification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Connexion par email + mot de passe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Redirection automatique vers l'espace correspondant au rôle après connexion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Toutes les routes /espace-* et /admin sont protégées — accès sans session redirige vers /connexion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Déconnexion disponible depuis tous les espaces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3bcwxhsj4xjc" w:id="11"/>
      <w:bookmarkEnd w:id="11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4.3 Espace étudiant</w:t>
      </w:r>
      <w:r w:rsidDel="00000000" w:rsidR="00000000" w:rsidRPr="00000000">
        <w:rPr>
          <w:rtl w:val="0"/>
        </w:rPr>
      </w:r>
    </w:p>
    <w:tbl>
      <w:tblPr>
        <w:tblStyle w:val="Table6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Fonctionnalité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Détail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Liste des notes de l'étudiant connecté, filtrées par matière. Lecture seule.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Emploi du temps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Affichage du planning hebdomadaire de l'étudiant.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Supports de cours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Liste des PDFs déposés par les enseignants. Téléchargement sécurisé (vérification de session obligatoire, fichier non accessible par URL directe).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Projets tuteurés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Liste des projets disponibles déposés par les entreprises. Consultation des détails (entreprise, description, prérequis).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Offres d'alternance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Liste des offres ouvertes à candidature. Consultation des détails (entreprise, poste, durée, rémunération).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wlp7iyjfikb9" w:id="12"/>
      <w:bookmarkEnd w:id="12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4.4 Espace enseignant</w:t>
      </w:r>
      <w:r w:rsidDel="00000000" w:rsidR="00000000" w:rsidRPr="00000000">
        <w:rPr>
          <w:rtl w:val="0"/>
        </w:rPr>
      </w:r>
    </w:p>
    <w:tbl>
      <w:tblPr>
        <w:tblStyle w:val="Table7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Fonctionnalité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Détail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Liste des notes déposées par l'enseignant. Formulaire d'ajout : sélection étudiant + matière + valeur (0–20). Modification d'une note existante (ses notes uniquement).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Emploi du temps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Affichage du planning personnel de l'enseignant.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Supports de cours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Upload d'un fichier PDF (taille max : 20 Mo). Liste des supports déposés. Suppression d'un support (ses fichiers uniquement).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kasys85z4q1w" w:id="13"/>
      <w:bookmarkEnd w:id="13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4.5 Espace entreprise</w:t>
      </w:r>
      <w:r w:rsidDel="00000000" w:rsidR="00000000" w:rsidRPr="00000000">
        <w:rPr>
          <w:rtl w:val="0"/>
        </w:rPr>
      </w:r>
    </w:p>
    <w:tbl>
      <w:tblPr>
        <w:tblStyle w:val="Table8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Fonctionnalité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Détail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Projets tuteurés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Formulaire de création : titre, description, prérequis, nombre d'étudiants souhaité. Modification et consultation de ses propres projets.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Offres d'alternance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Formulaire de création : poste, description, durée, rémunération, prérequis. Modification et consultation de ses propres offres.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kq1alcisemei" w:id="14"/>
      <w:bookmarkEnd w:id="14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4.6 Panel d'administration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Gestion des utilisateurs : création, modification de rôle, désactivation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Gestion complète des notes (tous enseignants)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Gestion complète des supports de cours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Gestion complète des projets tuteurés et offres d'alternance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60" w:before="0" w:lineRule="auto"/>
        <w:ind w:left="340" w:firstLine="0"/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</w:rPr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Gestion du contenu éditorial des pages publiques</w:t>
      </w:r>
    </w:p>
    <w:p w:rsidR="00000000" w:rsidDel="00000000" w:rsidP="00000000" w:rsidRDefault="00000000" w:rsidRPr="00000000" w14:paraId="00000087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pBdr>
          <w:bottom w:color="f29400" w:space="4" w:sz="16" w:val="single"/>
        </w:pBdr>
        <w:spacing w:after="160" w:before="300" w:lineRule="auto"/>
        <w:rPr/>
      </w:pPr>
      <w:bookmarkStart w:colFirst="0" w:colLast="0" w:name="_heading=h.ghbuqgqgthw1" w:id="15"/>
      <w:bookmarkEnd w:id="15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5. Spécifications techniques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juxio9t8njpv" w:id="16"/>
      <w:bookmarkEnd w:id="16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5.1 Stack technologique</w:t>
      </w:r>
      <w:r w:rsidDel="00000000" w:rsidR="00000000" w:rsidRPr="00000000">
        <w:rPr>
          <w:rtl w:val="0"/>
        </w:rPr>
      </w:r>
    </w:p>
    <w:tbl>
      <w:tblPr>
        <w:tblStyle w:val="Table9"/>
        <w:tblW w:w="94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Couche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Technologie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Justification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Framework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Next.js 16 (App Router)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SSR pour le SEO des pages publiques, API Routes intégrées, un seul codebase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Langage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TypeScript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Typage statique indispensable pour la gestion des 5 rôles et modèles de données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Authentification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Auth.js v5 (NextAuth)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Gestion native des sessions et rôles, self-hosted, données sur OVH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Base de données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Modèle relationnel adapté aux liens entre utilisateurs, notes, matières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Prisma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Schéma typé, migrations versionnées, Prisma Studio pour le dev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Styles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Tailwind 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Responsive natif, cohérence visuelle, pas de fichiers CSS séparés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Runtime serveur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Node.js (via PM2)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Requis par Next.js, PM2 assure le redémarrage automatique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6hzw1wlujbau" w:id="17"/>
      <w:bookmarkEnd w:id="17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5.2 Architecture applicative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80" w:before="0" w:lineRule="auto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Client (navigateur) → Nginx (reverse proxy HTTPS via Let's Encrypt) → Next.js App (port 3000, géré par PM2) → PostgreSQL (port 5432, local VPS) + /uploads/ (PDFs, stockage local VPS).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App Router — pages et layouts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API Routes — auth, fichiers, données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60" w:before="0" w:lineRule="auto"/>
        <w:ind w:left="340" w:firstLine="0"/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</w:rPr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Middleware — protection des routes par rôle</w:t>
      </w:r>
    </w:p>
    <w:p w:rsidR="00000000" w:rsidDel="00000000" w:rsidP="00000000" w:rsidRDefault="00000000" w:rsidRPr="00000000" w14:paraId="000000B0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60" w:before="0" w:lineRule="auto"/>
        <w:ind w:left="3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s52ry1mp23qk" w:id="18"/>
      <w:bookmarkEnd w:id="18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5.3 Modèle de données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00" w:before="0" w:lineRule="auto"/>
        <w:rPr/>
      </w:pPr>
      <w:r w:rsidDel="00000000" w:rsidR="00000000" w:rsidRPr="00000000">
        <w:rPr/>
        <w:drawing>
          <wp:inline distB="114300" distT="114300" distL="114300" distR="114300">
            <wp:extent cx="5972810" cy="40259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02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7cb7mdofprux" w:id="19"/>
      <w:bookmarkEnd w:id="19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5.4 Hébergement et déploiement</w:t>
      </w:r>
      <w:r w:rsidDel="00000000" w:rsidR="00000000" w:rsidRPr="00000000">
        <w:rPr>
          <w:rtl w:val="0"/>
        </w:rPr>
      </w:r>
    </w:p>
    <w:tbl>
      <w:tblPr>
        <w:tblStyle w:val="Table10"/>
        <w:tblW w:w="94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Composant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Détail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Serveur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OVH VPS Starter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Ubuntu 22.04 LTS, 1 vCPU, 2 Go RAM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Reverse proxy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Nginx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Redirige le port 80/443 vers Next.js (port 3000)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Process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PM2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Redémarrage automatique, logs, monitoring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HTTPS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Let's Encrypt + Certbot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Certificat gratuit, renouvellement automatique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Base de données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Installé sur le VPS, accès local uniquement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Stockage fichiers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Dossier /uploads/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Hors de public/, accès via API Route authentifiée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Nom de domaine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À définir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Hébergé chez OVH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pBdr>
          <w:bottom w:color="f29400" w:space="4" w:sz="16" w:val="single"/>
        </w:pBdr>
        <w:spacing w:after="160" w:before="300" w:lineRule="auto"/>
        <w:rPr/>
      </w:pPr>
      <w:bookmarkStart w:colFirst="0" w:colLast="0" w:name="_heading=h.2k6ljsi3ppfy" w:id="20"/>
      <w:bookmarkEnd w:id="20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6. Contraintes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2mgrrh4wxhe1" w:id="21"/>
      <w:bookmarkEnd w:id="21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6.1 Sécurité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Mots de passe hashés avec bcrypt (coût minimum 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Les PDFs ne sont jamais accessibles par URL directe — toujours via API Route avec vérification de session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Protection CSRF native via Auth.js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Variables d'environnement sensibles (BDD, secret Auth.js) jamais committées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k9f8t8e1uiwv" w:id="22"/>
      <w:bookmarkEnd w:id="22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6.2 RGPD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Les données des étudiants (notes, emplois du temps) sont hébergées sur un VPS OVH en France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Aucune donnée personnelle transmise à des services tiers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Politique de confidentialité à rédiger avant mise en production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3npthnnei36" w:id="23"/>
      <w:bookmarkEnd w:id="23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6.3 Performances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Cible : chargement des pages publiques &lt; 2 secondes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Volume max estimé : 200 utilisateurs actifs simultanés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Les images sont optimisées via le composant &lt;Image&gt; Next.js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Les PDFs sont servis en streaming (pas chargés entièrement en mémoire)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430dvymoh815" w:id="24"/>
      <w:bookmarkEnd w:id="24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6.4 Compatibilité navigateurs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Chrome, Firefox, Safari, Edge — versions N et N-1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Responsive mobile obligatoire (étudiants sur smartphone)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3"/>
        <w:pBdr>
          <w:bottom w:color="e2e8f0" w:space="4" w:sz="8" w:val="single"/>
        </w:pBdr>
        <w:spacing w:after="100" w:before="200" w:lineRule="auto"/>
        <w:rPr/>
      </w:pPr>
      <w:bookmarkStart w:colFirst="0" w:colLast="0" w:name="_heading=h.jhmcijsckh0f" w:id="25"/>
      <w:bookmarkEnd w:id="25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0a3d67"/>
          <w:sz w:val="30"/>
          <w:szCs w:val="30"/>
          <w:rtl w:val="0"/>
        </w:rPr>
        <w:t xml:space="preserve">6.5 Accessibilité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Respect des bonnes pratiques WCAG 2.1 niveau AA recommandé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60" w:before="0" w:lineRule="auto"/>
        <w:ind w:left="340" w:firstLine="0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— Conformité RGAA à évaluer selon les exigences de l'établissement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Bdr>
          <w:bottom w:color="f29400" w:space="4" w:sz="16" w:val="single"/>
        </w:pBdr>
        <w:spacing w:after="160" w:before="300" w:lineRule="auto"/>
        <w:rPr>
          <w:b w:val="1"/>
          <w:bCs w:val="1"/>
          <w:color w:val="f2940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bottom w:color="f29400" w:space="4" w:sz="16" w:val="single"/>
        </w:pBdr>
        <w:spacing w:after="160" w:before="300" w:lineRule="auto"/>
        <w:rPr>
          <w:b w:val="1"/>
          <w:bCs w:val="1"/>
          <w:color w:val="f29400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pBdr>
          <w:bottom w:color="f29400" w:space="4" w:sz="16" w:val="single"/>
        </w:pBdr>
        <w:spacing w:after="160" w:before="300" w:lineRule="auto"/>
        <w:rPr/>
      </w:pPr>
      <w:bookmarkStart w:colFirst="0" w:colLast="0" w:name="_heading=h.zel25mfkiqsv" w:id="26"/>
      <w:bookmarkEnd w:id="26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7. Charte graphique</w:t>
      </w:r>
      <w:r w:rsidDel="00000000" w:rsidR="00000000" w:rsidRPr="00000000">
        <w:rPr>
          <w:rtl w:val="0"/>
        </w:rPr>
      </w:r>
    </w:p>
    <w:tbl>
      <w:tblPr>
        <w:tblStyle w:val="Table11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Élément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Valeur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Couleur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#0A3D67 (bleu GMP) — fond dark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Couleur secondaire / accent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#F29400 (orange GMP) — primaire dark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Logo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Logo officiel du département GMP fourni par le maître d'ouvrage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Typographie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Outfit (titres &amp; corps) · Geist Mono (données, codes)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Maquettes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À produire (phase 2 des étapes de réalisation)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pBdr>
          <w:bottom w:color="f29400" w:space="4" w:sz="16" w:val="single"/>
        </w:pBdr>
        <w:spacing w:after="160" w:before="300" w:lineRule="auto"/>
        <w:rPr/>
      </w:pPr>
      <w:bookmarkStart w:colFirst="0" w:colLast="0" w:name="_heading=h.h59ffi87eriu" w:id="27"/>
      <w:bookmarkEnd w:id="27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8. Planning</w:t>
      </w:r>
      <w:r w:rsidDel="00000000" w:rsidR="00000000" w:rsidRPr="00000000">
        <w:rPr>
          <w:rtl w:val="0"/>
        </w:rPr>
      </w:r>
    </w:p>
    <w:tbl>
      <w:tblPr>
        <w:tblStyle w:val="Table12"/>
        <w:tblW w:w="94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Étape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Spécification fonctionnelle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Mars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Charte graphique et maquettes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Avril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Développement Phase 1 — Socle + pages publiques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Avril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Développement Phase 2 — Authentification &amp; rôles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Avril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Présentation d'avancement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17/04/2026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Développement Phase 3 — Espace étudiant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Avril–Mai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Développement Phase 4 — Espace enseignant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Mai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Développement Phase 5 — Espace entreprise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Mai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Développement Phase 6 — Panel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Mai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Tests, recette et mise en production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Mai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Livraison finale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19/05/2026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4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2"/>
        <w:pBdr>
          <w:bottom w:color="f29400" w:space="4" w:sz="16" w:val="single"/>
        </w:pBdr>
        <w:spacing w:after="160" w:before="300" w:lineRule="auto"/>
        <w:rPr/>
      </w:pPr>
      <w:bookmarkStart w:colFirst="0" w:colLast="0" w:name="_heading=h.fimzdso811n0" w:id="28"/>
      <w:bookmarkEnd w:id="28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9. Estimation des coûts</w:t>
      </w:r>
      <w:r w:rsidDel="00000000" w:rsidR="00000000" w:rsidRPr="00000000">
        <w:rPr>
          <w:rtl w:val="0"/>
        </w:rPr>
      </w:r>
    </w:p>
    <w:tbl>
      <w:tblPr>
        <w:tblStyle w:val="Table13"/>
        <w:tblW w:w="94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Poste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Coût estimé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VPS OVH Starter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Hébergement serveur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~36 €/an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Nom de domaine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OVH (.fr)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~7 €/an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Certificat SSL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Let's Encrypt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Gratuit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Stockage fichiers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Local VPS (inclus)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Gratuit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Base de données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PostgreSQL sur VPS (inclus)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Gratuit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Licences logicielles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Stack open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Gratuit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Total récurrent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~43 €/an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E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80" w:before="0" w:lineRule="auto"/>
        <w:rPr/>
      </w:pPr>
      <w:r w:rsidDel="00000000" w:rsidR="00000000" w:rsidRPr="00000000">
        <w:rPr>
          <w:rFonts w:ascii="Outfit" w:cs="Outfit" w:eastAsia="Outfit" w:hAnsi="Outfit"/>
          <w:b w:val="0"/>
          <w:bCs w:val="0"/>
          <w:i w:val="0"/>
          <w:iCs w:val="0"/>
          <w:color w:val="171717"/>
          <w:sz w:val="22"/>
          <w:szCs w:val="22"/>
          <w:rtl w:val="0"/>
        </w:rPr>
        <w:t xml:space="preserve">Le développement est réalisé par les maîtres d'œuvre dans le cadre d'un projet étudiant — coût main-d'œuvre non facturé.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2"/>
        <w:pBdr>
          <w:bottom w:color="f29400" w:space="4" w:sz="16" w:val="single"/>
        </w:pBdr>
        <w:spacing w:after="160" w:before="300" w:lineRule="auto"/>
        <w:rPr/>
      </w:pPr>
      <w:bookmarkStart w:colFirst="0" w:colLast="0" w:name="_heading=h.5nywj51rwq1d" w:id="29"/>
      <w:bookmarkEnd w:id="29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10. Livrables</w:t>
      </w:r>
      <w:r w:rsidDel="00000000" w:rsidR="00000000" w:rsidRPr="00000000">
        <w:rPr>
          <w:rtl w:val="0"/>
        </w:rPr>
      </w:r>
    </w:p>
    <w:tbl>
      <w:tblPr>
        <w:tblStyle w:val="Table14"/>
        <w:tblW w:w="940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Livrable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Échéance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Cahier des charges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Markdown / 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Mars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Maquettes (wireframes)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Figma ou équivalent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Avril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Code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Dépôt 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19/05/2026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Site déployé et fonctionnel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URL en ligne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19/05/2026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Documentation de déploiement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Markdown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19/05/2026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3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pBdr>
          <w:bottom w:color="f29400" w:space="4" w:sz="16" w:val="single"/>
        </w:pBdr>
        <w:spacing w:after="160" w:before="300" w:lineRule="auto"/>
        <w:rPr/>
      </w:pPr>
      <w:bookmarkStart w:colFirst="0" w:colLast="0" w:name="_heading=h.i9g3ifups8f5" w:id="30"/>
      <w:bookmarkEnd w:id="30"/>
      <w:r w:rsidDel="00000000" w:rsidR="00000000" w:rsidRPr="00000000">
        <w:rPr>
          <w:rFonts w:ascii="Outfit" w:cs="Outfit" w:eastAsia="Outfit" w:hAnsi="Outfit"/>
          <w:b w:val="1"/>
          <w:bCs w:val="1"/>
          <w:i w:val="0"/>
          <w:iCs w:val="0"/>
          <w:color w:val="f29400"/>
          <w:sz w:val="44"/>
          <w:szCs w:val="44"/>
          <w:rtl w:val="0"/>
        </w:rPr>
        <w:t xml:space="preserve">11. Glossaire</w:t>
      </w:r>
      <w:r w:rsidDel="00000000" w:rsidR="00000000" w:rsidRPr="00000000">
        <w:rPr>
          <w:rtl w:val="0"/>
        </w:rPr>
      </w:r>
    </w:p>
    <w:tbl>
      <w:tblPr>
        <w:tblStyle w:val="Table15"/>
        <w:tblW w:w="940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Terme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9400" w:val="clear"/>
            <w:vAlign w:val="center"/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Définition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BUT GMP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Bachelor Universitaire de Technologie Génie Mécanique et Productique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LP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Licence Professionnelle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MOA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Maître d'Ouvrage — commanditaire du projet, définit les besoins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MOE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Maître d'Œuvre — équipe en charge de la réalisation technique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RBAC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Role-Based Access Control — contrôle d'accès basé sur les rôles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SSR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Server-Side Rendering — rendu HTML côté serveur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Object-Relational Mapper — couche d'abstraction entre le code et la base de données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RGPD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Règlement Général sur la Protection des Données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RGAA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Référentiel Général d'Amélioration de l'Accessibilité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VPS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Virtual Private Server — serveur virtuel dédié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1"/>
                <w:bCs w:val="1"/>
                <w:i w:val="0"/>
                <w:iCs w:val="0"/>
                <w:color w:val="0a3d67"/>
                <w:sz w:val="20"/>
                <w:szCs w:val="20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8ec" w:val="clear"/>
            <w:vAlign w:val="center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Outfit" w:cs="Outfit" w:eastAsia="Outfit" w:hAnsi="Outfit"/>
                <w:b w:val="0"/>
                <w:bCs w:val="0"/>
                <w:i w:val="0"/>
                <w:iCs w:val="0"/>
                <w:color w:val="171717"/>
                <w:sz w:val="20"/>
                <w:szCs w:val="20"/>
                <w:rtl w:val="0"/>
              </w:rPr>
              <w:t xml:space="preserve">Portable Document Format — format de fichier pour les supports de cours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1417" w:left="1417" w:right="141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Outfit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utfit" w:cs="Outfit" w:eastAsia="Outfit" w:hAnsi="Outfit"/>
        <w:color w:val="171717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20" w:before="220" w:lineRule="auto"/>
      <w:jc w:val="center"/>
    </w:pPr>
    <w:rPr>
      <w:b w:val="1"/>
      <w:bCs w:val="1"/>
      <w:color w:val="ffffff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f29400" w:space="4" w:sz="16" w:val="single"/>
      </w:pBdr>
      <w:spacing w:after="160" w:before="300" w:lineRule="auto"/>
    </w:pPr>
    <w:rPr>
      <w:b w:val="1"/>
      <w:bCs w:val="1"/>
      <w:color w:val="f29400"/>
      <w:sz w:val="44"/>
      <w:szCs w:val="44"/>
    </w:rPr>
  </w:style>
  <w:style w:type="paragraph" w:styleId="Heading3">
    <w:name w:val="heading 3"/>
    <w:basedOn w:val="Normal"/>
    <w:next w:val="Normal"/>
    <w:pPr>
      <w:keepNext w:val="1"/>
      <w:keepLines w:val="1"/>
      <w:pBdr>
        <w:bottom w:color="e2e8f0" w:space="4" w:sz="8" w:val="single"/>
      </w:pBdr>
      <w:spacing w:after="100" w:before="200" w:lineRule="auto"/>
    </w:pPr>
    <w:rPr>
      <w:b w:val="1"/>
      <w:bCs w:val="1"/>
      <w:color w:val="0a3d67"/>
      <w:sz w:val="30"/>
      <w:szCs w:val="30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utfit-regular.ttf"/><Relationship Id="rId2" Type="http://schemas.openxmlformats.org/officeDocument/2006/relationships/font" Target="fonts/Outfit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P1R86P7S/YCVN5W69rJskVBLuA==">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