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9400"/>
          </w:tcPr>
          <w:p>
            <w:pPr>
              <w:jc w:val="center"/>
              <w:spacing w:before="220" w:after="220"/>
            </w:pPr>
            <w:r>
              <w:rPr>
                <w:rFonts w:ascii="Outfit" w:hAnsi="Outfit"/>
                <w:b/>
                <w:i w:val="0"/>
                <w:color w:val="FFFFFF"/>
                <w:sz w:val="48"/>
              </w:rPr>
              <w:t>CAHIER DES CHARGES</w:t>
            </w:r>
          </w:p>
        </w:tc>
      </w:tr>
    </w:tbl>
    <w:p>
      <w:pPr>
        <w:spacing w:before="0" w:after="80"/>
      </w:pPr>
    </w:p>
    <w:p>
      <w:pPr>
        <w:jc w:val="center"/>
        <w:spacing w:before="0" w:after="60"/>
      </w:pPr>
      <w:r>
        <w:rPr>
          <w:rFonts w:ascii="Outfit" w:hAnsi="Outfit"/>
          <w:b/>
          <w:i w:val="0"/>
          <w:color w:val="171717"/>
          <w:sz w:val="28"/>
        </w:rPr>
        <w:t>Site web du département Génie Mécanique et Productique</w:t>
      </w:r>
    </w:p>
    <w:p>
      <w:pPr>
        <w:jc w:val="center"/>
        <w:spacing w:before="0" w:after="200"/>
      </w:pPr>
      <w:r>
        <w:rPr>
          <w:rFonts w:ascii="Outfit" w:hAnsi="Outfit"/>
          <w:b w:val="0"/>
          <w:i w:val="0"/>
          <w:color w:val="64748B"/>
          <w:sz w:val="22"/>
        </w:rPr>
        <w:t>IUT d'Évry-Courcouronnes — Département GMP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Version</w:t>
            </w:r>
          </w:p>
        </w:tc>
        <w:tc>
          <w:tcPr>
            <w:tcW w:type="dxa" w:w="5953"/>
            <w:shd w:val="clear" w:color="auto" w:fill="FFF8EC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1.0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Date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Auteurs</w:t>
            </w:r>
          </w:p>
        </w:tc>
        <w:tc>
          <w:tcPr>
            <w:tcW w:type="dxa" w:w="5953"/>
            <w:shd w:val="clear" w:color="auto" w:fill="FFF8EC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Yahaya Coulibaly, Hyosua Colléter</w:t>
            </w:r>
          </w:p>
        </w:tc>
      </w:tr>
      <w:tr>
        <w:tc>
          <w:tcPr>
            <w:tcW w:type="dxa" w:w="1984"/>
            <w:shd w:val="clear" w:color="auto" w:fill="FFF8EC"/>
          </w:tcPr>
          <w:p>
            <w:r>
              <w:rPr>
                <w:rFonts w:ascii="Outfit" w:hAnsi="Outfit"/>
                <w:b/>
                <w:i w:val="0"/>
                <w:color w:val="F29400"/>
                <w:sz w:val="20"/>
              </w:rPr>
              <w:t>Statut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Document initial</w:t>
            </w:r>
          </w:p>
        </w:tc>
      </w:tr>
    </w:tbl>
    <w:p>
      <w:r>
        <w:br w:type="page"/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1. Présentation du projet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1.1 Contexte</w:t>
      </w: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 département Génie Mécanique et Productique (GMP) de l'IUT souhaite se doter d'un site web institutionnel. Ce site a pour vocation de centraliser les informations du département à destination de plusieurs publics : les futurs inscrits, les étudiants en cours de formation, les enseignants, les entreprises partenaires et le personnel administratif.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1.2 Parties prenantes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Rôle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Nom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Maître d'ouvrage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Khalifa DJEMAL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Maître d'œuvre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Yahaya Coulibaly, Hyosua Colléter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1.3 Objectifs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Présenter le département GMP et ses formations (BUT GMP, Licences Professionnelles)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Offrir un espace personnel aux étudiants (notes, emploi du temps, supports de cours, offres)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Offrir un espace de gestion aux enseignants (notes, supports de cours, emploi du temps)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Permettre aux entreprises de déposer des offres d'alternance et des projets tuteurés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Fournir au personnel GMP un panel d'administration pour gérer l'ensemble du contenu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1.4 Périmètre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Inclus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Site vitrine public (présentation département + licences professionnelles)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Espaces authentifiés par rôle (étudiant, enseignant, entreprise, admin)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des notes, emplois du temps, supports de cours (PDF), projets tuteurés, offres d'alternance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Panel d'administration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Exclus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Application mobile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Paiement en ligne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Intégration avec des systèmes tiers (Apogée, Pronote, etc.)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Messagerie interne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2. Arborescence du site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Sous-pages / Détail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Accueil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Page principale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Présentation du département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Généralité BUT GMP · Lieu de formation · Programme · Spécificité du BUT GMP · Formation en alternance · Après le BUT GMP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Licences professionnelles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LP MIE · LP MIEF · LP MRI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étudiant (auth.)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Notes · Emploi du temps · Projets tuteurés · Offres d'alternance · Supports de cours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enseignant (auth.)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Notes · Emploi du temps personnel · Supports de cours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Espace entreprise (auth.)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Projets tuteurés · Offres d'alternance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Administration (auth.)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Personnel GMP uniquement — gestion complète du contenu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3. Gestion des droits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Rôle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Visiteur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Consulter l'accueil, la présentation du département, les licences professionnelles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Étudiant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Consulter ses notes, son emploi du temps, les supports de cours, les projets tuteurés disponibles, les offres d'alternance ouvertes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Enseignant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Ajouter/modifier/consulter ses notes déposées, consulter son emploi du temps, déposer des PDFs de cours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Entreprise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+ Ajouter/modifier/consulter ses projets tuteurés et offres d'alternance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Admin (Personnel GMP)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Tous les droits ci-dessus + barre d'administration pour gérer l'ensemble du contenu et des utilisateurs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4. Spécifications fonctionnelles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4.1 Pages publiques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Accueil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Présentation générale du département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Liens vers les sections principales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Accès visible au formulaire de connexion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Présentation du département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6 sous-pages : BUT GMP, lieu de formation, programme, spécificité, alternance, après BUT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Contenu éditorial géré par l'admin</w:t>
      </w:r>
    </w:p>
    <w:p>
      <w:pPr>
        <w:spacing w:before="140" w:after="60"/>
      </w:pPr>
      <w:r>
        <w:rPr>
          <w:rFonts w:ascii="Outfit" w:hAnsi="Outfit"/>
          <w:b/>
          <w:i w:val="0"/>
          <w:color w:val="FBBF24"/>
          <w:sz w:val="24"/>
        </w:rPr>
        <w:t>Licences professionnelles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3 sous-pages : LP MIE, LP MIEF, LP MRI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Contenu éditorial géré par l'admin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4.2 Authentification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Connexion par email + mot de passe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Redirection automatique vers l'espace correspondant au rôle après connexion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Toutes les routes /espace-* et /admin sont protégées — accès sans session redirige vers /connexion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Déconnexion disponible depuis tous les espaces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4.3 Espace étudiant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notes de l'étudiant connecté, filtrées par matière. Lecture seule.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 du temps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Affichage du planning hebdomadaire de l'étudiant.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Supports de cours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PDFs déposés par les enseignants. Téléchargement sécurisé (vérification de session obligatoire, fichier non accessible par URL directe).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Projets tuteurés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projets disponibles déposés par les entreprises. Consultation des détails (entreprise, description, prérequis).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Offres d'alternance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offres ouvertes à candidature. Consultation des détails (entreprise, poste, durée, rémunération).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4.4 Espace enseignant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Liste des notes déposées par l'enseignant. Formulaire d'ajout : sélection étudiant + matière + valeur (0–20). Modification d'une note existante (ses notes uniquement).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 du temps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Affichage du planning personnel de l'enseignant.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Supports de cours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Upload d'un fichier PDF (taille max : 20 Mo). Liste des supports déposés. Suppression d'un support (ses fichiers uniquement).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4.5 Espace entreprise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Fonctionnalité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Projets tuteurés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de création : titre, description, prérequis, nombre d'étudiants souhaité. Modification et consultation de ses propres projets.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Offres d'alternance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Formulaire de création : poste, description, durée, rémunération, prérequis. Modification et consultation de ses propres offres.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4.6 Panel d'administration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des utilisateurs : création, modification de rôle, désactivation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notes (tous enseignants)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supports de cours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complète des projets tuteurés et offres d'alternance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Gestion du contenu éditorial des pages publiques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5. Spécifications techniques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5.1 Stack technologique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Couche</w:t>
            </w:r>
          </w:p>
        </w:tc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Technologie</w:t>
            </w:r>
          </w:p>
        </w:tc>
        <w:tc>
          <w:tcPr>
            <w:tcW w:type="dxa" w:w="4819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Framework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Next.js 16 (App Router)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SSR pour le SEO des pages publiques, API Routes intégrées, un seul codebase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Langage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TypeScript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Typage statique indispensable pour la gestion des 5 rôles et modèles de données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Authentification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Auth.js v5 (NextAuth)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Gestion native des sessions et rôles, self-hosted, données sur OVH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Modèle relationnel adapté aux liens entre utilisateurs, notes, matières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ORM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Prisma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Schéma typé, migrations versionnées, Prisma Studio pour le dev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Styles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Tailwind CSS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Responsive natif, cohérence visuelle, pas de fichiers CSS séparés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Runtime serveur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Node.js (via PM2)</w:t>
            </w:r>
          </w:p>
        </w:tc>
        <w:tc>
          <w:tcPr>
            <w:tcW w:type="dxa" w:w="481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Requis par Next.js, PM2 assure le redémarrage automatique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5.2 Architecture applicative</w:t>
      </w: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Client (navigateur) → Nginx (reverse proxy HTTPS via Let's Encrypt) → Next.js App (port 3000, géré par PM2) → PostgreSQL (port 5432, local VPS) + /uploads/ (PDFs, stockage local VPS).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App Router — pages et layouts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API Routes — auth, fichiers, données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Middleware — protection des routes par rôle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5.3 Modèle de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Modèle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Champs principaux</w:t>
            </w:r>
          </w:p>
        </w:tc>
        <w:tc>
          <w:tcPr>
            <w:tcW w:type="dxa" w:w="3969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Relations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User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email, password (hashé), nom, prenom, role, parcours, typeFormation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Note (étudiant/enseignant), Groupe, SupportDeCours, ProjetTuteure, OffreAlternance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Groupe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nom (ex: TD1), type (CM/TD/TP)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User[] (n,n), EmploiDuTemps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Note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valeur (0–20)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(étudiant), User (enseignant), Matiere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Matiere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nom, code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Note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EmploiDuTemps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jour, heureDebut, heureFin, salle, intitule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Groupe, User (enseignant)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SupportDeCours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titre, cheminFichier, taille, createdAt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(enseignant)</w:t>
            </w:r>
          </w:p>
        </w:tc>
      </w:tr>
      <w:tr>
        <w:tc>
          <w:tcPr>
            <w:tcW w:type="dxa" w:w="1701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ProjetTuteure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titre, description, prerequis, nbEtudiants, statut</w:t>
            </w:r>
          </w:p>
        </w:tc>
        <w:tc>
          <w:tcPr>
            <w:tcW w:type="dxa" w:w="3969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(entreprise)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OffreAlternance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id, poste, description, duree, remuneration, prerequis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→ User (entreprise)</w:t>
            </w:r>
          </w:p>
        </w:tc>
      </w:tr>
    </w:tbl>
    <w:p>
      <w:pPr>
        <w:spacing w:before="0" w:after="100"/>
      </w:pP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5.4 Hébergement et déploiement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Composant</w:t>
            </w:r>
          </w:p>
        </w:tc>
        <w:tc>
          <w:tcPr>
            <w:tcW w:type="dxa" w:w="2551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Solution</w:t>
            </w:r>
          </w:p>
        </w:tc>
        <w:tc>
          <w:tcPr>
            <w:tcW w:type="dxa" w:w="45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Serveur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OVH VPS Starter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Ubuntu 22.04 LTS, 1 vCPU, 2 Go RAM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Reverse proxy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Nginx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Redirige le port 80/443 vers Next.js (port 3000)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Process manager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PM2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Redémarrage automatique, logs, monitoring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HTTPS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Let's Encrypt + Certbot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Certificat gratuit, renouvellement automatique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Installé sur le VPS, accès local uniquement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Stockage fichiers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Dossier /uploads/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Hors de public/, accès via API Route authentifiée</w:t>
            </w:r>
          </w:p>
        </w:tc>
      </w:tr>
      <w:tr>
        <w:tc>
          <w:tcPr>
            <w:tcW w:type="dxa" w:w="1984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Nom de domaine</w:t>
            </w:r>
          </w:p>
        </w:tc>
        <w:tc>
          <w:tcPr>
            <w:tcW w:type="dxa" w:w="2551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À définir</w:t>
            </w:r>
          </w:p>
        </w:tc>
        <w:tc>
          <w:tcPr>
            <w:tcW w:type="dxa" w:w="45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Hébergé chez OVH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6. Contraintes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6.1 Sécurité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Mots de passe hashés avec bcrypt (coût minimum 12)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PDFs ne sont jamais accessibles par URL directe — toujours via API Route avec vérification de session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Protection CSRF native via Auth.js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Variables d'environnement sensibles (BDD, secret Auth.js) jamais committées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6.2 RGPD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données des étudiants (notes, emplois du temps) sont hébergées sur un VPS OVH en France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Aucune donnée personnelle transmise à des services tiers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Politique de confidentialité à rédiger avant mise en production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6.3 Performances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Cible : chargement des pages publiques &lt; 2 secondes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Volume max estimé : 200 utilisateurs actifs simultanés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images sont optimisées via le composant &lt;Image&gt; Next.js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Les PDFs sont servis en streaming (pas chargés entièrement en mémoire)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6.4 Compatibilité navigateurs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Chrome, Firefox, Safari, Edge — versions N et N-1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Responsive mobile obligatoire (étudiants sur smartphone)</w:t>
      </w:r>
    </w:p>
    <w:p>
      <w:pPr>
        <w:pBdr>
          <w:bottom w:val="single" w:sz="8" w:space="4" w:color="E2E8F0"/>
        </w:pBdr>
        <w:spacing w:before="200" w:after="100"/>
      </w:pPr>
      <w:r>
        <w:rPr>
          <w:rFonts w:ascii="Outfit" w:hAnsi="Outfit"/>
          <w:b/>
          <w:i w:val="0"/>
          <w:color w:val="0A3D67"/>
          <w:sz w:val="30"/>
        </w:rPr>
        <w:t>6.5 Accessibilité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Respect des bonnes pratiques WCAG 2.1 niveau AA recommandé</w:t>
      </w:r>
    </w:p>
    <w:p>
      <w:pPr>
        <w:ind w:left="340"/>
        <w:spacing w:before="0" w:after="60"/>
      </w:pPr>
      <w:r>
        <w:rPr>
          <w:rFonts w:ascii="Outfit" w:hAnsi="Outfit"/>
          <w:b w:val="0"/>
          <w:i w:val="0"/>
          <w:color w:val="171717"/>
          <w:sz w:val="22"/>
        </w:rPr>
        <w:t>— Conformité RGAA à évaluer selon les exigences de l'établissement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7. Charte graphique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Élément</w:t>
            </w:r>
          </w:p>
        </w:tc>
        <w:tc>
          <w:tcPr>
            <w:tcW w:type="dxa" w:w="623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Couleur principale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#0A3D67 (bleu GMP) — fond dark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Couleur secondaire / accent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#F29400 (orange GMP) — primaire dark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Logo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Logo officiel du département GMP fourni par le maître d'ouvrage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Typographie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Outfit (titres &amp; corps) · Geist Mono (données, codes)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Maquettes</w:t>
            </w:r>
          </w:p>
        </w:tc>
        <w:tc>
          <w:tcPr>
            <w:tcW w:type="dxa" w:w="623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À produire (phase 2 des étapes de réalisation)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8. Planning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Étape</w:t>
            </w:r>
          </w:p>
        </w:tc>
        <w:tc>
          <w:tcPr>
            <w:tcW w:type="dxa" w:w="5386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Spécification fonctionnelle (ce document)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2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Charte graphique et maquettes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3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1 — Socle + pages publiques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4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2 — Authentification &amp; rôles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5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Présentation d'avancement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17/04/2026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6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3 — Espace étudiant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Avril–Mai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7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4 — Espace enseignant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8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5 — Espace entreprise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9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Développement Phase 6 — Panel admin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10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Tests, recette et mise en production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Mai 2026</w:t>
            </w:r>
          </w:p>
        </w:tc>
      </w:tr>
      <w:tr>
        <w:tc>
          <w:tcPr>
            <w:tcW w:type="dxa" w:w="850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11</w:t>
            </w:r>
          </w:p>
        </w:tc>
        <w:tc>
          <w:tcPr>
            <w:tcW w:type="dxa" w:w="5386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Livraison finale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9. Estimation des coûts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Poste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Solution</w:t>
            </w:r>
          </w:p>
        </w:tc>
        <w:tc>
          <w:tcPr>
            <w:tcW w:type="dxa" w:w="2835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Coût estimé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VPS OVH Starter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Hébergement serveur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~36 €/an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Nom de domaine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OVH (.fr)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~7 €/an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Certificat SSL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Let's Encrypt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Stockage fichiers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Local VPS (inclus)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Base de données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PostgreSQL sur VPS (inclus)</w:t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Licences logicielles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Stack open source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Gratuit</w:t>
            </w:r>
          </w:p>
        </w:tc>
      </w:tr>
      <w:tr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Total récurrent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</w:r>
          </w:p>
        </w:tc>
        <w:tc>
          <w:tcPr>
            <w:tcW w:type="dxa" w:w="2835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~43 €/an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Outfit" w:hAnsi="Outfit"/>
          <w:b w:val="0"/>
          <w:i w:val="0"/>
          <w:color w:val="171717"/>
          <w:sz w:val="22"/>
        </w:rPr>
        <w:t>Le développement est réalisé par les maîtres d'œuvre dans le cadre d'un projet étudiant — coût main-d'œuvre non facturé.</w:t>
      </w: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10. Livrables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Livrable</w:t>
            </w:r>
          </w:p>
        </w:tc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Format</w:t>
            </w:r>
          </w:p>
        </w:tc>
        <w:tc>
          <w:tcPr>
            <w:tcW w:type="dxa" w:w="3402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Échéance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Cahier des charges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Markdown / PDF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Mars 2026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Maquettes (wireframes)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Figma ou équivalent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Avril 2026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Code source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Dépôt GitHub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  <w:tr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Site déployé et fonctionnel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URL en ligne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  <w:tr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Documentation de déploiement</w:t>
            </w:r>
          </w:p>
        </w:tc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Markdown</w:t>
            </w:r>
          </w:p>
        </w:tc>
        <w:tc>
          <w:tcPr>
            <w:tcW w:type="dxa" w:w="3402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19/05/2026</w:t>
            </w:r>
          </w:p>
        </w:tc>
      </w:tr>
    </w:tbl>
    <w:p>
      <w:pPr>
        <w:spacing w:before="0" w:after="100"/>
      </w:pPr>
    </w:p>
    <w:p>
      <w:pPr>
        <w:pBdr>
          <w:bottom w:val="single" w:sz="16" w:space="4" w:color="F29400"/>
        </w:pBdr>
        <w:spacing w:before="300" w:after="160"/>
      </w:pPr>
      <w:r>
        <w:rPr>
          <w:rFonts w:ascii="Outfit" w:hAnsi="Outfit"/>
          <w:b/>
          <w:i w:val="0"/>
          <w:color w:val="F29400"/>
          <w:sz w:val="44"/>
        </w:rPr>
        <w:t>11. Glossaire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Terme</w:t>
            </w:r>
          </w:p>
        </w:tc>
        <w:tc>
          <w:tcPr>
            <w:tcW w:type="dxa" w:w="6803"/>
            <w:shd w:val="clear" w:color="auto" w:fill="F29400"/>
            <w:vAlign w:val="center"/>
          </w:tcPr>
          <w:p>
            <w:r>
              <w:rPr>
                <w:rFonts w:ascii="Outfit" w:hAnsi="Outfit"/>
                <w:b/>
                <w:i w:val="0"/>
                <w:color w:val="FFFFFF"/>
                <w:sz w:val="20"/>
              </w:rPr>
              <w:t>Définition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BUT GMP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Bachelor Universitaire de Technologie Génie Mécanique et Productique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LP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Licence Professionnelle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MOA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Maître d'Ouvrage — commanditaire du projet, définit les besoins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MOE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Maître d'Œuvre — équipe en charge de la réalisation technique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RBAC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Role-Based Access Control — contrôle d'accès basé sur les rôles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SSR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Server-Side Rendering — rendu HTML côté serveur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ORM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Object-Relational Mapper — couche d'abstraction entre le code et la base de données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RGPD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Règlement Général sur la Protection des Données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RGAA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Référentiel Général d'Amélioration de l'Accessibilité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VPS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Virtual Private Server — serveur virtuel dédié</w:t>
            </w:r>
          </w:p>
        </w:tc>
      </w:tr>
      <w:tr>
        <w:tc>
          <w:tcPr>
            <w:tcW w:type="dxa" w:w="2268"/>
            <w:shd w:val="clear" w:color="auto" w:fill="FFF8EC"/>
            <w:vAlign w:val="center"/>
          </w:tcPr>
          <w:p>
            <w:r>
              <w:rPr>
                <w:rFonts w:ascii="Outfit" w:hAnsi="Outfit"/>
                <w:b/>
                <w:i w:val="0"/>
                <w:color w:val="0A3D67"/>
                <w:sz w:val="20"/>
              </w:rPr>
              <w:t>PDF</w:t>
            </w:r>
          </w:p>
        </w:tc>
        <w:tc>
          <w:tcPr>
            <w:tcW w:type="dxa" w:w="6803"/>
            <w:shd w:val="clear" w:color="auto" w:fill="FFF8EC"/>
            <w:vAlign w:val="center"/>
          </w:tcPr>
          <w:p>
            <w:r>
              <w:rPr>
                <w:rFonts w:ascii="Outfit" w:hAnsi="Outfit"/>
                <w:b w:val="0"/>
                <w:i w:val="0"/>
                <w:color w:val="171717"/>
                <w:sz w:val="20"/>
              </w:rPr>
              <w:t>Portable Document Format — format de fichier pour les supports de cours</w:t>
            </w:r>
          </w:p>
        </w:tc>
      </w:tr>
    </w:tbl>
    <w:p>
      <w:pPr>
        <w:spacing w:before="0" w:after="100"/>
      </w:pP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color w:val="1717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