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9400"/>
          </w:tcPr>
          <w:p>
            <w:pPr>
              <w:jc w:val="center"/>
              <w:spacing w:before="220" w:after="220"/>
            </w:pPr>
            <w:r>
              <w:rPr>
                <w:rFonts w:ascii="Outfit" w:hAnsi="Outfit"/>
                <w:b/>
                <w:i w:val="0"/>
                <w:color w:val="FFFFFF"/>
                <w:sz w:val="48"/>
              </w:rPr>
              <w:t>CAHIER DES CHARGES</w:t>
            </w:r>
          </w:p>
        </w:tc>
      </w:tr>
    </w:tbl>
    <w:p>
      <w:pPr>
        <w:spacing w:before="0" w:after="80"/>
      </w:pPr>
    </w:p>
    <w:p>
      <w:pPr>
        <w:jc w:val="center"/>
        <w:spacing w:before="0" w:after="60"/>
      </w:pPr>
      <w:r>
        <w:rPr>
          <w:rFonts w:ascii="Outfit" w:hAnsi="Outfit"/>
          <w:b/>
          <w:i w:val="0"/>
          <w:color w:val="171717"/>
          <w:sz w:val="28"/>
        </w:rPr>
        <w:t>Site web du département Génie Mécanique et Productique</w:t>
      </w:r>
    </w:p>
    <w:p>
      <w:pPr>
        <w:jc w:val="center"/>
        <w:spacing w:before="0" w:after="200"/>
      </w:pPr>
      <w:r>
        <w:rPr>
          <w:rFonts w:ascii="Outfit" w:hAnsi="Outfit"/>
          <w:b w:val="0"/>
          <w:i w:val="0"/>
          <w:color w:val="64748B"/>
          <w:sz w:val="22"/>
        </w:rPr>
        <w:t>IUT d'Évry-Courcouronnes — Département GMP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Version</w:t>
            </w:r>
          </w:p>
        </w:tc>
        <w:tc>
          <w:tcPr>
            <w:tcW w:type="dxa" w:w="5953"/>
            <w:shd w:val="clear" w:color="auto" w:fill="FFF8EC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1.0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Date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Auteurs</w:t>
            </w:r>
          </w:p>
        </w:tc>
        <w:tc>
          <w:tcPr>
            <w:tcW w:type="dxa" w:w="5953"/>
            <w:shd w:val="clear" w:color="auto" w:fill="FFF8EC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Yahaya Coulibaly, Hyosua Colléter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Statut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Document initial</w:t>
            </w:r>
          </w:p>
        </w:tc>
      </w:tr>
    </w:tbl>
    <w:p>
      <w:r>
        <w:br w:type="page"/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1. Présentation du projet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1.1 Contexte</w:t>
      </w: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 département Génie Mécanique et Productique (GMP) de l'IUT souhaite se doter d'un site web institutionnel. Ce site a pour vocation de centraliser les informations du département à destination de plusieurs publics : les futurs inscrits, les étudiants en cours de formation, les enseignants, les entreprises partenaires et le personnel administratif.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1.2 Parties prenantes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Rôle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Nom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Maître d'ouvrage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Khalifa DJEMAL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Maître d'œuvre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Yahaya Coulibaly, Hyosua Colléter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1.3 Objectifs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Présenter le département GMP et ses formations (BUT GMP, Licences Professionnelles)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Offrir un espace personnel aux étudiants (notes, emploi du temps, supports de cours, offres)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Offrir un espace de gestion aux enseignants (notes, supports de cours, emploi du temps)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Permettre aux entreprises de déposer des offres d'alternance et des projets tuteurés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Fournir au personnel GMP un panel d'administration pour gérer l'ensemble du contenu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1.4 Périmètre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Inclus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Site vitrine public (présentation département + licences professionnelles)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Espaces authentifiés par rôle (étudiant, enseignant, entreprise, admin)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des notes, emplois du temps, supports de cours (PDF), projets tuteurés, offres d'alternance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Panel d'administration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Exclus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Application mobile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Paiement en ligne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Intégration avec des systèmes tiers (Apogée, Pronote, etc.)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Messagerie interne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2. Arborescence du site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Sous-pages / Détail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Accueil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Page principale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Présentation du département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Généralité BUT GMP · Lieu de formation · Programme · Spécificité du BUT GMP · Formation en alternance · Après le BUT GMP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Licences professionnelles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LP MIE · LP MIEF · LP MRI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étudiant (auth.)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Notes · Emploi du temps · Projets tuteurés · Offres d'alternance · Supports de cours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enseignant (auth.)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Notes · Emploi du temps personnel · Supports de cours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entreprise (auth.)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Projets tuteurés · Offres d'alternance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Administration (auth.)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Personnel GMP uniquement — gestion complète du contenu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3. Gestion des droits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Rôle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Visiteur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Consulter l'accueil, la présentation du département, les licences professionnelles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Étudiant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Consulter ses notes, son emploi du temps, les supports de cours, les projets tuteurés disponibles, les offres d'alternance ouvertes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Enseignant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Ajouter/modifier/consulter ses notes déposées, consulter son emploi du temps, déposer des PDFs de cours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Entreprise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Ajouter/modifier/consulter ses projets tuteurés et offres d'alternance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Admin (Personnel GMP)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Tous les droits ci-dessus + barre d'administration pour gérer l'ensemble du contenu et des utilisateurs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4. Spécifications fonctionnelles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4.1 Pages publiques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Accueil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Présentation générale du département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Liens vers les sections principales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Accès visible au formulaire de connexion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Présentation du département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6 sous-pages : BUT GMP, lieu de formation, programme, spécificité, alternance, après BUT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Contenu éditorial géré par l'admin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Licences professionnelles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3 sous-pages : LP MIE, LP MIEF, LP MRI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Contenu éditorial géré par l'admin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4.2 Authentification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Connexion par email + mot de passe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Redirection automatique vers l'espace correspondant au rôle après connexion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Toutes les routes /espace-* et /admin sont protégées — accès sans session redirige vers /connexion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Déconnexion disponible depuis tous les espaces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4.3 Espace étudiant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notes de l'étudiant connecté, filtrées par matière. Lecture seule.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 du temps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Affichage du planning hebdomadaire de l'étudiant.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Supports de cours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PDFs déposés par les enseignants. Téléchargement sécurisé (vérification de session obligatoire, fichier non accessible par URL directe).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Projets tuteurés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projets disponibles déposés par les entreprises. Consultation des détails (entreprise, description, prérequis).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Offres d'alternance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offres ouvertes à candidature. Consultation des détails (entreprise, poste, durée, rémunération).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4.4 Espace enseignant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notes déposées par l'enseignant. Formulaire d'ajout : sélection étudiant + matière + valeur (0–20). Modification d'une note existante (ses notes uniquement).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 du temps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Affichage du planning personnel de l'enseignant.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Supports de cours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Upload d'un fichier PDF (taille max : 20 Mo). Liste des supports déposés. Suppression d'un support (ses fichiers uniquement).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4.5 Espace entreprise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Projets tuteurés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de création : titre, description, prérequis, nombre d'étudiants souhaité. Modification et consultation de ses propres projets.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Offres d'alternance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de création : poste, description, durée, rémunération, prérequis. Modification et consultation de ses propres offres.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4.6 Panel d'administration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des utilisateurs : création, modification de rôle, désactivation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notes (tous enseignants)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supports de cours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projets tuteurés et offres d'alternance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du contenu éditorial des pages publiques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5. Spécifications techniques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5.1 Stack technologique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Couche</w:t>
            </w:r>
          </w:p>
        </w:tc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Technologie</w:t>
            </w:r>
          </w:p>
        </w:tc>
        <w:tc>
          <w:tcPr>
            <w:tcW w:type="dxa" w:w="4819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Framework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Next.js 16 (App Router)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SSR pour le SEO des pages publiques, API Routes intégrées, un seul codebase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Langage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TypeScript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Typage statique indispensable pour la gestion des 5 rôles et modèles de données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Authentification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Auth.js v5 (NextAuth)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Gestion native des sessions et rôles, self-hosted, données sur OVH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Modèle relationnel adapté aux liens entre utilisateurs, notes, matières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ORM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Prisma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Schéma typé, migrations versionnées, Prisma Studio pour le dev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Styles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Tailwind CSS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Responsive natif, cohérence visuelle, pas de fichiers CSS séparés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Runtime serveur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Node.js (via PM2)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Requis par Next.js, PM2 assure le redémarrage automatique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5.2 Architecture applicative</w:t>
      </w: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Client (navigateur) → Nginx (reverse proxy HTTPS via Let's Encrypt) → Next.js App (port 3000, géré par PM2) → PostgreSQL (port 5432, local VPS) + /uploads/ (PDFs, stockage local VPS).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App Router — pages et layouts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API Routes — auth, fichiers, données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Middleware — protection des routes par rôle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5.3 Modèle de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Modèle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Champs principaux</w:t>
            </w:r>
          </w:p>
        </w:tc>
        <w:tc>
          <w:tcPr>
            <w:tcW w:type="dxa" w:w="3969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Relations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User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email, password (hashé), nom, prenom, role, parcours, typeFormation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Note (étudiant/enseignant), Groupe, SupportDeCours, ProjetTuteure, OffreAlternance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Groupe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nom (ex: TD1), type (CM/TD/TP)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User[] (n,n), EmploiDuTemps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valeur (0–20)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(étudiant), User (enseignant), Matiere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Matiere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nom, code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Note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EmploiDuTemps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jour, heureDebut, heureFin, salle, intitule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Groupe, User (enseignant)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SupportDeCours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titre, cheminFichier, taille, createdAt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(enseignant)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ProjetTuteure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titre, description, prerequis, nbEtudiants, statut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(entreprise)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OffreAlternance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poste, description, duree, remuneration, prerequis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(entreprise)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5.4 Hébergement et déploiement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Composant</w:t>
            </w:r>
          </w:p>
        </w:tc>
        <w:tc>
          <w:tcPr>
            <w:tcW w:type="dxa" w:w="2551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Solution</w:t>
            </w:r>
          </w:p>
        </w:tc>
        <w:tc>
          <w:tcPr>
            <w:tcW w:type="dxa" w:w="45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Serveur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OVH VPS Starter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Ubuntu 22.04 LTS, 1 vCPU, 2 Go RAM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Reverse proxy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Nginx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Redirige le port 80/443 vers Next.js (port 3000)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Process manager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PM2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Redémarrage automatique, logs, monitoring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HTTPS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Let's Encrypt + Certbot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Certificat gratuit, renouvellement automatique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Installé sur le VPS, accès local uniquement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Stockage fichiers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Dossier /uploads/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Hors de public/, accès via API Route authentifiée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Nom de domaine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À définir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Hébergé chez OVH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6. Contraintes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6.1 Sécurité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Mots de passe hashés avec bcrypt (coût minimum 12)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PDFs ne sont jamais accessibles par URL directe — toujours via API Route avec vérification de session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Protection CSRF native via Auth.js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Variables d'environnement sensibles (BDD, secret Auth.js) jamais committées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6.2 RGPD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données des étudiants (notes, emplois du temps) sont hébergées sur un VPS OVH en France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Aucune donnée personnelle transmise à des services tiers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Politique de confidentialité à rédiger avant mise en production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6.3 Performances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Cible : chargement des pages publiques &lt; 2 secondes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Volume max estimé : 200 utilisateurs actifs simultanés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images sont optimisées via le composant &lt;Image&gt; Next.js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PDFs sont servis en streaming (pas chargés entièrement en mémoire)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6.4 Compatibilité navigateurs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Chrome, Firefox, Safari, Edge — versions N et N-1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Responsive mobile obligatoire (étudiants sur smartphone)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6.5 Accessibilité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Respect des bonnes pratiques WCAG 2.1 niveau AA recommandé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Conformité RGAA à évaluer selon les exigences de l'établissement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7. Charte graphique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Élément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Couleur principale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#0A3D67 (bleu GMP) — fond dark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Couleur secondaire / accent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#F29400 (orange GMP) — primaire dark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Logo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Logo officiel du département GMP fourni par le maître d'ouvrage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Typographie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Outfit (titres &amp; corps) · Geist Mono (données, codes)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Maquettes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À produire (phase 2 des étapes de réalisation)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7.1 Maquettes</w:t>
      </w: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Les maquettes haute fidélité sont disponibles sous forme de prototype HTML interactif (docs/maquettes.html — ouvrir dans un navigateur).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Écran</w:t>
            </w:r>
          </w:p>
        </w:tc>
        <w:tc>
          <w:tcPr>
            <w:tcW w:type="dxa" w:w="5669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Connexion</w:t>
            </w:r>
          </w:p>
        </w:tc>
        <w:tc>
          <w:tcPr>
            <w:tcW w:type="dxa" w:w="56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email/mot de passe, fond blueprint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étudiant — Notes</w:t>
            </w:r>
          </w:p>
        </w:tc>
        <w:tc>
          <w:tcPr>
            <w:tcW w:type="dxa" w:w="56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Tableau de notes avec moyenne, sidebar de navigation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entreprise — Dépôt offre</w:t>
            </w:r>
          </w:p>
        </w:tc>
        <w:tc>
          <w:tcPr>
            <w:tcW w:type="dxa" w:w="56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de création d'offre d'alternance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Les maquettes respectent la charte graphique (thème dark, #0A3D67 / #F29400) et servent de référence visuelle pour le développement des phases 2 à 5.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8. Planning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Étape</w:t>
            </w:r>
          </w:p>
        </w:tc>
        <w:tc>
          <w:tcPr>
            <w:tcW w:type="dxa" w:w="538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Spécification fonctionnelle (ce document)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2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Charte graphique et maquettes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3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1 — Socle + pages publiques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4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2 — Authentification &amp; rôles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5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Présentation d'avancement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17/04/2026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6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3 — Espace étudiant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Avril–Mai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7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4 — Espace enseignant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8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5 — Espace entreprise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9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6 — Panel admin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10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Tests, recette et mise en production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11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Livraison finale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9. Estimation des coûts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Poste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Solution</w:t>
            </w:r>
          </w:p>
        </w:tc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Coût estimé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VPS OVH Starter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Hébergement serveur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~36 €/an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Nom de domaine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OVH (.fr)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~7 €/an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Certificat SSL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Let's Encrypt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Stockage fichiers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Local VPS (inclus)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 sur VPS (inclus)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Licences logicielles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Stack open source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Total récurrent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~43 €/an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 développement est réalisé par les maîtres d'œuvre dans le cadre d'un projet étudiant — coût main-d'œuvre non facturé.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10.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Livrable</w:t>
            </w:r>
          </w:p>
        </w:tc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Format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Échéance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Cahier des charges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Markdown / PDF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Maquettes (wireframes)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HTML prototype (docs/maquettes.html)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 ✓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Code source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Dépôt GitHub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Site déployé et fonctionnel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URL en ligne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Documentation de déploiement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Markdown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11. Glossaire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Terme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Définition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BUT GMP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Bachelor Universitaire de Technologie Génie Mécanique et Productique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LP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Licence Professionnelle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MOA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Maître d'Ouvrage — commanditaire du projet, définit les besoins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MOE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Maître d'Œuvre — équipe en charge de la réalisation technique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RBAC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Role-Based Access Control — contrôle d'accès basé sur les rôles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SSR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Server-Side Rendering — rendu HTML côté serveur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ORM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Object-Relational Mapper — couche d'abstraction entre le code et la base de données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RGPD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Règlement Général sur la Protection des Données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RGAA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Référentiel Général d'Amélioration de l'Accessibilité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Virtual Private Server — serveur virtuel dédié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PDF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Portable Document Format — format de fichier pour les supports de cours</w:t>
            </w:r>
          </w:p>
        </w:tc>
      </w:tr>
    </w:tbl>
    <w:p>
      <w:pPr>
        <w:spacing w:before="0" w:after="100"/>
      </w:pP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color w:val="1717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